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保险箱项目构思建设方案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602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_Toc11602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92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_Toc6292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8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_Toc1658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5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_Toc3255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2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_Toc11620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5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_Toc1955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_Toc193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2" w:history="1">
        <w:r>
          <w:rPr>
            <w:rFonts w:ascii="仿宋" w:eastAsia="仿宋" w:hAnsi="仿宋" w:cs="仿宋" w:hint="eastAsia"/>
            <w:lang w:eastAsia="zh-CN"/>
          </w:rPr>
          <w:t>二、经济影响分析</w:t>
        </w:r>
        <w:r>
          <w:tab/>
        </w:r>
        <w:r>
          <w:fldChar w:fldCharType="begin"/>
        </w:r>
        <w:r>
          <w:instrText xml:space="preserve"> PAGEREF _Toc1992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04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_Toc15804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77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_Toc5177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98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_Toc23398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69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_Toc19169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10" w:history="1">
        <w:r>
          <w:rPr>
            <w:rFonts w:ascii="仿宋" w:eastAsia="仿宋" w:hAnsi="仿宋" w:cs="仿宋" w:hint="eastAsia"/>
            <w:lang w:eastAsia="zh-CN"/>
          </w:rPr>
          <w:t>三、社会影响分析</w:t>
        </w:r>
        <w:r>
          <w:tab/>
        </w:r>
        <w:r>
          <w:fldChar w:fldCharType="begin"/>
        </w:r>
        <w:r>
          <w:instrText xml:space="preserve"> PAGEREF _Toc32410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97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_Toc10597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52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_Toc12752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06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_Toc11806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24" w:history="1">
        <w:r>
          <w:rPr>
            <w:rFonts w:ascii="仿宋" w:eastAsia="仿宋" w:hAnsi="仿宋" w:cs="仿宋" w:hint="eastAsia"/>
            <w:lang w:eastAsia="zh-CN"/>
          </w:rPr>
          <w:t>四、财务管理与成本控制</w:t>
        </w:r>
        <w:r>
          <w:tab/>
        </w:r>
        <w:r>
          <w:fldChar w:fldCharType="begin"/>
        </w:r>
        <w:r>
          <w:instrText xml:space="preserve"> PAGEREF _Toc10424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04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_Toc6604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17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_Toc21917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74" w:history="1">
        <w:r>
          <w:rPr>
            <w:rFonts w:ascii="仿宋" w:eastAsia="仿宋" w:hAnsi="仿宋" w:cs="仿宋" w:hint="eastAsia"/>
            <w:lang w:eastAsia="zh-CN"/>
          </w:rPr>
          <w:t>五、建设风险评估分析</w:t>
        </w:r>
        <w:r>
          <w:tab/>
        </w:r>
        <w:r>
          <w:fldChar w:fldCharType="begin"/>
        </w:r>
        <w:r>
          <w:instrText xml:space="preserve"> PAGEREF _Toc8174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4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_Toc1754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0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_Toc750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35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_Toc13535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13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_Toc17013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86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_Toc11686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22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_Toc30122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5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_Toc28805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66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_Toc30766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38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_Toc26038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2" w:history="1">
        <w:r>
          <w:rPr>
            <w:rFonts w:ascii="仿宋" w:eastAsia="仿宋" w:hAnsi="仿宋" w:cs="仿宋" w:hint="eastAsia"/>
            <w:lang w:eastAsia="zh-CN"/>
          </w:rPr>
          <w:t>六、背景、必要性分析</w:t>
        </w:r>
        <w:r>
          <w:tab/>
        </w:r>
        <w:r>
          <w:fldChar w:fldCharType="begin"/>
        </w:r>
        <w:r>
          <w:instrText xml:space="preserve"> PAGEREF _Toc2052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03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_Toc14103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3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_Toc9173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24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_Toc31724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51" w:history="1">
        <w:r>
          <w:rPr>
            <w:rFonts w:ascii="仿宋" w:eastAsia="仿宋" w:hAnsi="仿宋" w:cs="仿宋" w:hint="eastAsia"/>
            <w:lang w:eastAsia="zh-CN"/>
          </w:rPr>
          <w:t>七、环境保护与治理方案</w:t>
        </w:r>
        <w:r>
          <w:tab/>
        </w:r>
        <w:r>
          <w:fldChar w:fldCharType="begin"/>
        </w:r>
        <w:r>
          <w:instrText xml:space="preserve"> PAGEREF _Toc13351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47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_Toc14247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68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_Toc8068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53" w:history="1">
        <w:r>
          <w:rPr>
            <w:rFonts w:ascii="仿宋" w:eastAsia="仿宋" w:hAnsi="仿宋" w:cs="仿宋" w:hint="eastAsia"/>
            <w:lang w:eastAsia="zh-CN"/>
          </w:rPr>
          <w:t>八、项目实施与管理方案</w:t>
        </w:r>
        <w:r>
          <w:tab/>
        </w:r>
        <w:r>
          <w:fldChar w:fldCharType="begin"/>
        </w:r>
        <w:r>
          <w:instrText xml:space="preserve"> PAGEREF _Toc27653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06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_Toc10406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44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_Toc16644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60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_Toc12060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13" w:history="1">
        <w:r>
          <w:rPr>
            <w:rFonts w:ascii="仿宋" w:eastAsia="仿宋" w:hAnsi="仿宋" w:cs="仿宋" w:hint="eastAsia"/>
            <w:lang w:eastAsia="zh-CN"/>
          </w:rPr>
          <w:t>九、项目质量与标准</w:t>
        </w:r>
        <w:r>
          <w:tab/>
        </w:r>
        <w:r>
          <w:fldChar w:fldCharType="begin"/>
        </w:r>
        <w:r>
          <w:instrText xml:space="preserve"> PAGEREF _Toc6513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8167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_Toc28167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80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_Toc24880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58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_Toc29158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8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_Toc2658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0" w:history="1">
        <w:r>
          <w:rPr>
            <w:rFonts w:ascii="仿宋" w:eastAsia="仿宋" w:hAnsi="仿宋" w:cs="仿宋" w:hint="eastAsia"/>
            <w:lang w:eastAsia="zh-CN"/>
          </w:rPr>
          <w:t>十、项目变更管理</w:t>
        </w:r>
        <w:r>
          <w:tab/>
        </w:r>
        <w:r>
          <w:fldChar w:fldCharType="begin"/>
        </w:r>
        <w:r>
          <w:instrText xml:space="preserve"> PAGEREF _Toc1410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20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_Toc6420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10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_Toc6010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20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_Toc22820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62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_Toc25862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35" w:history="1">
        <w:r>
          <w:rPr>
            <w:rFonts w:ascii="仿宋" w:eastAsia="仿宋" w:hAnsi="仿宋" w:cs="仿宋" w:hint="eastAsia"/>
            <w:lang w:eastAsia="zh-CN"/>
          </w:rPr>
          <w:t>十一、经济效益与社会效益优化</w:t>
        </w:r>
        <w:r>
          <w:tab/>
        </w:r>
        <w:r>
          <w:fldChar w:fldCharType="begin"/>
        </w:r>
        <w:r>
          <w:instrText xml:space="preserve"> PAGEREF _Toc30835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20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_Toc23520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96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_Toc20396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21" w:history="1">
        <w:r>
          <w:rPr>
            <w:rFonts w:ascii="仿宋" w:eastAsia="仿宋" w:hAnsi="仿宋" w:cs="仿宋" w:hint="eastAsia"/>
            <w:lang w:eastAsia="zh-CN"/>
          </w:rPr>
          <w:t>十二、安全与应急管理</w:t>
        </w:r>
        <w:r>
          <w:tab/>
        </w:r>
        <w:r>
          <w:fldChar w:fldCharType="begin"/>
        </w:r>
        <w:r>
          <w:instrText xml:space="preserve"> PAGEREF _Toc29821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53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_Toc13853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30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_Toc3830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47" w:history="1">
        <w:r>
          <w:rPr>
            <w:rFonts w:ascii="仿宋" w:eastAsia="仿宋" w:hAnsi="仿宋" w:cs="仿宋" w:hint="eastAsia"/>
            <w:lang w:eastAsia="zh-CN"/>
          </w:rPr>
          <w:t>十三、产业协同与集群发展</w:t>
        </w:r>
        <w:r>
          <w:tab/>
        </w:r>
        <w:r>
          <w:fldChar w:fldCharType="begin"/>
        </w:r>
        <w:r>
          <w:instrText xml:space="preserve"> PAGEREF _Toc24947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53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_Toc28753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45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_Toc6245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25" w:history="1">
        <w:r>
          <w:rPr>
            <w:rFonts w:ascii="仿宋" w:eastAsia="仿宋" w:hAnsi="仿宋" w:cs="仿宋" w:hint="eastAsia"/>
            <w:lang w:eastAsia="zh-CN"/>
          </w:rPr>
          <w:t>十四、知识产权管理与保护</w:t>
        </w:r>
        <w:r>
          <w:tab/>
        </w:r>
        <w:r>
          <w:fldChar w:fldCharType="begin"/>
        </w:r>
        <w:r>
          <w:instrText xml:space="preserve"> PAGEREF _Toc11025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97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_Toc30597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07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_Toc21807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52" w:history="1">
        <w:r>
          <w:rPr>
            <w:rFonts w:ascii="仿宋" w:eastAsia="仿宋" w:hAnsi="仿宋" w:cs="仿宋" w:hint="eastAsia"/>
            <w:lang w:eastAsia="zh-CN"/>
          </w:rPr>
          <w:t>十五、人力资源管理与开发</w:t>
        </w:r>
        <w:r>
          <w:tab/>
        </w:r>
        <w:r>
          <w:fldChar w:fldCharType="begin"/>
        </w:r>
        <w:r>
          <w:instrText xml:space="preserve"> PAGEREF _Toc16852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03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_Toc16103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08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_Toc17108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03" w:history="1">
        <w:r>
          <w:rPr>
            <w:rFonts w:ascii="仿宋" w:eastAsia="仿宋" w:hAnsi="仿宋" w:cs="仿宋" w:hint="eastAsia"/>
            <w:lang w:eastAsia="zh-CN"/>
          </w:rPr>
          <w:t>十六、创新驱动与持续发展</w:t>
        </w:r>
        <w:r>
          <w:tab/>
        </w:r>
        <w:r>
          <w:fldChar w:fldCharType="begin"/>
        </w:r>
        <w:r>
          <w:instrText xml:space="preserve"> PAGEREF _Toc14603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55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_Toc13855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9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_Toc11949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9" w:history="1">
        <w:r>
          <w:rPr>
            <w:rFonts w:ascii="仿宋" w:eastAsia="仿宋" w:hAnsi="仿宋" w:cs="仿宋" w:hint="eastAsia"/>
            <w:lang w:eastAsia="zh-CN"/>
          </w:rPr>
          <w:t>十七、法律法规与政策遵循</w:t>
        </w:r>
        <w:r>
          <w:tab/>
        </w:r>
        <w:r>
          <w:fldChar w:fldCharType="begin"/>
        </w:r>
        <w:r>
          <w:instrText xml:space="preserve"> PAGEREF _Toc2259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68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_Toc13668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5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_Toc11095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20" w:history="1">
        <w:r>
          <w:rPr>
            <w:rFonts w:ascii="仿宋" w:eastAsia="仿宋" w:hAnsi="仿宋" w:cs="仿宋" w:hint="eastAsia"/>
            <w:lang w:eastAsia="zh-CN"/>
          </w:rPr>
          <w:t>十八、质量管理与控制</w:t>
        </w:r>
        <w:r>
          <w:tab/>
        </w:r>
        <w:r>
          <w:fldChar w:fldCharType="begin"/>
        </w:r>
        <w:r>
          <w:instrText xml:space="preserve"> PAGEREF _Toc4220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4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_Toc7744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21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_Toc18121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84" w:history="1">
        <w:r>
          <w:rPr>
            <w:rFonts w:ascii="仿宋" w:eastAsia="仿宋" w:hAnsi="仿宋" w:cs="仿宋" w:hint="eastAsia"/>
            <w:lang w:eastAsia="zh-CN"/>
          </w:rPr>
          <w:t>十九、成果转化与推广应用</w:t>
        </w:r>
        <w:r>
          <w:tab/>
        </w:r>
        <w:r>
          <w:fldChar w:fldCharType="begin"/>
        </w:r>
        <w:r>
          <w:instrText xml:space="preserve"> PAGEREF _Toc31584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33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_Toc10233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9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_Toc1089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20" w:history="1">
        <w:r>
          <w:rPr>
            <w:rFonts w:ascii="仿宋" w:eastAsia="仿宋" w:hAnsi="仿宋" w:cs="仿宋" w:hint="eastAsia"/>
            <w:lang w:eastAsia="zh-CN"/>
          </w:rPr>
          <w:t>二十、设施与设备管理</w:t>
        </w:r>
        <w:r>
          <w:tab/>
        </w:r>
        <w:r>
          <w:fldChar w:fldCharType="begin"/>
        </w:r>
        <w:r>
          <w:instrText xml:space="preserve"> PAGEREF _Toc17820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52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_Toc18852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17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_Toc17717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75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_Toc23475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602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6292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658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保险箱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保险箱项目将进行详细的生态影响评估，确保不会对当地的动植物种群和自然栖息地造成负面影响。如果项目地点附近有重要的生物栖息地或生态敏感区，项目将重新考虑建设地点或采取相应的保护措施。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保险箱项目将积极采用可持续材料，如再生塑料和生物降解材料，以减少对环境的影响。项目还将推行废物减量和回收计划，例如通过再利用工业废料或建立回收系统。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保险箱项目还将参与当地的环保活动和计划，如资助当地的环境保护项目或与社区合作进行环保宣传活动。通过这些活动，项目不仅能够提高自身的环境表现，还能在当地社区中树立积极的环保形象。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255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保险箱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保险箱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保险箱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1620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保险箱项目将采用绿色屋顶和生态墙等环境友好型建筑设计，这些设计不仅有助于改善空气质量，还能为城市野生动植物提供栖息地。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保险箱项目将建立高效的废水处理系统，确保所有工业废水在排放前都经过适当处理，达到或超过环保标准。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保险箱项目将致力于使用清洁能源，如太阳能和风能，减少对化石燃料的依赖。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保险箱项目将举办环保教育研讨会，向员工和当地社区普及环保知识，提升对环境保护重要性的认识。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955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在保险箱项目启动前，将进行一系列深入的地质调查，包括钻探和土壤取样，以深入了解项目区域的地层结构和土壤组成。特别是对于土壤的承载能力和地下水位的深度进行详细评估。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保险箱项目将通过地下水位监测系统定期检测水位变化，以预测和预防由高地下水位可能引起的地基问题。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保险箱项目将进行详尽的水文和地形分析，以识别可能的洪水和泥石流风险区。基于这些分析，项目将设计防洪设施，如提高地基、构建防洪墙和排水沟。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保险箱项目还将考虑建设排水系统，以减少地表水对土壤稳定性的影响。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完成初始的地质风险评估后，保险箱项目将安装长期地质监测设备，如倾斜仪、裂缝计和地下水位计，以持续监测地质条件的变化。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93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保险箱项目将通过这些措施来适应和尊重特殊环境条件，确保项目的可持续发展，同时减少对环境的负面影响。这不仅有助于保护自然和文化遗产，还能提升项目在社会责任方面的表现和形象。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992"/>
      <w:r>
        <w:rPr>
          <w:rFonts w:ascii="仿宋" w:eastAsia="仿宋" w:hAnsi="仿宋" w:cs="仿宋" w:hint="eastAsia"/>
          <w:sz w:val="28"/>
          <w:lang w:eastAsia="zh-CN"/>
        </w:rPr>
        <w:t>二、经济影响分析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5804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直接收益：假设保险箱项目的产品或服务年销售收入为XX万元。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净现值（NPV）是评估项目总收益与总成本现值的差额。假设项目预计持续XX年，每年的净收益为（年直接收益 年运营成本），折现率假定为XX%，则NPV计算为：NPV = ∑ [（年净收益） / （1 + 折现率）^年份] 初始投资成本。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内部收益率（IRR）是使得NPV为零的折现率，这是项目盈利能力的一个重要指标。通过财务软件或手工计算可得出IRR值。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https://d.book118.com/906115052152010044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保险箱项目构思建设方案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保险箱项目构思建设方案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保险箱项目构思建设方案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保险箱项目构思建设方案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保险箱项目构思建设方案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保险箱项目构思建设方案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保险箱项目构思建设方案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保险箱项目构思建设方案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保险箱项目构思建设方案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保险箱项目构思建设方案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保险箱项目构思建设方案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保险箱项目构思建设方案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7A33C9"/>
    <w:rsid w:val="727A33C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906115052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2024-02-03T00:02:00Z</dcterms:created>
  <dcterms:modified xsi:type="dcterms:W3CDTF">2024-02-03T00:02:49Z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96037363537E449F92369E3918E761BE_11</vt:lpwstr>
  </property>
  <property fmtid="{D5CDD505-2E9C-101B-9397-08002B2CF9AE}" pid="3" name="KSOProductBuildVer">
    <vt:lpwstr>2052-12.1.0.16250</vt:lpwstr>
  </property>
</Properties>
</file>