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637DD" w:rsidP="00C637DD" w14:paraId="489830A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637DD">
        <w:rPr>
          <w:rFonts w:ascii="华文中宋" w:eastAsia="华文中宋" w:hAnsi="华文中宋"/>
          <w:b/>
          <w:sz w:val="30"/>
        </w:rPr>
        <w:t>2024</w:t>
      </w:r>
      <w:r w:rsidRPr="00C637DD">
        <w:rPr>
          <w:rFonts w:ascii="华文中宋" w:eastAsia="华文中宋" w:hAnsi="华文中宋"/>
          <w:b/>
          <w:sz w:val="30"/>
        </w:rPr>
        <w:t>年湖北农谷实业集团有限责任公司人员招聘考试题库及答案解析</w:t>
      </w:r>
    </w:p>
    <w:p w:rsidR="00A77B3E" w14:paraId="118F45F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07B0F22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4C006A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元朝继承了唐宋对外开放的政策，在政治上加强与海外诸国的联系，在经济上积极开展海外贸易，与元朝有联系的国家和地区在</w:t>
      </w:r>
      <w:r w:rsidRPr="003F588C">
        <w:rPr>
          <w:rFonts w:ascii="Times New Roman" w:eastAsia="微软雅黑" w:hAnsi="微软雅黑" w:cs="宋体" w:hint="eastAsia"/>
          <w:szCs w:val="18"/>
        </w:rPr>
        <w:t>200</w:t>
      </w:r>
      <w:r w:rsidRPr="003F588C">
        <w:rPr>
          <w:rFonts w:ascii="Times New Roman" w:eastAsia="微软雅黑" w:hAnsi="微软雅黑" w:cs="宋体" w:hint="eastAsia"/>
          <w:szCs w:val="18"/>
        </w:rPr>
        <w:t>个以上，其中相当一部分是前代没有记载的。明朝初年的《大明混一图》</w:t>
      </w:r>
      <w:r w:rsidRPr="003F588C">
        <w:rPr>
          <w:rFonts w:ascii="Times New Roman" w:eastAsia="微软雅黑" w:hAnsi="微软雅黑" w:cs="宋体" w:hint="eastAsia"/>
          <w:szCs w:val="18"/>
        </w:rPr>
        <w:t>(1389</w:t>
      </w:r>
      <w:r w:rsidRPr="003F588C">
        <w:rPr>
          <w:rFonts w:ascii="Times New Roman" w:eastAsia="微软雅黑" w:hAnsi="微软雅黑" w:cs="宋体" w:hint="eastAsia"/>
          <w:szCs w:val="18"/>
        </w:rPr>
        <w:t>年</w:t>
      </w:r>
      <w:r w:rsidRPr="003F588C">
        <w:rPr>
          <w:rFonts w:ascii="Times New Roman" w:eastAsia="微软雅黑" w:hAnsi="微软雅黑" w:cs="宋体" w:hint="eastAsia"/>
          <w:szCs w:val="18"/>
        </w:rPr>
        <w:t>)</w:t>
      </w:r>
      <w:r w:rsidRPr="003F588C">
        <w:rPr>
          <w:rFonts w:ascii="Times New Roman" w:eastAsia="微软雅黑" w:hAnsi="微软雅黑" w:cs="宋体" w:hint="eastAsia"/>
          <w:szCs w:val="18"/>
        </w:rPr>
        <w:t>和朝鲜的《混一疆理历代国都之图》</w:t>
      </w:r>
      <w:r w:rsidRPr="003F588C">
        <w:rPr>
          <w:rFonts w:ascii="Times New Roman" w:eastAsia="微软雅黑" w:hAnsi="微软雅黑" w:cs="宋体" w:hint="eastAsia"/>
          <w:szCs w:val="18"/>
        </w:rPr>
        <w:t>(1402</w:t>
      </w:r>
      <w:r w:rsidRPr="003F588C">
        <w:rPr>
          <w:rFonts w:ascii="Times New Roman" w:eastAsia="微软雅黑" w:hAnsi="微软雅黑" w:cs="宋体" w:hint="eastAsia"/>
          <w:szCs w:val="18"/>
        </w:rPr>
        <w:t>年</w:t>
      </w:r>
      <w:r w:rsidRPr="003F588C">
        <w:rPr>
          <w:rFonts w:ascii="Times New Roman" w:eastAsia="微软雅黑" w:hAnsi="微软雅黑" w:cs="宋体" w:hint="eastAsia"/>
          <w:szCs w:val="18"/>
        </w:rPr>
        <w:t>)</w:t>
      </w:r>
      <w:r w:rsidRPr="003F588C">
        <w:rPr>
          <w:rFonts w:ascii="Times New Roman" w:eastAsia="微软雅黑" w:hAnsi="微软雅黑" w:cs="宋体" w:hint="eastAsia"/>
          <w:szCs w:val="18"/>
        </w:rPr>
        <w:t>，都出现了非洲南部的大三角，两图类似。朝鲜地图的作者明确说是据元人两种地图合绘而成。可见，元人对非洲地理形势已有所了解，海外地理知识的扩展反映了海外交通的进步。可以认为，元代的海外活动为</w:t>
      </w:r>
      <w:r w:rsidRPr="003F588C">
        <w:rPr>
          <w:rFonts w:ascii="Times New Roman" w:eastAsia="微软雅黑" w:hAnsi="微软雅黑" w:cs="宋体" w:hint="eastAsia"/>
          <w:szCs w:val="18"/>
        </w:rPr>
        <w:t>15</w:t>
      </w:r>
      <w:r w:rsidRPr="003F588C">
        <w:rPr>
          <w:rFonts w:ascii="Times New Roman" w:eastAsia="微软雅黑" w:hAnsi="微软雅黑" w:cs="宋体" w:hint="eastAsia"/>
          <w:szCs w:val="18"/>
        </w:rPr>
        <w:t>世纪郑和航海奠定了基础。</w:t>
      </w:r>
    </w:p>
    <w:p w:rsidR="003F588C" w14:paraId="46FD31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下列说法与原文相符的是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A62B7C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、与元朝交往的海外诸国大大多于前朝</w:t>
      </w:r>
    </w:p>
    <w:p w:rsidR="003F588C" w14:paraId="38321B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、元朝西征曾到达非洲并据此绘出地图</w:t>
      </w:r>
    </w:p>
    <w:p w:rsidR="003F588C" w14:paraId="7557AF3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、元朝是我国海上交通最为发达的时期</w:t>
      </w:r>
    </w:p>
    <w:p w:rsidR="003F588C" w14:paraId="3FEA87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、历史上我国海外贸易最繁荣的是元朝</w:t>
      </w:r>
    </w:p>
    <w:p w:rsidR="003F588C" w14:paraId="2367EE9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653885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第一步，分析文段，将选项与原文一一对应。第二步，对比选项。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项对应原文第二句“与元朝有联系的国家和地区……相当一部分是前代没有记载的”，言下之</w:t>
      </w:r>
      <w:r w:rsidRPr="003F588C">
        <w:rPr>
          <w:rFonts w:ascii="Times New Roman" w:eastAsia="微软雅黑" w:hAnsi="微软雅黑" w:cs="宋体" w:hint="eastAsia"/>
          <w:szCs w:val="18"/>
        </w:rPr>
        <w:t>意就是有很多新的国家和地区。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项是该句的同义替换，符合文意。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项对应文中表述“朝鲜地图的作者明确说是据元人两种地图合绘而成”，但并未提到元朝曾西征到达非洲，并据此绘出地图之事，属于无中生有，排除。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项中“海上交通最为发达”和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项中“海外贸易最繁荣”都在文中没有提及，属于无中生有，均排除。故选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45F87A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1FE4355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0DE0C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3192DE4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6A64FCD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3F458C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6A23E33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7DD0001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F9FF6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26B9C0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F0C234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4FB32A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2762D4D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158C8B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4BDF2B0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4B8281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8B9D87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本地杂草野花由于经历了千百年的自然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，对当地气候和土质都有极好的适应性，根本不需要过多额外的养护。而且，与属于外来物种的人工草坪相比，本地杂草野花还有一个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就是生态安全。</w:t>
      </w:r>
    </w:p>
    <w:p w:rsidR="003F588C" w14:paraId="3CB2C61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依次填入横线中最恰当的一项是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https://d.book118.com/906132145120010034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paraId="16AF5A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37DD" w14:paraId="6BD315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paraId="602CF18B" w14:textId="2AC14B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637DD" w14:paraId="3D8658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paraId="4798F02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37D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textId="2AC14B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637D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37D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:rsidP="005E01B6" w14:textId="2AC14B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637D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paraId="00ED66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paraId="0DB562E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paraId="20D95F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7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9C641C"/>
    <w:rsid w:val="00A77B3E"/>
    <w:rsid w:val="00A95C3D"/>
    <w:rsid w:val="00C637D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E740B8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customStyle="1" w:styleId="00">
    <w:name w:val="普通(网站)_0"/>
    <w:basedOn w:val="0"/>
    <w:qFormat/>
    <w:rsid w:val="007675BD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C637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637DD"/>
    <w:rPr>
      <w:sz w:val="18"/>
      <w:szCs w:val="18"/>
    </w:rPr>
  </w:style>
  <w:style w:type="paragraph" w:styleId="Footer">
    <w:name w:val="footer"/>
    <w:basedOn w:val="Normal"/>
    <w:link w:val="a0"/>
    <w:rsid w:val="00C637D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637DD"/>
    <w:rPr>
      <w:sz w:val="18"/>
      <w:szCs w:val="18"/>
    </w:rPr>
  </w:style>
  <w:style w:type="character" w:styleId="PageNumber">
    <w:name w:val="page number"/>
    <w:basedOn w:val="DefaultParagraphFont"/>
    <w:rsid w:val="00C6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06132145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3672</Words>
  <Characters>20935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2024-01-14T03:29:00Z</dcterms:created>
  <dcterms:modified xsi:type="dcterms:W3CDTF">2024-01-14T03:29:00Z</dcterms:modified>
</cp:coreProperties>
</file>