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2024年其他招录考试-大学生村官历年高频考点试卷专家荟萃含答案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对大包装或者进口种子实行分装的，应当标注（），并对种子质量负责。</w:t>
      </w:r>
    </w:p>
    <w:p>
      <w:pPr>
        <w:pStyle w:val="Normal0"/>
        <w:jc w:val="left"/>
        <w:rPr>
          <w:rFonts w:ascii="黑体" w:eastAsia="黑体" w:hAnsi="黑体" w:cs="黑体" w:hint="eastAsia"/>
          <w:sz w:val="24"/>
          <w:szCs w:val="28"/>
        </w:rPr>
      </w:pPr>
      <w:r>
        <w:rPr>
          <w:rFonts w:ascii="黑体" w:eastAsia="黑体" w:hAnsi="黑体" w:cs="黑体" w:hint="eastAsia"/>
          <w:sz w:val="24"/>
          <w:szCs w:val="28"/>
        </w:rPr>
        <w:t>A、分装地点</w:t>
      </w:r>
    </w:p>
    <w:p>
      <w:pPr>
        <w:pStyle w:val="Normal0"/>
        <w:jc w:val="left"/>
        <w:rPr>
          <w:rFonts w:ascii="黑体" w:eastAsia="黑体" w:hAnsi="黑体" w:cs="黑体" w:hint="eastAsia"/>
          <w:sz w:val="24"/>
          <w:szCs w:val="28"/>
        </w:rPr>
      </w:pPr>
      <w:r>
        <w:rPr>
          <w:rFonts w:ascii="黑体" w:eastAsia="黑体" w:hAnsi="黑体" w:cs="黑体" w:hint="eastAsia"/>
          <w:sz w:val="24"/>
          <w:szCs w:val="28"/>
        </w:rPr>
        <w:t>B、分装单位</w:t>
      </w:r>
    </w:p>
    <w:p>
      <w:pPr>
        <w:pStyle w:val="Normal0"/>
        <w:jc w:val="left"/>
        <w:rPr>
          <w:rFonts w:ascii="黑体" w:eastAsia="黑体" w:hAnsi="黑体" w:cs="黑体" w:hint="eastAsia"/>
          <w:sz w:val="24"/>
          <w:szCs w:val="28"/>
        </w:rPr>
      </w:pPr>
      <w:r>
        <w:rPr>
          <w:rFonts w:ascii="黑体" w:eastAsia="黑体" w:hAnsi="黑体" w:cs="黑体" w:hint="eastAsia"/>
          <w:sz w:val="24"/>
          <w:szCs w:val="28"/>
        </w:rPr>
        <w:t>C、分装企业</w:t>
      </w:r>
    </w:p>
    <w:p>
      <w:pPr>
        <w:pStyle w:val="Normal0"/>
        <w:jc w:val="left"/>
        <w:rPr>
          <w:rFonts w:ascii="黑体" w:eastAsia="黑体" w:hAnsi="黑体" w:cs="黑体" w:hint="eastAsia"/>
          <w:sz w:val="24"/>
          <w:szCs w:val="28"/>
        </w:rPr>
      </w:pPr>
      <w:r>
        <w:rPr>
          <w:rFonts w:ascii="黑体" w:eastAsia="黑体" w:hAnsi="黑体" w:cs="黑体" w:hint="eastAsia"/>
          <w:sz w:val="24"/>
          <w:szCs w:val="28"/>
        </w:rPr>
        <w:t>D、分装日期</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夫妻离婚后，原承包地怎样进行确权登记？</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中央提出脱贫攻坚到2020年要实现的“两不愁、三保障”目标是什么？</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档卡整改中要实现哪三个方面的明显提升？</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支持贫困地区建设县乡基层劳动就业和社会保障服务平台，引导和支持用人企业在贫困地区建立劳务培训基地，开展好订单定向培训，建立和完善（）对接机制。</w:t>
      </w:r>
    </w:p>
    <w:p>
      <w:pPr>
        <w:pStyle w:val="Normal4"/>
        <w:jc w:val="left"/>
        <w:rPr>
          <w:rFonts w:ascii="黑体" w:eastAsia="黑体" w:hAnsi="黑体" w:cs="黑体" w:hint="eastAsia"/>
          <w:sz w:val="24"/>
          <w:szCs w:val="28"/>
        </w:rPr>
      </w:pPr>
      <w:r>
        <w:rPr>
          <w:rFonts w:ascii="黑体" w:eastAsia="黑体" w:hAnsi="黑体" w:cs="黑体" w:hint="eastAsia"/>
          <w:sz w:val="24"/>
          <w:szCs w:val="28"/>
        </w:rPr>
        <w:t>A、输出地与输入地劳务</w:t>
      </w:r>
    </w:p>
    <w:p>
      <w:pPr>
        <w:pStyle w:val="Normal4"/>
        <w:jc w:val="left"/>
        <w:rPr>
          <w:rFonts w:ascii="黑体" w:eastAsia="黑体" w:hAnsi="黑体" w:cs="黑体" w:hint="eastAsia"/>
          <w:sz w:val="24"/>
          <w:szCs w:val="28"/>
        </w:rPr>
      </w:pPr>
      <w:r>
        <w:rPr>
          <w:rFonts w:ascii="黑体" w:eastAsia="黑体" w:hAnsi="黑体" w:cs="黑体" w:hint="eastAsia"/>
          <w:sz w:val="24"/>
          <w:szCs w:val="28"/>
        </w:rPr>
        <w:t>B、培训内容</w:t>
      </w:r>
    </w:p>
    <w:p>
      <w:pPr>
        <w:pStyle w:val="Normal4"/>
        <w:jc w:val="left"/>
        <w:rPr>
          <w:rFonts w:ascii="黑体" w:eastAsia="黑体" w:hAnsi="黑体" w:cs="黑体" w:hint="eastAsia"/>
          <w:sz w:val="24"/>
          <w:szCs w:val="28"/>
        </w:rPr>
      </w:pPr>
      <w:r>
        <w:rPr>
          <w:rFonts w:ascii="黑体" w:eastAsia="黑体" w:hAnsi="黑体" w:cs="黑体" w:hint="eastAsia"/>
          <w:sz w:val="24"/>
          <w:szCs w:val="28"/>
        </w:rPr>
        <w:t>C、院校建设</w:t>
      </w:r>
    </w:p>
    <w:p>
      <w:pPr>
        <w:pStyle w:val="Normal4"/>
        <w:jc w:val="left"/>
        <w:rPr>
          <w:rFonts w:ascii="黑体" w:eastAsia="黑体" w:hAnsi="黑体" w:cs="黑体" w:hint="eastAsia"/>
          <w:sz w:val="24"/>
          <w:szCs w:val="28"/>
        </w:rPr>
      </w:pPr>
      <w:r>
        <w:rPr>
          <w:rFonts w:ascii="黑体" w:eastAsia="黑体" w:hAnsi="黑体" w:cs="黑体" w:hint="eastAsia"/>
          <w:sz w:val="24"/>
          <w:szCs w:val="28"/>
        </w:rPr>
        <w:t>D、教育政策</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农药经营许可单位（根据《农药管理条例》规定）包括哪些内容？</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“两个务必”是什么？</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出口种苗花卉注册企业应建立种植档案，对种苗花卉来源流向、种植收获时间，有害生物监测防治措施等日常管理情况进行详细记录。</w:t>
      </w:r>
    </w:p>
    <w:p>
      <w:pPr>
        <w:pStyle w:val="Normal7"/>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肥料包装标识遵循哪些原则？</w:t>
      </w:r>
    </w:p>
    <w:p>
      <w:pPr>
        <w:pStyle w:val="Normal8"/>
        <w:jc w:val="left"/>
        <w:rPr>
          <w:rFonts w:ascii="黑体" w:eastAsia="黑体" w:hAnsi="黑体" w:cs="黑体" w:hint="eastAsia"/>
          <w:sz w:val="24"/>
          <w:szCs w:val="28"/>
        </w:rPr>
      </w:pPr>
    </w:p>
    <w:p>
      <w:pPr>
        <w:pStyle w:val="Normal9"/>
      </w:pPr>
      <w:r>
        <w:t>10.</w:t>
      </w:r>
      <w:r>
        <w:drawing>
          <wp:inline distT="0" distB="0" distL="0" distR="0">
            <wp:extent cx="7296916" cy="6220478"/>
            <wp:effectExtent l="0" t="0" r="0" b="0"/>
            <wp:docPr id="40" name="_x0000_i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_x0000_i0040"/>
                    <pic:cNvPicPr/>
                  </pic:nvPicPr>
                  <pic:blipFill>
                    <a:blip xmlns:r="http://schemas.openxmlformats.org/officeDocument/2006/relationships" r:embed="rId16"/>
                    <a:stretch>
                      <a:fillRect/>
                    </a:stretch>
                  </pic:blipFill>
                  <pic:spPr>
                    <a:xfrm>
                      <a:off x="0" y="0"/>
                      <a:ext cx="7296916" cy="6220478"/>
                    </a:xfrm>
                    <a:prstGeom prst="rect">
                      <a:avLst/>
                    </a:prstGeom>
                  </pic:spPr>
                </pic:pic>
              </a:graphicData>
            </a:graphic>
          </wp:inline>
        </w:drawing>
      </w:r>
    </w:p>
    <w:p>
      <w:pPr>
        <w:pStyle w:val="Normal9"/>
      </w:pPr>
      <w:r>
        <w:rPr>
          <w:rFonts w:ascii="黑体" w:eastAsia="黑体" w:hAnsi="黑体" w:cs="黑体" w:hint="eastAsia"/>
          <w:sz w:val="24"/>
          <w:szCs w:val="28"/>
        </w:rPr>
        <w:t>下列年份中，按行业分城镇单位就业人员工资总额中公共管理和社会组织同比增速最快的是（）。</w:t>
      </w:r>
    </w:p>
    <w:p>
      <w:pPr>
        <w:pStyle w:val="Normal9"/>
      </w:pPr>
      <w:r>
        <w:rPr>
          <w:rFonts w:ascii="黑体" w:eastAsia="黑体" w:hAnsi="黑体" w:cs="黑体" w:hint="eastAsia"/>
          <w:sz w:val="24"/>
          <w:szCs w:val="28"/>
        </w:rPr>
        <w:t>A、2008年</w:t>
      </w:r>
    </w:p>
    <w:p>
      <w:pPr>
        <w:pStyle w:val="Normal9"/>
      </w:pPr>
      <w:r>
        <w:rPr>
          <w:rFonts w:ascii="黑体" w:eastAsia="黑体" w:hAnsi="黑体" w:cs="黑体" w:hint="eastAsia"/>
          <w:sz w:val="24"/>
          <w:szCs w:val="28"/>
        </w:rPr>
        <w:t>B、2009年</w:t>
      </w:r>
    </w:p>
    <w:p>
      <w:pPr>
        <w:pStyle w:val="Normal9"/>
      </w:pPr>
      <w:r>
        <w:rPr>
          <w:rFonts w:ascii="黑体" w:eastAsia="黑体" w:hAnsi="黑体" w:cs="黑体" w:hint="eastAsia"/>
          <w:sz w:val="24"/>
          <w:szCs w:val="28"/>
        </w:rPr>
        <w:t>C、2010年</w:t>
      </w:r>
    </w:p>
    <w:p>
      <w:pPr>
        <w:pStyle w:val="Normal9"/>
      </w:pPr>
      <w:r>
        <w:rPr>
          <w:rFonts w:ascii="黑体" w:eastAsia="黑体" w:hAnsi="黑体" w:cs="黑体" w:hint="eastAsia"/>
          <w:sz w:val="24"/>
          <w:szCs w:val="28"/>
        </w:rPr>
        <w:t>D、2011年</w:t>
      </w:r>
    </w:p>
    <w:p>
      <w:pPr>
        <w:pStyle w:val="Normal9"/>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2012年全国粮食种植面积11127万公顷，比上年增加69万公顷；棉花种植面积470万公顷，减少34万公顷；油料种植面积1398万公顷，增加12万公顷；糖料种植面积203万公顷，增加9万公顷。</w:t>
      </w:r>
    </w:p>
    <w:p>
      <w:pPr>
        <w:pStyle w:val="Normal10"/>
        <w:jc w:val="left"/>
        <w:rPr>
          <w:rFonts w:ascii="黑体" w:eastAsia="黑体" w:hAnsi="黑体" w:cs="黑体" w:hint="eastAsia"/>
          <w:sz w:val="24"/>
          <w:szCs w:val="28"/>
        </w:rPr>
        <w:sectPr>
          <w:headerReference w:type="even" r:id="rId17"/>
          <w:headerReference w:type="default" r:id="rId18"/>
          <w:footerReference w:type="even" r:id="rId19"/>
          <w:headerReference w:type="first" r:id="rId20"/>
          <w:footerReference w:type="first" r:id="rId21"/>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ab/>
      </w:r>
    </w:p>
    <w:p>
      <w:pPr>
        <w:pStyle w:val="Normal10"/>
        <w:jc w:val="left"/>
        <w:rPr>
          <w:rFonts w:ascii="黑体" w:eastAsia="黑体" w:hAnsi="黑体" w:cs="黑体" w:hint="eastAsia"/>
          <w:sz w:val="24"/>
          <w:szCs w:val="28"/>
        </w:rPr>
      </w:pPr>
      <w:r>
        <w:rPr>
          <w:rFonts w:ascii="黑体" w:eastAsia="黑体" w:hAnsi="黑体" w:cs="黑体" w:hint="eastAsia"/>
          <w:sz w:val="24"/>
          <w:szCs w:val="28"/>
        </w:rPr>
        <w:t>全年粮食产量58957万吨，比上年增加1836万吨，增产3.2%。其中，夏粮产量12995万吨，增产2.8%；早稻产量3329万吨，增产1.6%；秋粮产量42633万吨，增产3.5%。其中，主要粮食品种中，稻谷产量20429万吨，增产1.6%；小麦产量12058万吨，增产2.7%；玉米产量20812万吨，增产8.0%。</w:t>
      </w:r>
    </w:p>
    <w:p>
      <w:pPr>
        <w:pStyle w:val="Normal10"/>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全年棉花产量684万吨，比上年增产3.8%。油料产量3476万吨，增产5.1%。糖料产量13493万吨，增产7.8%。烤烟产量320万吨，增产11.5%。茶叶产量180万吨，增产11.2%。</w:t>
      </w:r>
      <w:r>
        <w:drawing>
          <wp:inline distT="0" distB="0" distL="0" distR="0">
            <wp:extent cx="5582236" cy="2162402"/>
            <wp:effectExtent l="0" t="0" r="0" b="0"/>
            <wp:docPr id="41" name="_x0000_i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_x0000_i0041"/>
                    <pic:cNvPicPr/>
                  </pic:nvPicPr>
                  <pic:blipFill>
                    <a:blip xmlns:r="http://schemas.openxmlformats.org/officeDocument/2006/relationships" r:embed="rId22"/>
                    <a:stretch>
                      <a:fillRect/>
                    </a:stretch>
                  </pic:blipFill>
                  <pic:spPr>
                    <a:xfrm>
                      <a:off x="0" y="0"/>
                      <a:ext cx="5582236" cy="2162402"/>
                    </a:xfrm>
                    <a:prstGeom prst="rect">
                      <a:avLst/>
                    </a:prstGeom>
                  </pic:spPr>
                </pic:pic>
              </a:graphicData>
            </a:graphic>
          </wp:inline>
        </w:drawing>
      </w:r>
    </w:p>
    <w:p>
      <w:pPr>
        <w:pStyle w:val="Normal10"/>
        <w:jc w:val="left"/>
        <w:rPr>
          <w:rFonts w:ascii="黑体" w:eastAsia="黑体" w:hAnsi="黑体" w:cs="黑体" w:hint="eastAsia"/>
          <w:sz w:val="24"/>
          <w:szCs w:val="28"/>
        </w:rPr>
      </w:pPr>
      <w:r>
        <w:rPr>
          <w:rFonts w:ascii="黑体" w:eastAsia="黑体" w:hAnsi="黑体" w:cs="黑体" w:hint="eastAsia"/>
          <w:sz w:val="24"/>
          <w:szCs w:val="28"/>
        </w:rPr>
        <w:t>根据所给资料，选出下列说法正确的一项是（）。</w:t>
      </w:r>
    </w:p>
    <w:p>
      <w:pPr>
        <w:pStyle w:val="Normal10"/>
        <w:jc w:val="left"/>
        <w:rPr>
          <w:rFonts w:ascii="黑体" w:eastAsia="黑体" w:hAnsi="黑体" w:cs="黑体" w:hint="eastAsia"/>
          <w:sz w:val="24"/>
          <w:szCs w:val="28"/>
        </w:rPr>
      </w:pPr>
      <w:r>
        <w:rPr>
          <w:rFonts w:ascii="黑体" w:eastAsia="黑体" w:hAnsi="黑体" w:cs="黑体" w:hint="eastAsia"/>
          <w:sz w:val="24"/>
          <w:szCs w:val="28"/>
        </w:rPr>
        <w:t>A、从08-12年，粮食产量年增长2000多万吨</w:t>
      </w:r>
    </w:p>
    <w:p>
      <w:pPr>
        <w:pStyle w:val="Normal10"/>
        <w:jc w:val="left"/>
        <w:rPr>
          <w:rFonts w:ascii="黑体" w:eastAsia="黑体" w:hAnsi="黑体" w:cs="黑体" w:hint="eastAsia"/>
          <w:sz w:val="24"/>
          <w:szCs w:val="28"/>
        </w:rPr>
      </w:pPr>
      <w:r>
        <w:rPr>
          <w:rFonts w:ascii="黑体" w:eastAsia="黑体" w:hAnsi="黑体" w:cs="黑体" w:hint="eastAsia"/>
          <w:sz w:val="24"/>
          <w:szCs w:val="28"/>
        </w:rPr>
        <w:t>B、12年，茶叶产量同比增产约18万吨</w:t>
      </w:r>
    </w:p>
    <w:p>
      <w:pPr>
        <w:pStyle w:val="Normal10"/>
        <w:jc w:val="left"/>
        <w:rPr>
          <w:rFonts w:ascii="黑体" w:eastAsia="黑体" w:hAnsi="黑体" w:cs="黑体" w:hint="eastAsia"/>
          <w:sz w:val="24"/>
          <w:szCs w:val="28"/>
        </w:rPr>
      </w:pPr>
      <w:r>
        <w:rPr>
          <w:rFonts w:ascii="黑体" w:eastAsia="黑体" w:hAnsi="黑体" w:cs="黑体" w:hint="eastAsia"/>
          <w:sz w:val="24"/>
          <w:szCs w:val="28"/>
        </w:rPr>
        <w:t>C、12年夏粮产量在粮食总产量中的比重高于上年水平</w:t>
      </w:r>
    </w:p>
    <w:p>
      <w:pPr>
        <w:pStyle w:val="Normal10"/>
        <w:jc w:val="left"/>
        <w:rPr>
          <w:rFonts w:ascii="黑体" w:eastAsia="黑体" w:hAnsi="黑体" w:cs="黑体" w:hint="eastAsia"/>
          <w:sz w:val="24"/>
          <w:szCs w:val="28"/>
        </w:rPr>
      </w:pPr>
      <w:r>
        <w:rPr>
          <w:rFonts w:ascii="黑体" w:eastAsia="黑体" w:hAnsi="黑体" w:cs="黑体" w:hint="eastAsia"/>
          <w:sz w:val="24"/>
          <w:szCs w:val="28"/>
        </w:rPr>
        <w:t>D、从08-12年粮食产量增长率逐年提高</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除了农作物种子，下列哪些作物同样适用种子法（）</w:t>
      </w:r>
    </w:p>
    <w:p>
      <w:pPr>
        <w:pStyle w:val="Normal11"/>
        <w:jc w:val="left"/>
        <w:rPr>
          <w:rFonts w:ascii="黑体" w:eastAsia="黑体" w:hAnsi="黑体" w:cs="黑体" w:hint="eastAsia"/>
          <w:sz w:val="24"/>
          <w:szCs w:val="28"/>
        </w:rPr>
      </w:pPr>
      <w:r>
        <w:rPr>
          <w:rFonts w:ascii="黑体" w:eastAsia="黑体" w:hAnsi="黑体" w:cs="黑体" w:hint="eastAsia"/>
          <w:sz w:val="24"/>
          <w:szCs w:val="28"/>
        </w:rPr>
        <w:t>A、草种</w:t>
      </w:r>
    </w:p>
    <w:p>
      <w:pPr>
        <w:pStyle w:val="Normal11"/>
        <w:jc w:val="left"/>
        <w:rPr>
          <w:rFonts w:ascii="黑体" w:eastAsia="黑体" w:hAnsi="黑体" w:cs="黑体" w:hint="eastAsia"/>
          <w:sz w:val="24"/>
          <w:szCs w:val="28"/>
        </w:rPr>
      </w:pPr>
      <w:r>
        <w:rPr>
          <w:rFonts w:ascii="黑体" w:eastAsia="黑体" w:hAnsi="黑体" w:cs="黑体" w:hint="eastAsia"/>
          <w:sz w:val="24"/>
          <w:szCs w:val="28"/>
        </w:rPr>
        <w:t>B、食用菌菌种</w:t>
      </w:r>
    </w:p>
    <w:p>
      <w:pPr>
        <w:pStyle w:val="Normal11"/>
        <w:jc w:val="left"/>
        <w:rPr>
          <w:rFonts w:ascii="黑体" w:eastAsia="黑体" w:hAnsi="黑体" w:cs="黑体" w:hint="eastAsia"/>
          <w:sz w:val="24"/>
          <w:szCs w:val="28"/>
        </w:rPr>
      </w:pPr>
      <w:r>
        <w:rPr>
          <w:rFonts w:ascii="黑体" w:eastAsia="黑体" w:hAnsi="黑体" w:cs="黑体" w:hint="eastAsia"/>
          <w:sz w:val="24"/>
          <w:szCs w:val="28"/>
        </w:rPr>
        <w:t>C、中药材种</w:t>
      </w:r>
    </w:p>
    <w:p>
      <w:pPr>
        <w:pStyle w:val="Normal11"/>
        <w:jc w:val="left"/>
        <w:rPr>
          <w:rFonts w:ascii="黑体" w:eastAsia="黑体" w:hAnsi="黑体" w:cs="黑体" w:hint="eastAsia"/>
          <w:sz w:val="24"/>
          <w:szCs w:val="28"/>
        </w:rPr>
      </w:pPr>
      <w:r>
        <w:rPr>
          <w:rFonts w:ascii="黑体" w:eastAsia="黑体" w:hAnsi="黑体" w:cs="黑体" w:hint="eastAsia"/>
          <w:sz w:val="24"/>
          <w:szCs w:val="28"/>
        </w:rPr>
        <w:t>D、烟草种</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来自未实施注册登记生产经营企业的出口种苗花卉，检验检疫机构不得受理报检，不准出口。</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当前农村医疗卫生服务体系存在的主要问题是什么？</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生育保险基金由用人单位全部负担，最高不得超过工资总额的（）%。</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我国仅占37%的城镇人口，在全部社会消费品零售总额中却占到了（）%</w:t>
      </w:r>
    </w:p>
    <w:p>
      <w:pPr>
        <w:pStyle w:val="Normal15"/>
        <w:jc w:val="left"/>
        <w:rPr>
          <w:rFonts w:ascii="黑体" w:eastAsia="黑体" w:hAnsi="黑体" w:cs="黑体" w:hint="eastAsia"/>
          <w:sz w:val="24"/>
          <w:szCs w:val="28"/>
        </w:rPr>
      </w:pPr>
      <w:r>
        <w:rPr>
          <w:rFonts w:ascii="黑体" w:eastAsia="黑体" w:hAnsi="黑体" w:cs="黑体" w:hint="eastAsia"/>
          <w:sz w:val="24"/>
          <w:szCs w:val="28"/>
        </w:rPr>
        <w:t>A、62</w:t>
      </w:r>
    </w:p>
    <w:p>
      <w:pPr>
        <w:pStyle w:val="Normal15"/>
        <w:jc w:val="left"/>
        <w:rPr>
          <w:rFonts w:ascii="黑体" w:eastAsia="黑体" w:hAnsi="黑体" w:cs="黑体" w:hint="eastAsia"/>
          <w:sz w:val="24"/>
          <w:szCs w:val="28"/>
        </w:rPr>
      </w:pPr>
      <w:r>
        <w:rPr>
          <w:rFonts w:ascii="黑体" w:eastAsia="黑体" w:hAnsi="黑体" w:cs="黑体" w:hint="eastAsia"/>
          <w:sz w:val="24"/>
          <w:szCs w:val="28"/>
        </w:rPr>
        <w:t>B、63</w:t>
      </w:r>
    </w:p>
    <w:p>
      <w:pPr>
        <w:pStyle w:val="Normal15"/>
        <w:jc w:val="left"/>
        <w:rPr>
          <w:rFonts w:ascii="黑体" w:eastAsia="黑体" w:hAnsi="黑体" w:cs="黑体" w:hint="eastAsia"/>
          <w:sz w:val="24"/>
          <w:szCs w:val="28"/>
        </w:rPr>
      </w:pPr>
      <w:r>
        <w:rPr>
          <w:rFonts w:ascii="黑体" w:eastAsia="黑体" w:hAnsi="黑体" w:cs="黑体" w:hint="eastAsia"/>
          <w:sz w:val="24"/>
          <w:szCs w:val="28"/>
        </w:rPr>
        <w:t>C、64</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sectPr>
          <w:headerReference w:type="even" r:id="rId23"/>
          <w:headerReference w:type="default" r:id="rId24"/>
          <w:footerReference w:type="even" r:id="rId25"/>
          <w:headerReference w:type="first" r:id="rId26"/>
          <w:footerReference w:type="first" r:id="rId27"/>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17.</w:t>
      </w:r>
      <w:r>
        <w:rPr>
          <w:rFonts w:ascii="黑体" w:eastAsia="黑体" w:hAnsi="黑体" w:cs="黑体" w:hint="eastAsia"/>
          <w:sz w:val="24"/>
          <w:szCs w:val="28"/>
        </w:rPr>
        <w:t>以下说法错误的是：（）。</w:t>
      </w:r>
      <w:r>
        <w:rPr>
          <w:rFonts w:ascii="黑体" w:eastAsia="黑体" w:hAnsi="黑体" w:cs="黑体" w:hint="eastAsia"/>
          <w:sz w:val="24"/>
          <w:szCs w:val="28"/>
        </w:rPr>
        <w:tab/>
      </w:r>
    </w:p>
    <w:p>
      <w:pPr>
        <w:pStyle w:val="Normal16"/>
        <w:jc w:val="left"/>
        <w:rPr>
          <w:rFonts w:ascii="黑体" w:eastAsia="黑体" w:hAnsi="黑体" w:cs="黑体" w:hint="eastAsia"/>
          <w:sz w:val="24"/>
          <w:szCs w:val="28"/>
        </w:rPr>
      </w:pPr>
      <w:r>
        <w:drawing>
          <wp:inline distT="0" distB="0" distL="0" distR="0">
            <wp:extent cx="7744638" cy="7563644"/>
            <wp:effectExtent l="0" t="0" r="0" b="0"/>
            <wp:docPr id="42" name="_x0000_i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_x0000_i0042"/>
                    <pic:cNvPicPr/>
                  </pic:nvPicPr>
                  <pic:blipFill>
                    <a:blip xmlns:r="http://schemas.openxmlformats.org/officeDocument/2006/relationships" r:embed="rId28"/>
                    <a:stretch>
                      <a:fillRect/>
                    </a:stretch>
                  </pic:blipFill>
                  <pic:spPr>
                    <a:xfrm>
                      <a:off x="0" y="0"/>
                      <a:ext cx="7744638" cy="7563644"/>
                    </a:xfrm>
                    <a:prstGeom prst="rect">
                      <a:avLst/>
                    </a:prstGeom>
                  </pic:spPr>
                </pic:pic>
              </a:graphicData>
            </a:graphic>
          </wp:inline>
        </w:drawing>
      </w:r>
    </w:p>
    <w:p>
      <w:pPr>
        <w:pStyle w:val="Normal16"/>
        <w:jc w:val="left"/>
        <w:rPr>
          <w:rFonts w:ascii="黑体" w:eastAsia="黑体" w:hAnsi="黑体" w:cs="黑体" w:hint="eastAsia"/>
          <w:sz w:val="24"/>
          <w:szCs w:val="28"/>
        </w:rPr>
      </w:pPr>
      <w:r>
        <w:rPr>
          <w:rFonts w:ascii="黑体" w:eastAsia="黑体" w:hAnsi="黑体" w:cs="黑体" w:hint="eastAsia"/>
          <w:sz w:val="24"/>
          <w:szCs w:val="28"/>
        </w:rPr>
        <w:t>A、2010年1月份零售额增幅在12个月中是最小的</w:t>
      </w:r>
    </w:p>
    <w:p>
      <w:pPr>
        <w:pStyle w:val="Normal16"/>
        <w:jc w:val="left"/>
        <w:rPr>
          <w:rFonts w:ascii="黑体" w:eastAsia="黑体" w:hAnsi="黑体" w:cs="黑体" w:hint="eastAsia"/>
          <w:sz w:val="24"/>
          <w:szCs w:val="28"/>
        </w:rPr>
      </w:pPr>
      <w:r>
        <w:rPr>
          <w:rFonts w:ascii="黑体" w:eastAsia="黑体" w:hAnsi="黑体" w:cs="黑体" w:hint="eastAsia"/>
          <w:sz w:val="24"/>
          <w:szCs w:val="28"/>
        </w:rPr>
        <w:t>B、2010年3月份零售额在12个月中是最少的</w:t>
      </w:r>
    </w:p>
    <w:p>
      <w:pPr>
        <w:pStyle w:val="Normal16"/>
        <w:jc w:val="left"/>
        <w:rPr>
          <w:rFonts w:ascii="黑体" w:eastAsia="黑体" w:hAnsi="黑体" w:cs="黑体" w:hint="eastAsia"/>
          <w:sz w:val="24"/>
          <w:szCs w:val="28"/>
        </w:rPr>
      </w:pPr>
      <w:r>
        <w:rPr>
          <w:rFonts w:ascii="黑体" w:eastAsia="黑体" w:hAnsi="黑体" w:cs="黑体" w:hint="eastAsia"/>
          <w:sz w:val="24"/>
          <w:szCs w:val="28"/>
        </w:rPr>
        <w:t>C、2010年批发零售业零售额与社会消费品零售总额的比重超过50%</w:t>
      </w:r>
    </w:p>
    <w:p>
      <w:pPr>
        <w:pStyle w:val="Normal16"/>
        <w:jc w:val="left"/>
        <w:rPr>
          <w:rFonts w:ascii="黑体" w:eastAsia="黑体" w:hAnsi="黑体" w:cs="黑体" w:hint="eastAsia"/>
          <w:sz w:val="24"/>
          <w:szCs w:val="28"/>
        </w:rPr>
      </w:pPr>
      <w:r>
        <w:rPr>
          <w:rFonts w:ascii="黑体" w:eastAsia="黑体" w:hAnsi="黑体" w:cs="黑体" w:hint="eastAsia"/>
          <w:sz w:val="24"/>
          <w:szCs w:val="28"/>
        </w:rPr>
        <w:t>D、2010年限额以上企业零售额与社会消费品零售总额比重超过50%</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一切形态的地租都是以（）的存在为前提的。</w:t>
      </w:r>
    </w:p>
    <w:p>
      <w:pPr>
        <w:pStyle w:val="Normal17"/>
        <w:jc w:val="left"/>
        <w:rPr>
          <w:rFonts w:ascii="黑体" w:eastAsia="黑体" w:hAnsi="黑体" w:cs="黑体" w:hint="eastAsia"/>
          <w:sz w:val="24"/>
          <w:szCs w:val="28"/>
        </w:rPr>
      </w:pPr>
      <w:r>
        <w:rPr>
          <w:rFonts w:ascii="黑体" w:eastAsia="黑体" w:hAnsi="黑体" w:cs="黑体" w:hint="eastAsia"/>
          <w:sz w:val="24"/>
          <w:szCs w:val="28"/>
        </w:rPr>
        <w:t>A、土地所有权</w:t>
      </w:r>
    </w:p>
    <w:p>
      <w:pPr>
        <w:pStyle w:val="Normal17"/>
        <w:jc w:val="left"/>
        <w:rPr>
          <w:rFonts w:ascii="黑体" w:eastAsia="黑体" w:hAnsi="黑体" w:cs="黑体" w:hint="eastAsia"/>
          <w:sz w:val="24"/>
          <w:szCs w:val="28"/>
        </w:rPr>
        <w:sectPr>
          <w:headerReference w:type="even" r:id="rId29"/>
          <w:headerReference w:type="default" r:id="rId30"/>
          <w:footerReference w:type="even" r:id="rId31"/>
          <w:headerReference w:type="first" r:id="rId32"/>
          <w:footerReference w:type="first" r:id="rId33"/>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B、私有制</w:t>
      </w:r>
    </w:p>
    <w:p>
      <w:pPr>
        <w:pStyle w:val="Normal17"/>
        <w:jc w:val="left"/>
        <w:rPr>
          <w:rFonts w:ascii="黑体" w:eastAsia="黑体" w:hAnsi="黑体" w:cs="黑体" w:hint="eastAsia"/>
          <w:sz w:val="24"/>
          <w:szCs w:val="28"/>
        </w:rPr>
      </w:pPr>
      <w:r>
        <w:rPr>
          <w:rFonts w:ascii="黑体" w:eastAsia="黑体" w:hAnsi="黑体" w:cs="黑体" w:hint="eastAsia"/>
          <w:sz w:val="24"/>
          <w:szCs w:val="28"/>
        </w:rPr>
        <w:t>C、市场经济</w:t>
      </w:r>
    </w:p>
    <w:p>
      <w:pPr>
        <w:pStyle w:val="Normal17"/>
        <w:jc w:val="left"/>
        <w:rPr>
          <w:rFonts w:ascii="黑体" w:eastAsia="黑体" w:hAnsi="黑体" w:cs="黑体" w:hint="eastAsia"/>
          <w:sz w:val="24"/>
          <w:szCs w:val="28"/>
        </w:rPr>
      </w:pPr>
      <w:r>
        <w:rPr>
          <w:rFonts w:ascii="黑体" w:eastAsia="黑体" w:hAnsi="黑体" w:cs="黑体" w:hint="eastAsia"/>
          <w:sz w:val="24"/>
          <w:szCs w:val="28"/>
        </w:rPr>
        <w:t>D、土地等级</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农业部门对辖区种子企业生产经营行为监督检查包括那5个方面的内容？</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“尽也农夫之所以早出暮入，强乎耕稼树艺，多聚菽粟，而不敢怠倦者，何也？曰：彼以为强必富，不强必贫；强必饱，不强必饥，故不敢怠倦。”墨子的话反映了战国时期（）</w:t>
      </w:r>
    </w:p>
    <w:p>
      <w:pPr>
        <w:pStyle w:val="Normal19"/>
        <w:jc w:val="left"/>
        <w:rPr>
          <w:rFonts w:ascii="黑体" w:eastAsia="黑体" w:hAnsi="黑体" w:cs="黑体" w:hint="eastAsia"/>
          <w:sz w:val="24"/>
          <w:szCs w:val="28"/>
        </w:rPr>
      </w:pPr>
      <w:r>
        <w:rPr>
          <w:rFonts w:ascii="黑体" w:eastAsia="黑体" w:hAnsi="黑体" w:cs="黑体" w:hint="eastAsia"/>
          <w:sz w:val="24"/>
          <w:szCs w:val="28"/>
        </w:rPr>
        <w:t>A、土地兼并严重，农民生活悲惨困苦</w:t>
      </w:r>
    </w:p>
    <w:p>
      <w:pPr>
        <w:pStyle w:val="Normal19"/>
        <w:jc w:val="left"/>
        <w:rPr>
          <w:rFonts w:ascii="黑体" w:eastAsia="黑体" w:hAnsi="黑体" w:cs="黑体" w:hint="eastAsia"/>
          <w:sz w:val="24"/>
          <w:szCs w:val="28"/>
        </w:rPr>
      </w:pPr>
      <w:r>
        <w:rPr>
          <w:rFonts w:ascii="黑体" w:eastAsia="黑体" w:hAnsi="黑体" w:cs="黑体" w:hint="eastAsia"/>
          <w:sz w:val="24"/>
          <w:szCs w:val="28"/>
        </w:rPr>
        <w:t>B、奴隶地位低下，阶级矛盾日益激化</w:t>
      </w:r>
    </w:p>
    <w:p>
      <w:pPr>
        <w:pStyle w:val="Normal19"/>
        <w:jc w:val="left"/>
        <w:rPr>
          <w:rFonts w:ascii="黑体" w:eastAsia="黑体" w:hAnsi="黑体" w:cs="黑体" w:hint="eastAsia"/>
          <w:sz w:val="24"/>
          <w:szCs w:val="28"/>
        </w:rPr>
      </w:pPr>
      <w:r>
        <w:rPr>
          <w:rFonts w:ascii="黑体" w:eastAsia="黑体" w:hAnsi="黑体" w:cs="黑体" w:hint="eastAsia"/>
          <w:sz w:val="24"/>
          <w:szCs w:val="28"/>
        </w:rPr>
        <w:t>C、铁器牛耕推广，奴隶主役使奴隶去开荒</w:t>
      </w:r>
    </w:p>
    <w:p>
      <w:pPr>
        <w:pStyle w:val="Normal19"/>
        <w:jc w:val="left"/>
        <w:rPr>
          <w:rFonts w:ascii="黑体" w:eastAsia="黑体" w:hAnsi="黑体" w:cs="黑体" w:hint="eastAsia"/>
          <w:sz w:val="24"/>
          <w:szCs w:val="28"/>
        </w:rPr>
      </w:pPr>
      <w:r>
        <w:rPr>
          <w:rFonts w:ascii="黑体" w:eastAsia="黑体" w:hAnsi="黑体" w:cs="黑体" w:hint="eastAsia"/>
          <w:sz w:val="24"/>
          <w:szCs w:val="28"/>
        </w:rPr>
        <w:t>D、剥削方式改变，农民生产积极性提高</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对于带动建档立卡贫困人员增收脱贫的帮扶企业，要给予（）政策支持。</w:t>
      </w:r>
    </w:p>
    <w:p>
      <w:pPr>
        <w:pStyle w:val="Normal20"/>
        <w:jc w:val="left"/>
        <w:rPr>
          <w:rFonts w:ascii="黑体" w:eastAsia="黑体" w:hAnsi="黑体" w:cs="黑体" w:hint="eastAsia"/>
          <w:sz w:val="24"/>
          <w:szCs w:val="28"/>
        </w:rPr>
      </w:pPr>
      <w:r>
        <w:rPr>
          <w:rFonts w:ascii="黑体" w:eastAsia="黑体" w:hAnsi="黑体" w:cs="黑体" w:hint="eastAsia"/>
          <w:sz w:val="24"/>
          <w:szCs w:val="28"/>
        </w:rPr>
        <w:t>A、财政</w:t>
      </w:r>
    </w:p>
    <w:p>
      <w:pPr>
        <w:pStyle w:val="Normal20"/>
        <w:jc w:val="left"/>
        <w:rPr>
          <w:rFonts w:ascii="黑体" w:eastAsia="黑体" w:hAnsi="黑体" w:cs="黑体" w:hint="eastAsia"/>
          <w:sz w:val="24"/>
          <w:szCs w:val="28"/>
        </w:rPr>
      </w:pPr>
      <w:r>
        <w:rPr>
          <w:rFonts w:ascii="黑体" w:eastAsia="黑体" w:hAnsi="黑体" w:cs="黑体" w:hint="eastAsia"/>
          <w:sz w:val="24"/>
          <w:szCs w:val="28"/>
        </w:rPr>
        <w:t>B、税务</w:t>
      </w:r>
    </w:p>
    <w:p>
      <w:pPr>
        <w:pStyle w:val="Normal20"/>
        <w:jc w:val="left"/>
        <w:rPr>
          <w:rFonts w:ascii="黑体" w:eastAsia="黑体" w:hAnsi="黑体" w:cs="黑体" w:hint="eastAsia"/>
          <w:sz w:val="24"/>
          <w:szCs w:val="28"/>
        </w:rPr>
      </w:pPr>
      <w:r>
        <w:rPr>
          <w:rFonts w:ascii="黑体" w:eastAsia="黑体" w:hAnsi="黑体" w:cs="黑体" w:hint="eastAsia"/>
          <w:sz w:val="24"/>
          <w:szCs w:val="28"/>
        </w:rPr>
        <w:t>C、金融</w:t>
      </w:r>
    </w:p>
    <w:p>
      <w:pPr>
        <w:pStyle w:val="Normal20"/>
        <w:jc w:val="left"/>
        <w:rPr>
          <w:rFonts w:ascii="黑体" w:eastAsia="黑体" w:hAnsi="黑体" w:cs="黑体" w:hint="eastAsia"/>
          <w:sz w:val="24"/>
          <w:szCs w:val="28"/>
        </w:rPr>
      </w:pPr>
      <w:r>
        <w:rPr>
          <w:rFonts w:ascii="黑体" w:eastAsia="黑体" w:hAnsi="黑体" w:cs="黑体" w:hint="eastAsia"/>
          <w:sz w:val="24"/>
          <w:szCs w:val="28"/>
        </w:rPr>
        <w:t>D、医疗</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扶贫小额信贷的扶持对象是（）。</w:t>
      </w:r>
    </w:p>
    <w:p>
      <w:pPr>
        <w:pStyle w:val="Normal21"/>
        <w:jc w:val="left"/>
        <w:rPr>
          <w:rFonts w:ascii="黑体" w:eastAsia="黑体" w:hAnsi="黑体" w:cs="黑体" w:hint="eastAsia"/>
          <w:sz w:val="24"/>
          <w:szCs w:val="28"/>
        </w:rPr>
      </w:pPr>
      <w:r>
        <w:rPr>
          <w:rFonts w:ascii="黑体" w:eastAsia="黑体" w:hAnsi="黑体" w:cs="黑体" w:hint="eastAsia"/>
          <w:sz w:val="24"/>
          <w:szCs w:val="28"/>
        </w:rPr>
        <w:t>A、建档立卡贫困户</w:t>
      </w:r>
    </w:p>
    <w:p>
      <w:pPr>
        <w:pStyle w:val="Normal21"/>
        <w:jc w:val="left"/>
        <w:rPr>
          <w:rFonts w:ascii="黑体" w:eastAsia="黑体" w:hAnsi="黑体" w:cs="黑体" w:hint="eastAsia"/>
          <w:sz w:val="24"/>
          <w:szCs w:val="28"/>
        </w:rPr>
      </w:pPr>
      <w:r>
        <w:rPr>
          <w:rFonts w:ascii="黑体" w:eastAsia="黑体" w:hAnsi="黑体" w:cs="黑体" w:hint="eastAsia"/>
          <w:sz w:val="24"/>
          <w:szCs w:val="28"/>
        </w:rPr>
        <w:t>B、所有农牧民</w:t>
      </w:r>
    </w:p>
    <w:p>
      <w:pPr>
        <w:pStyle w:val="Normal21"/>
        <w:jc w:val="left"/>
        <w:rPr>
          <w:rFonts w:ascii="黑体" w:eastAsia="黑体" w:hAnsi="黑体" w:cs="黑体" w:hint="eastAsia"/>
          <w:sz w:val="24"/>
          <w:szCs w:val="28"/>
        </w:rPr>
      </w:pPr>
      <w:r>
        <w:rPr>
          <w:rFonts w:ascii="黑体" w:eastAsia="黑体" w:hAnsi="黑体" w:cs="黑体" w:hint="eastAsia"/>
          <w:sz w:val="24"/>
          <w:szCs w:val="28"/>
        </w:rPr>
        <w:t>C、农村低保户</w:t>
      </w:r>
    </w:p>
    <w:p>
      <w:pPr>
        <w:pStyle w:val="Normal21"/>
        <w:jc w:val="left"/>
        <w:rPr>
          <w:rFonts w:ascii="黑体" w:eastAsia="黑体" w:hAnsi="黑体" w:cs="黑体" w:hint="eastAsia"/>
          <w:sz w:val="24"/>
          <w:szCs w:val="28"/>
        </w:rPr>
      </w:pPr>
      <w:r>
        <w:rPr>
          <w:rFonts w:ascii="黑体" w:eastAsia="黑体" w:hAnsi="黑体" w:cs="黑体" w:hint="eastAsia"/>
          <w:sz w:val="24"/>
          <w:szCs w:val="28"/>
        </w:rPr>
        <w:t>D、农民合作社</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对出口种苗花卉中检出输入国家或地区关注的有害生物，且无有效除害处理方法的，一律不准出口。</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公众发现新的病虫怎么办？</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公共部门为什么要重视战略管理？</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植物检疫证书应加盖签证机关（），并由专职植物检疫员署名签发。</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口岸查验只需要核实货物包装的完整性。</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当事人对植物检疫机构行政处罚决定不服的。可以自接到处罚决定通知书之日起（）日内，向作出处罚决定的植物检疫机构的上一级机构申请复议。</w:t>
      </w:r>
    </w:p>
    <w:p>
      <w:pPr>
        <w:pStyle w:val="Normal27"/>
        <w:jc w:val="left"/>
        <w:rPr>
          <w:rFonts w:ascii="黑体" w:eastAsia="黑体" w:hAnsi="黑体" w:cs="黑体" w:hint="eastAsia"/>
          <w:sz w:val="24"/>
          <w:szCs w:val="28"/>
        </w:rPr>
        <w:sectPr>
          <w:headerReference w:type="even" r:id="rId34"/>
          <w:headerReference w:type="default" r:id="rId35"/>
          <w:footerReference w:type="even" r:id="rId36"/>
          <w:headerReference w:type="first" r:id="rId37"/>
          <w:footerReference w:type="first" r:id="rId38"/>
          <w:type w:val="nextPage"/>
          <w:pgSz w:w="11906" w:h="16838"/>
          <w:pgMar w:top="720" w:right="720" w:bottom="720" w:left="720" w:header="851" w:footer="992" w:gutter="0"/>
          <w:pgNumType w:start="6"/>
          <w:cols w:num="1" w:space="720"/>
          <w:titlePg w:val="0"/>
          <w:docGrid w:type="lines" w:linePitch="312" w:charSpace="0"/>
        </w:sect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困人口错退率的计算方式为（）。</w:t>
      </w:r>
    </w:p>
    <w:p>
      <w:pPr>
        <w:pStyle w:val="Normal28"/>
        <w:jc w:val="left"/>
        <w:rPr>
          <w:rFonts w:ascii="黑体" w:eastAsia="黑体" w:hAnsi="黑体" w:cs="黑体" w:hint="eastAsia"/>
          <w:sz w:val="24"/>
          <w:szCs w:val="28"/>
        </w:rPr>
      </w:pPr>
      <w:r>
        <w:rPr>
          <w:rFonts w:ascii="黑体" w:eastAsia="黑体" w:hAnsi="黑体" w:cs="黑体" w:hint="eastAsia"/>
          <w:sz w:val="24"/>
          <w:szCs w:val="28"/>
        </w:rPr>
        <w:t>A、脱贫人口数/建档立卡人口数×100%</w:t>
      </w:r>
    </w:p>
    <w:p>
      <w:pPr>
        <w:pStyle w:val="Normal28"/>
        <w:jc w:val="left"/>
        <w:rPr>
          <w:rFonts w:ascii="黑体" w:eastAsia="黑体" w:hAnsi="黑体" w:cs="黑体" w:hint="eastAsia"/>
          <w:sz w:val="24"/>
          <w:szCs w:val="28"/>
        </w:rPr>
      </w:pPr>
      <w:r>
        <w:rPr>
          <w:rFonts w:ascii="黑体" w:eastAsia="黑体" w:hAnsi="黑体" w:cs="黑体" w:hint="eastAsia"/>
          <w:sz w:val="24"/>
          <w:szCs w:val="28"/>
        </w:rPr>
        <w:t>B、抽样错退人口数/抽样脱贫人口数×100%</w:t>
      </w:r>
    </w:p>
    <w:p>
      <w:pPr>
        <w:pStyle w:val="Normal28"/>
        <w:jc w:val="left"/>
        <w:rPr>
          <w:rFonts w:ascii="黑体" w:eastAsia="黑体" w:hAnsi="黑体" w:cs="黑体" w:hint="eastAsia"/>
          <w:sz w:val="24"/>
          <w:szCs w:val="28"/>
        </w:rPr>
      </w:pPr>
      <w:r>
        <w:rPr>
          <w:rFonts w:ascii="黑体" w:eastAsia="黑体" w:hAnsi="黑体" w:cs="黑体" w:hint="eastAsia"/>
          <w:sz w:val="24"/>
          <w:szCs w:val="28"/>
        </w:rPr>
        <w:t>C、抽样错退人口数/建档立卡人口数×100%</w:t>
      </w:r>
    </w:p>
    <w:p>
      <w:pPr>
        <w:pStyle w:val="Normal28"/>
        <w:jc w:val="left"/>
        <w:rPr>
          <w:rFonts w:ascii="黑体" w:eastAsia="黑体" w:hAnsi="黑体" w:cs="黑体" w:hint="eastAsia"/>
          <w:sz w:val="24"/>
          <w:szCs w:val="28"/>
        </w:rPr>
      </w:pPr>
      <w:r>
        <w:rPr>
          <w:rFonts w:ascii="黑体" w:eastAsia="黑体" w:hAnsi="黑体" w:cs="黑体" w:hint="eastAsia"/>
          <w:sz w:val="24"/>
          <w:szCs w:val="28"/>
        </w:rPr>
        <w:t>D、抽样错退人口数/脱贫人口总数×100%</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sectPr>
          <w:headerReference w:type="even" r:id="rId39"/>
          <w:headerReference w:type="default" r:id="rId40"/>
          <w:footerReference w:type="even" r:id="rId41"/>
          <w:headerReference w:type="first" r:id="rId42"/>
          <w:footerReference w:type="first" r:id="rId43"/>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5.</w:t>
      </w:r>
      <w:r>
        <w:rPr>
          <w:rFonts w:ascii="黑体" w:eastAsia="黑体" w:hAnsi="黑体" w:cs="黑体" w:hint="eastAsia"/>
          <w:sz w:val="24"/>
          <w:szCs w:val="28"/>
        </w:rPr>
        <w:t>已知2010年该省限额以下批发和零售企业零售额相比于2009年年同期增幅为18.7%，那么2009年该省限额以下批发和零售企业零售额约为：（）。</w:t>
      </w:r>
      <w:r>
        <w:rPr>
          <w:rFonts w:ascii="黑体" w:eastAsia="黑体" w:hAnsi="黑体" w:cs="黑体" w:hint="eastAsia"/>
          <w:sz w:val="24"/>
          <w:szCs w:val="28"/>
        </w:rPr>
        <w:tab/>
      </w:r>
    </w:p>
    <w:p>
      <w:pPr>
        <w:pStyle w:val="Normal29"/>
        <w:jc w:val="left"/>
        <w:rPr>
          <w:rFonts w:ascii="黑体" w:eastAsia="黑体" w:hAnsi="黑体" w:cs="黑体" w:hint="eastAsia"/>
          <w:sz w:val="24"/>
          <w:szCs w:val="28"/>
        </w:rPr>
      </w:pPr>
      <w:r>
        <w:drawing>
          <wp:inline distT="0" distB="0" distL="0" distR="0">
            <wp:extent cx="7744638" cy="7563644"/>
            <wp:effectExtent l="0" t="0" r="0" b="0"/>
            <wp:docPr id="44" name="_x0000_i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_x0000_i0044"/>
                    <pic:cNvPicPr/>
                  </pic:nvPicPr>
                  <pic:blipFill>
                    <a:blip xmlns:r="http://schemas.openxmlformats.org/officeDocument/2006/relationships" r:embed="rId28"/>
                    <a:stretch>
                      <a:fillRect/>
                    </a:stretch>
                  </pic:blipFill>
                  <pic:spPr>
                    <a:xfrm>
                      <a:off x="0" y="0"/>
                      <a:ext cx="7744638" cy="7563644"/>
                    </a:xfrm>
                    <a:prstGeom prst="rect">
                      <a:avLst/>
                    </a:prstGeom>
                  </pic:spPr>
                </pic:pic>
              </a:graphicData>
            </a:graphic>
          </wp:inline>
        </w:drawing>
      </w:r>
    </w:p>
    <w:p>
      <w:pPr>
        <w:pStyle w:val="Normal29"/>
        <w:jc w:val="left"/>
        <w:rPr>
          <w:rFonts w:ascii="黑体" w:eastAsia="黑体" w:hAnsi="黑体" w:cs="黑体" w:hint="eastAsia"/>
          <w:sz w:val="24"/>
          <w:szCs w:val="28"/>
        </w:rPr>
      </w:pPr>
      <w:r>
        <w:rPr>
          <w:rFonts w:ascii="黑体" w:eastAsia="黑体" w:hAnsi="黑体" w:cs="黑体" w:hint="eastAsia"/>
          <w:sz w:val="24"/>
          <w:szCs w:val="28"/>
        </w:rPr>
        <w:t>A、4563亿元</w:t>
      </w:r>
    </w:p>
    <w:p>
      <w:pPr>
        <w:pStyle w:val="Normal29"/>
        <w:jc w:val="left"/>
        <w:rPr>
          <w:rFonts w:ascii="黑体" w:eastAsia="黑体" w:hAnsi="黑体" w:cs="黑体" w:hint="eastAsia"/>
          <w:sz w:val="24"/>
          <w:szCs w:val="28"/>
        </w:rPr>
      </w:pPr>
      <w:r>
        <w:rPr>
          <w:rFonts w:ascii="黑体" w:eastAsia="黑体" w:hAnsi="黑体" w:cs="黑体" w:hint="eastAsia"/>
          <w:sz w:val="24"/>
          <w:szCs w:val="28"/>
        </w:rPr>
        <w:t>B、5720亿元</w:t>
      </w:r>
    </w:p>
    <w:p>
      <w:pPr>
        <w:pStyle w:val="Normal29"/>
        <w:jc w:val="left"/>
        <w:rPr>
          <w:rFonts w:ascii="黑体" w:eastAsia="黑体" w:hAnsi="黑体" w:cs="黑体" w:hint="eastAsia"/>
          <w:sz w:val="24"/>
          <w:szCs w:val="28"/>
        </w:rPr>
      </w:pPr>
      <w:r>
        <w:rPr>
          <w:rFonts w:ascii="黑体" w:eastAsia="黑体" w:hAnsi="黑体" w:cs="黑体" w:hint="eastAsia"/>
          <w:sz w:val="24"/>
          <w:szCs w:val="28"/>
        </w:rPr>
        <w:t>C、772亿元</w:t>
      </w:r>
    </w:p>
    <w:p>
      <w:pPr>
        <w:pStyle w:val="Normal29"/>
        <w:jc w:val="left"/>
        <w:rPr>
          <w:rFonts w:ascii="黑体" w:eastAsia="黑体" w:hAnsi="黑体" w:cs="黑体" w:hint="eastAsia"/>
          <w:sz w:val="24"/>
          <w:szCs w:val="28"/>
        </w:rPr>
      </w:pPr>
      <w:r>
        <w:rPr>
          <w:rFonts w:ascii="黑体" w:eastAsia="黑体" w:hAnsi="黑体" w:cs="黑体" w:hint="eastAsia"/>
          <w:sz w:val="24"/>
          <w:szCs w:val="28"/>
        </w:rPr>
        <w:t>D、351亿元</w:t>
      </w:r>
    </w:p>
    <w:p>
      <w:pPr>
        <w:pStyle w:val="Normal29"/>
        <w:jc w:val="left"/>
        <w:rPr>
          <w:rFonts w:ascii="黑体" w:eastAsia="黑体" w:hAnsi="黑体" w:cs="黑体" w:hint="eastAsia"/>
          <w:sz w:val="24"/>
          <w:szCs w:val="28"/>
        </w:rPr>
      </w:pP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https://d.book118.com/907005144143006033</w:t>
        </w:r>
      </w:hyperlink>
    </w:p>
    <w:p>
      <w:pPr>
        <w:pStyle w:val="Normal29"/>
        <w:jc w:val="left"/>
        <w:rPr>
          <w:rFonts w:ascii="黑体" w:eastAsia="黑体" w:hAnsi="黑体" w:cs="黑体" w:hint="eastAsia"/>
          <w:sz w:val="24"/>
          <w:szCs w:val="28"/>
        </w:rPr>
      </w:pPr>
    </w:p>
    <w:sectPr>
      <w:headerReference w:type="even" r:id="rId45"/>
      <w:headerReference w:type="default" r:id="rId46"/>
      <w:footerReference w:type="even" r:id="rId47"/>
      <w:headerReference w:type="first" r:id="rId48"/>
      <w:footerReference w:type="first" r:id="rId49"/>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image" Target="media/image1.jpe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6.xml" /><Relationship Id="rId22" Type="http://schemas.openxmlformats.org/officeDocument/2006/relationships/image" Target="media/image2.jpeg"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7.xml" /><Relationship Id="rId26" Type="http://schemas.openxmlformats.org/officeDocument/2006/relationships/header" Target="header12.xml" /><Relationship Id="rId27" Type="http://schemas.openxmlformats.org/officeDocument/2006/relationships/footer" Target="footer8.xml" /><Relationship Id="rId28" Type="http://schemas.openxmlformats.org/officeDocument/2006/relationships/image" Target="media/image3.jpeg"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9.xml" /><Relationship Id="rId32" Type="http://schemas.openxmlformats.org/officeDocument/2006/relationships/header" Target="header15.xml" /><Relationship Id="rId33" Type="http://schemas.openxmlformats.org/officeDocument/2006/relationships/footer" Target="footer10.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1.xml" /><Relationship Id="rId37" Type="http://schemas.openxmlformats.org/officeDocument/2006/relationships/header" Target="header18.xml" /><Relationship Id="rId38" Type="http://schemas.openxmlformats.org/officeDocument/2006/relationships/footer" Target="footer12.xml"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header" Target="header20.xml" /><Relationship Id="rId41" Type="http://schemas.openxmlformats.org/officeDocument/2006/relationships/footer" Target="footer13.xml" /><Relationship Id="rId42" Type="http://schemas.openxmlformats.org/officeDocument/2006/relationships/header" Target="header21.xml" /><Relationship Id="rId43" Type="http://schemas.openxmlformats.org/officeDocument/2006/relationships/footer" Target="footer14.xml" /><Relationship Id="rId44" Type="http://schemas.openxmlformats.org/officeDocument/2006/relationships/hyperlink" Target="https://d.book118.com/907005144143006033" TargetMode="External" /><Relationship Id="rId45" Type="http://schemas.openxmlformats.org/officeDocument/2006/relationships/header" Target="header22.xml" /><Relationship Id="rId46" Type="http://schemas.openxmlformats.org/officeDocument/2006/relationships/header" Target="header23.xml" /><Relationship Id="rId47" Type="http://schemas.openxmlformats.org/officeDocument/2006/relationships/footer" Target="footer15.xml" /><Relationship Id="rId48" Type="http://schemas.openxmlformats.org/officeDocument/2006/relationships/header" Target="header24.xml" /><Relationship Id="rId49" Type="http://schemas.openxmlformats.org/officeDocument/2006/relationships/footer" Target="footer16.xml" /><Relationship Id="rId5" Type="http://schemas.openxmlformats.org/officeDocument/2006/relationships/customXml" Target="../customXml/item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