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新型催化重整催化剂项目规划设计方案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36" w:history="1">
        <w:r>
          <w:rPr>
            <w:rFonts w:ascii="仿宋" w:eastAsia="仿宋" w:hAnsi="仿宋" w:cs="仿宋" w:hint="eastAsia"/>
            <w:lang w:eastAsia="zh-CN"/>
          </w:rPr>
          <w:t>序言</w:t>
        </w:r>
        <w:r>
          <w:tab/>
        </w:r>
        <w:r>
          <w:fldChar w:fldCharType="begin"/>
        </w:r>
        <w:r>
          <w:instrText xml:space="preserve"> PAGEREF _Toc4736 \h </w:instrText>
        </w:r>
        <w:r>
          <w:fldChar w:fldCharType="separate"/>
        </w:r>
        <w:r>
          <w:t>3</w:t>
        </w:r>
        <w:r>
          <w:fldChar w:fldCharType="end"/>
        </w:r>
      </w:hyperlink>
    </w:p>
    <w:p>
      <w:pPr>
        <w:pStyle w:val="TOC1"/>
        <w:tabs>
          <w:tab w:val="right" w:leader="dot" w:pos="8306"/>
        </w:tabs>
      </w:pPr>
      <w:hyperlink w:anchor="_Toc3236" w:history="1">
        <w:r>
          <w:rPr>
            <w:rFonts w:ascii="仿宋" w:eastAsia="仿宋" w:hAnsi="仿宋" w:cs="仿宋" w:hint="eastAsia"/>
            <w:lang w:eastAsia="zh-CN"/>
          </w:rPr>
          <w:t>一、新型催化重整催化剂项目建设背景及必要性分析</w:t>
        </w:r>
        <w:r>
          <w:tab/>
        </w:r>
        <w:r>
          <w:fldChar w:fldCharType="begin"/>
        </w:r>
        <w:r>
          <w:instrText xml:space="preserve"> PAGEREF _Toc3236 \h </w:instrText>
        </w:r>
        <w:r>
          <w:fldChar w:fldCharType="separate"/>
        </w:r>
        <w:r>
          <w:t>3</w:t>
        </w:r>
        <w:r>
          <w:fldChar w:fldCharType="end"/>
        </w:r>
      </w:hyperlink>
    </w:p>
    <w:p>
      <w:pPr>
        <w:pStyle w:val="TOC2"/>
        <w:tabs>
          <w:tab w:val="right" w:leader="dot" w:pos="8306"/>
        </w:tabs>
      </w:pPr>
      <w:hyperlink w:anchor="_Toc1418" w:history="1">
        <w:r>
          <w:rPr>
            <w:rFonts w:ascii="仿宋" w:eastAsia="仿宋" w:hAnsi="仿宋" w:cs="仿宋" w:hint="eastAsia"/>
            <w:lang w:eastAsia="zh-CN"/>
          </w:rPr>
          <w:t>(一)、新型催化重整催化剂项目背景分析</w:t>
        </w:r>
        <w:r>
          <w:tab/>
        </w:r>
        <w:r>
          <w:fldChar w:fldCharType="begin"/>
        </w:r>
        <w:r>
          <w:instrText xml:space="preserve"> PAGEREF _Toc1418 \h </w:instrText>
        </w:r>
        <w:r>
          <w:fldChar w:fldCharType="separate"/>
        </w:r>
        <w:r>
          <w:t>3</w:t>
        </w:r>
        <w:r>
          <w:fldChar w:fldCharType="end"/>
        </w:r>
      </w:hyperlink>
    </w:p>
    <w:p>
      <w:pPr>
        <w:pStyle w:val="TOC2"/>
        <w:tabs>
          <w:tab w:val="right" w:leader="dot" w:pos="8306"/>
        </w:tabs>
      </w:pPr>
      <w:hyperlink w:anchor="_Toc27538" w:history="1">
        <w:r>
          <w:rPr>
            <w:rFonts w:ascii="仿宋" w:eastAsia="仿宋" w:hAnsi="仿宋" w:cs="仿宋" w:hint="eastAsia"/>
            <w:lang w:eastAsia="zh-CN"/>
          </w:rPr>
          <w:t>(二)、新型催化重整催化剂项目建设必要性分析</w:t>
        </w:r>
        <w:r>
          <w:tab/>
        </w:r>
        <w:r>
          <w:fldChar w:fldCharType="begin"/>
        </w:r>
        <w:r>
          <w:instrText xml:space="preserve"> PAGEREF _Toc27538 \h </w:instrText>
        </w:r>
        <w:r>
          <w:fldChar w:fldCharType="separate"/>
        </w:r>
        <w:r>
          <w:t>5</w:t>
        </w:r>
        <w:r>
          <w:fldChar w:fldCharType="end"/>
        </w:r>
      </w:hyperlink>
    </w:p>
    <w:p>
      <w:pPr>
        <w:pStyle w:val="TOC1"/>
        <w:tabs>
          <w:tab w:val="right" w:leader="dot" w:pos="8306"/>
        </w:tabs>
      </w:pPr>
      <w:hyperlink w:anchor="_Toc29500" w:history="1">
        <w:r>
          <w:rPr>
            <w:rFonts w:ascii="仿宋" w:eastAsia="仿宋" w:hAnsi="仿宋" w:cs="仿宋" w:hint="eastAsia"/>
            <w:lang w:eastAsia="zh-CN"/>
          </w:rPr>
          <w:t>二、新型催化重整催化剂项目土建工程</w:t>
        </w:r>
        <w:r>
          <w:tab/>
        </w:r>
        <w:r>
          <w:fldChar w:fldCharType="begin"/>
        </w:r>
        <w:r>
          <w:instrText xml:space="preserve"> PAGEREF _Toc29500 \h </w:instrText>
        </w:r>
        <w:r>
          <w:fldChar w:fldCharType="separate"/>
        </w:r>
        <w:r>
          <w:t>6</w:t>
        </w:r>
        <w:r>
          <w:fldChar w:fldCharType="end"/>
        </w:r>
      </w:hyperlink>
    </w:p>
    <w:p>
      <w:pPr>
        <w:pStyle w:val="TOC2"/>
        <w:tabs>
          <w:tab w:val="right" w:leader="dot" w:pos="8306"/>
        </w:tabs>
      </w:pPr>
      <w:hyperlink w:anchor="_Toc27436" w:history="1">
        <w:r>
          <w:rPr>
            <w:rFonts w:ascii="仿宋" w:eastAsia="仿宋" w:hAnsi="仿宋" w:cs="仿宋" w:hint="eastAsia"/>
            <w:lang w:eastAsia="zh-CN"/>
          </w:rPr>
          <w:t>(一)、建筑工程设计原则</w:t>
        </w:r>
        <w:r>
          <w:tab/>
        </w:r>
        <w:r>
          <w:fldChar w:fldCharType="begin"/>
        </w:r>
        <w:r>
          <w:instrText xml:space="preserve"> PAGEREF _Toc27436 \h </w:instrText>
        </w:r>
        <w:r>
          <w:fldChar w:fldCharType="separate"/>
        </w:r>
        <w:r>
          <w:t>6</w:t>
        </w:r>
        <w:r>
          <w:fldChar w:fldCharType="end"/>
        </w:r>
      </w:hyperlink>
    </w:p>
    <w:p>
      <w:pPr>
        <w:pStyle w:val="TOC2"/>
        <w:tabs>
          <w:tab w:val="right" w:leader="dot" w:pos="8306"/>
        </w:tabs>
      </w:pPr>
      <w:hyperlink w:anchor="_Toc25094" w:history="1">
        <w:r>
          <w:rPr>
            <w:rFonts w:ascii="仿宋" w:eastAsia="仿宋" w:hAnsi="仿宋" w:cs="仿宋" w:hint="eastAsia"/>
            <w:lang w:eastAsia="zh-CN"/>
          </w:rPr>
          <w:t>(二)、土建工程设计年限及安全等级</w:t>
        </w:r>
        <w:r>
          <w:tab/>
        </w:r>
        <w:r>
          <w:fldChar w:fldCharType="begin"/>
        </w:r>
        <w:r>
          <w:instrText xml:space="preserve"> PAGEREF _Toc25094 \h </w:instrText>
        </w:r>
        <w:r>
          <w:fldChar w:fldCharType="separate"/>
        </w:r>
        <w:r>
          <w:t>7</w:t>
        </w:r>
        <w:r>
          <w:fldChar w:fldCharType="end"/>
        </w:r>
      </w:hyperlink>
    </w:p>
    <w:p>
      <w:pPr>
        <w:pStyle w:val="TOC2"/>
        <w:tabs>
          <w:tab w:val="right" w:leader="dot" w:pos="8306"/>
        </w:tabs>
      </w:pPr>
      <w:hyperlink w:anchor="_Toc32549" w:history="1">
        <w:r>
          <w:rPr>
            <w:rFonts w:ascii="仿宋" w:eastAsia="仿宋" w:hAnsi="仿宋" w:cs="仿宋" w:hint="eastAsia"/>
            <w:lang w:eastAsia="zh-CN"/>
          </w:rPr>
          <w:t>(三)、建筑工程设计总体要求</w:t>
        </w:r>
        <w:r>
          <w:tab/>
        </w:r>
        <w:r>
          <w:fldChar w:fldCharType="begin"/>
        </w:r>
        <w:r>
          <w:instrText xml:space="preserve"> PAGEREF _Toc32549 \h </w:instrText>
        </w:r>
        <w:r>
          <w:fldChar w:fldCharType="separate"/>
        </w:r>
        <w:r>
          <w:t>9</w:t>
        </w:r>
        <w:r>
          <w:fldChar w:fldCharType="end"/>
        </w:r>
      </w:hyperlink>
    </w:p>
    <w:p>
      <w:pPr>
        <w:pStyle w:val="TOC2"/>
        <w:tabs>
          <w:tab w:val="right" w:leader="dot" w:pos="8306"/>
        </w:tabs>
      </w:pPr>
      <w:hyperlink w:anchor="_Toc2482" w:history="1">
        <w:r>
          <w:rPr>
            <w:rFonts w:ascii="仿宋" w:eastAsia="仿宋" w:hAnsi="仿宋" w:cs="仿宋" w:hint="eastAsia"/>
            <w:lang w:eastAsia="zh-CN"/>
          </w:rPr>
          <w:t>(四)、土建工程建设指标</w:t>
        </w:r>
        <w:r>
          <w:tab/>
        </w:r>
        <w:r>
          <w:fldChar w:fldCharType="begin"/>
        </w:r>
        <w:r>
          <w:instrText xml:space="preserve"> PAGEREF _Toc2482 \h </w:instrText>
        </w:r>
        <w:r>
          <w:fldChar w:fldCharType="separate"/>
        </w:r>
        <w:r>
          <w:t>9</w:t>
        </w:r>
        <w:r>
          <w:fldChar w:fldCharType="end"/>
        </w:r>
      </w:hyperlink>
    </w:p>
    <w:p>
      <w:pPr>
        <w:pStyle w:val="TOC1"/>
        <w:tabs>
          <w:tab w:val="right" w:leader="dot" w:pos="8306"/>
        </w:tabs>
      </w:pPr>
      <w:hyperlink w:anchor="_Toc20350" w:history="1">
        <w:r>
          <w:rPr>
            <w:rFonts w:ascii="仿宋" w:eastAsia="仿宋" w:hAnsi="仿宋" w:cs="仿宋" w:hint="eastAsia"/>
            <w:lang w:eastAsia="zh-CN"/>
          </w:rPr>
          <w:t>三、新型催化重整催化剂项目可持续发展</w:t>
        </w:r>
        <w:r>
          <w:tab/>
        </w:r>
        <w:r>
          <w:fldChar w:fldCharType="begin"/>
        </w:r>
        <w:r>
          <w:instrText xml:space="preserve"> PAGEREF _Toc20350 \h </w:instrText>
        </w:r>
        <w:r>
          <w:fldChar w:fldCharType="separate"/>
        </w:r>
        <w:r>
          <w:t>9</w:t>
        </w:r>
        <w:r>
          <w:fldChar w:fldCharType="end"/>
        </w:r>
      </w:hyperlink>
    </w:p>
    <w:p>
      <w:pPr>
        <w:pStyle w:val="TOC2"/>
        <w:tabs>
          <w:tab w:val="right" w:leader="dot" w:pos="8306"/>
        </w:tabs>
      </w:pPr>
      <w:hyperlink w:anchor="_Toc27693" w:history="1">
        <w:r>
          <w:rPr>
            <w:rFonts w:ascii="仿宋" w:eastAsia="仿宋" w:hAnsi="仿宋" w:cs="仿宋" w:hint="eastAsia"/>
            <w:lang w:eastAsia="zh-CN"/>
          </w:rPr>
          <w:t>(一)、可持续战略与实践</w:t>
        </w:r>
        <w:r>
          <w:tab/>
        </w:r>
        <w:r>
          <w:fldChar w:fldCharType="begin"/>
        </w:r>
        <w:r>
          <w:instrText xml:space="preserve"> PAGEREF _Toc27693 \h </w:instrText>
        </w:r>
        <w:r>
          <w:fldChar w:fldCharType="separate"/>
        </w:r>
        <w:r>
          <w:t>9</w:t>
        </w:r>
        <w:r>
          <w:fldChar w:fldCharType="end"/>
        </w:r>
      </w:hyperlink>
    </w:p>
    <w:p>
      <w:pPr>
        <w:pStyle w:val="TOC2"/>
        <w:tabs>
          <w:tab w:val="right" w:leader="dot" w:pos="8306"/>
        </w:tabs>
      </w:pPr>
      <w:hyperlink w:anchor="_Toc12445" w:history="1">
        <w:r>
          <w:rPr>
            <w:rFonts w:ascii="仿宋" w:eastAsia="仿宋" w:hAnsi="仿宋" w:cs="仿宋" w:hint="eastAsia"/>
            <w:lang w:eastAsia="zh-CN"/>
          </w:rPr>
          <w:t>(二)、环保与社会责任</w:t>
        </w:r>
        <w:r>
          <w:tab/>
        </w:r>
        <w:r>
          <w:fldChar w:fldCharType="begin"/>
        </w:r>
        <w:r>
          <w:instrText xml:space="preserve"> PAGEREF _Toc12445 \h </w:instrText>
        </w:r>
        <w:r>
          <w:fldChar w:fldCharType="separate"/>
        </w:r>
        <w:r>
          <w:t>10</w:t>
        </w:r>
        <w:r>
          <w:fldChar w:fldCharType="end"/>
        </w:r>
      </w:hyperlink>
    </w:p>
    <w:p>
      <w:pPr>
        <w:pStyle w:val="TOC1"/>
        <w:tabs>
          <w:tab w:val="right" w:leader="dot" w:pos="8306"/>
        </w:tabs>
      </w:pPr>
      <w:hyperlink w:anchor="_Toc9673" w:history="1">
        <w:r>
          <w:rPr>
            <w:rFonts w:ascii="仿宋" w:eastAsia="仿宋" w:hAnsi="仿宋" w:cs="仿宋" w:hint="eastAsia"/>
            <w:lang w:eastAsia="zh-CN"/>
          </w:rPr>
          <w:t>四、新型催化重整催化剂项目文档管理</w:t>
        </w:r>
        <w:r>
          <w:tab/>
        </w:r>
        <w:r>
          <w:fldChar w:fldCharType="begin"/>
        </w:r>
        <w:r>
          <w:instrText xml:space="preserve"> PAGEREF _Toc9673 \h </w:instrText>
        </w:r>
        <w:r>
          <w:fldChar w:fldCharType="separate"/>
        </w:r>
        <w:r>
          <w:t>11</w:t>
        </w:r>
        <w:r>
          <w:fldChar w:fldCharType="end"/>
        </w:r>
      </w:hyperlink>
    </w:p>
    <w:p>
      <w:pPr>
        <w:pStyle w:val="TOC2"/>
        <w:tabs>
          <w:tab w:val="right" w:leader="dot" w:pos="8306"/>
        </w:tabs>
      </w:pPr>
      <w:hyperlink w:anchor="_Toc2301" w:history="1">
        <w:r>
          <w:rPr>
            <w:rFonts w:ascii="仿宋" w:eastAsia="仿宋" w:hAnsi="仿宋" w:cs="仿宋" w:hint="eastAsia"/>
            <w:lang w:eastAsia="zh-CN"/>
          </w:rPr>
          <w:t>(一)、文档编制与审查</w:t>
        </w:r>
        <w:r>
          <w:tab/>
        </w:r>
        <w:r>
          <w:fldChar w:fldCharType="begin"/>
        </w:r>
        <w:r>
          <w:instrText xml:space="preserve"> PAGEREF _Toc2301 \h </w:instrText>
        </w:r>
        <w:r>
          <w:fldChar w:fldCharType="separate"/>
        </w:r>
        <w:r>
          <w:t>11</w:t>
        </w:r>
        <w:r>
          <w:fldChar w:fldCharType="end"/>
        </w:r>
      </w:hyperlink>
    </w:p>
    <w:p>
      <w:pPr>
        <w:pStyle w:val="TOC2"/>
        <w:tabs>
          <w:tab w:val="right" w:leader="dot" w:pos="8306"/>
        </w:tabs>
      </w:pPr>
      <w:hyperlink w:anchor="_Toc14502" w:history="1">
        <w:r>
          <w:rPr>
            <w:rFonts w:ascii="仿宋" w:eastAsia="仿宋" w:hAnsi="仿宋" w:cs="仿宋" w:hint="eastAsia"/>
            <w:lang w:eastAsia="zh-CN"/>
          </w:rPr>
          <w:t>(二)、文档发布与分发</w:t>
        </w:r>
        <w:r>
          <w:tab/>
        </w:r>
        <w:r>
          <w:fldChar w:fldCharType="begin"/>
        </w:r>
        <w:r>
          <w:instrText xml:space="preserve"> PAGEREF _Toc14502 \h </w:instrText>
        </w:r>
        <w:r>
          <w:fldChar w:fldCharType="separate"/>
        </w:r>
        <w:r>
          <w:t>13</w:t>
        </w:r>
        <w:r>
          <w:fldChar w:fldCharType="end"/>
        </w:r>
      </w:hyperlink>
    </w:p>
    <w:p>
      <w:pPr>
        <w:pStyle w:val="TOC2"/>
        <w:tabs>
          <w:tab w:val="right" w:leader="dot" w:pos="8306"/>
        </w:tabs>
      </w:pPr>
      <w:hyperlink w:anchor="_Toc31120" w:history="1">
        <w:r>
          <w:rPr>
            <w:rFonts w:ascii="仿宋" w:eastAsia="仿宋" w:hAnsi="仿宋" w:cs="仿宋" w:hint="eastAsia"/>
            <w:lang w:eastAsia="zh-CN"/>
          </w:rPr>
          <w:t>(三)、文档存档与归档</w:t>
        </w:r>
        <w:r>
          <w:tab/>
        </w:r>
        <w:r>
          <w:fldChar w:fldCharType="begin"/>
        </w:r>
        <w:r>
          <w:instrText xml:space="preserve"> PAGEREF _Toc31120 \h </w:instrText>
        </w:r>
        <w:r>
          <w:fldChar w:fldCharType="separate"/>
        </w:r>
        <w:r>
          <w:t>14</w:t>
        </w:r>
        <w:r>
          <w:fldChar w:fldCharType="end"/>
        </w:r>
      </w:hyperlink>
    </w:p>
    <w:p>
      <w:pPr>
        <w:pStyle w:val="TOC1"/>
        <w:tabs>
          <w:tab w:val="right" w:leader="dot" w:pos="8306"/>
        </w:tabs>
      </w:pPr>
      <w:hyperlink w:anchor="_Toc29710" w:history="1">
        <w:r>
          <w:rPr>
            <w:rFonts w:ascii="仿宋" w:eastAsia="仿宋" w:hAnsi="仿宋" w:cs="仿宋" w:hint="eastAsia"/>
            <w:lang w:eastAsia="zh-CN"/>
          </w:rPr>
          <w:t>五、产品规划分析</w:t>
        </w:r>
        <w:r>
          <w:tab/>
        </w:r>
        <w:r>
          <w:fldChar w:fldCharType="begin"/>
        </w:r>
        <w:r>
          <w:instrText xml:space="preserve"> PAGEREF _Toc29710 \h </w:instrText>
        </w:r>
        <w:r>
          <w:fldChar w:fldCharType="separate"/>
        </w:r>
        <w:r>
          <w:t>15</w:t>
        </w:r>
        <w:r>
          <w:fldChar w:fldCharType="end"/>
        </w:r>
      </w:hyperlink>
    </w:p>
    <w:p>
      <w:pPr>
        <w:pStyle w:val="TOC2"/>
        <w:tabs>
          <w:tab w:val="right" w:leader="dot" w:pos="8306"/>
        </w:tabs>
      </w:pPr>
      <w:hyperlink w:anchor="_Toc1551" w:history="1">
        <w:r>
          <w:rPr>
            <w:rFonts w:ascii="仿宋" w:eastAsia="仿宋" w:hAnsi="仿宋" w:cs="仿宋" w:hint="eastAsia"/>
            <w:lang w:eastAsia="zh-CN"/>
          </w:rPr>
          <w:t>(一)、产品规划</w:t>
        </w:r>
        <w:r>
          <w:tab/>
        </w:r>
        <w:r>
          <w:fldChar w:fldCharType="begin"/>
        </w:r>
        <w:r>
          <w:instrText xml:space="preserve"> PAGEREF _Toc1551 \h </w:instrText>
        </w:r>
        <w:r>
          <w:fldChar w:fldCharType="separate"/>
        </w:r>
        <w:r>
          <w:t>15</w:t>
        </w:r>
        <w:r>
          <w:fldChar w:fldCharType="end"/>
        </w:r>
      </w:hyperlink>
    </w:p>
    <w:p>
      <w:pPr>
        <w:pStyle w:val="TOC2"/>
        <w:tabs>
          <w:tab w:val="right" w:leader="dot" w:pos="8306"/>
        </w:tabs>
      </w:pPr>
      <w:hyperlink w:anchor="_Toc24591" w:history="1">
        <w:r>
          <w:rPr>
            <w:rFonts w:ascii="仿宋" w:eastAsia="仿宋" w:hAnsi="仿宋" w:cs="仿宋" w:hint="eastAsia"/>
            <w:lang w:eastAsia="zh-CN"/>
          </w:rPr>
          <w:t>(二)、建设规模</w:t>
        </w:r>
        <w:r>
          <w:tab/>
        </w:r>
        <w:r>
          <w:fldChar w:fldCharType="begin"/>
        </w:r>
        <w:r>
          <w:instrText xml:space="preserve"> PAGEREF _Toc24591 \h </w:instrText>
        </w:r>
        <w:r>
          <w:fldChar w:fldCharType="separate"/>
        </w:r>
        <w:r>
          <w:t>15</w:t>
        </w:r>
        <w:r>
          <w:fldChar w:fldCharType="end"/>
        </w:r>
      </w:hyperlink>
    </w:p>
    <w:p>
      <w:pPr>
        <w:pStyle w:val="TOC1"/>
        <w:tabs>
          <w:tab w:val="right" w:leader="dot" w:pos="8306"/>
        </w:tabs>
      </w:pPr>
      <w:hyperlink w:anchor="_Toc9404" w:history="1">
        <w:r>
          <w:rPr>
            <w:rFonts w:ascii="仿宋" w:eastAsia="仿宋" w:hAnsi="仿宋" w:cs="仿宋" w:hint="eastAsia"/>
            <w:lang w:eastAsia="zh-CN"/>
          </w:rPr>
          <w:t>六、市场分析、调研</w:t>
        </w:r>
        <w:r>
          <w:tab/>
        </w:r>
        <w:r>
          <w:fldChar w:fldCharType="begin"/>
        </w:r>
        <w:r>
          <w:instrText xml:space="preserve"> PAGEREF _Toc9404 \h </w:instrText>
        </w:r>
        <w:r>
          <w:fldChar w:fldCharType="separate"/>
        </w:r>
        <w:r>
          <w:t>17</w:t>
        </w:r>
        <w:r>
          <w:fldChar w:fldCharType="end"/>
        </w:r>
      </w:hyperlink>
    </w:p>
    <w:p>
      <w:pPr>
        <w:pStyle w:val="TOC2"/>
        <w:tabs>
          <w:tab w:val="right" w:leader="dot" w:pos="8306"/>
        </w:tabs>
      </w:pPr>
      <w:hyperlink w:anchor="_Toc5788" w:history="1">
        <w:r>
          <w:rPr>
            <w:rFonts w:ascii="仿宋" w:eastAsia="仿宋" w:hAnsi="仿宋" w:cs="仿宋" w:hint="eastAsia"/>
            <w:lang w:eastAsia="zh-CN"/>
          </w:rPr>
          <w:t>(一)、新型催化重整催化剂行业分析</w:t>
        </w:r>
        <w:r>
          <w:tab/>
        </w:r>
        <w:r>
          <w:fldChar w:fldCharType="begin"/>
        </w:r>
        <w:r>
          <w:instrText xml:space="preserve"> PAGEREF _Toc5788 \h </w:instrText>
        </w:r>
        <w:r>
          <w:fldChar w:fldCharType="separate"/>
        </w:r>
        <w:r>
          <w:t>17</w:t>
        </w:r>
        <w:r>
          <w:fldChar w:fldCharType="end"/>
        </w:r>
      </w:hyperlink>
    </w:p>
    <w:p>
      <w:pPr>
        <w:pStyle w:val="TOC2"/>
        <w:tabs>
          <w:tab w:val="right" w:leader="dot" w:pos="8306"/>
        </w:tabs>
      </w:pPr>
      <w:hyperlink w:anchor="_Toc6515" w:history="1">
        <w:r>
          <w:rPr>
            <w:rFonts w:ascii="仿宋" w:eastAsia="仿宋" w:hAnsi="仿宋" w:cs="仿宋" w:hint="eastAsia"/>
            <w:lang w:eastAsia="zh-CN"/>
          </w:rPr>
          <w:t>(二)、新型催化重整催化剂市场分析预测</w:t>
        </w:r>
        <w:r>
          <w:tab/>
        </w:r>
        <w:r>
          <w:fldChar w:fldCharType="begin"/>
        </w:r>
        <w:r>
          <w:instrText xml:space="preserve"> PAGEREF _Toc6515 \h </w:instrText>
        </w:r>
        <w:r>
          <w:fldChar w:fldCharType="separate"/>
        </w:r>
        <w:r>
          <w:t>17</w:t>
        </w:r>
        <w:r>
          <w:fldChar w:fldCharType="end"/>
        </w:r>
      </w:hyperlink>
    </w:p>
    <w:p>
      <w:pPr>
        <w:pStyle w:val="TOC1"/>
        <w:tabs>
          <w:tab w:val="right" w:leader="dot" w:pos="8306"/>
        </w:tabs>
      </w:pPr>
      <w:hyperlink w:anchor="_Toc32505" w:history="1">
        <w:r>
          <w:rPr>
            <w:rFonts w:ascii="仿宋" w:eastAsia="仿宋" w:hAnsi="仿宋" w:cs="仿宋" w:hint="eastAsia"/>
            <w:lang w:eastAsia="zh-CN"/>
          </w:rPr>
          <w:t>七、新型催化重整催化剂项目创新与研发</w:t>
        </w:r>
        <w:r>
          <w:tab/>
        </w:r>
        <w:r>
          <w:fldChar w:fldCharType="begin"/>
        </w:r>
        <w:r>
          <w:instrText xml:space="preserve"> PAGEREF _Toc32505 \h </w:instrText>
        </w:r>
        <w:r>
          <w:fldChar w:fldCharType="separate"/>
        </w:r>
        <w:r>
          <w:t>18</w:t>
        </w:r>
        <w:r>
          <w:fldChar w:fldCharType="end"/>
        </w:r>
      </w:hyperlink>
    </w:p>
    <w:p>
      <w:pPr>
        <w:pStyle w:val="TOC2"/>
        <w:tabs>
          <w:tab w:val="right" w:leader="dot" w:pos="8306"/>
        </w:tabs>
      </w:pPr>
      <w:hyperlink w:anchor="_Toc24054" w:history="1">
        <w:r>
          <w:rPr>
            <w:rFonts w:ascii="仿宋" w:eastAsia="仿宋" w:hAnsi="仿宋" w:cs="仿宋" w:hint="eastAsia"/>
            <w:lang w:eastAsia="zh-CN"/>
          </w:rPr>
          <w:t>(一)、创新策略与方向</w:t>
        </w:r>
        <w:r>
          <w:tab/>
        </w:r>
        <w:r>
          <w:fldChar w:fldCharType="begin"/>
        </w:r>
        <w:r>
          <w:instrText xml:space="preserve"> PAGEREF _Toc24054 \h </w:instrText>
        </w:r>
        <w:r>
          <w:fldChar w:fldCharType="separate"/>
        </w:r>
        <w:r>
          <w:t>18</w:t>
        </w:r>
        <w:r>
          <w:fldChar w:fldCharType="end"/>
        </w:r>
      </w:hyperlink>
    </w:p>
    <w:p>
      <w:pPr>
        <w:pStyle w:val="TOC2"/>
        <w:tabs>
          <w:tab w:val="right" w:leader="dot" w:pos="8306"/>
        </w:tabs>
      </w:pPr>
      <w:hyperlink w:anchor="_Toc17727" w:history="1">
        <w:r>
          <w:rPr>
            <w:rFonts w:ascii="仿宋" w:eastAsia="仿宋" w:hAnsi="仿宋" w:cs="仿宋" w:hint="eastAsia"/>
            <w:lang w:eastAsia="zh-CN"/>
          </w:rPr>
          <w:t>(二)、研发规划与投入</w:t>
        </w:r>
        <w:r>
          <w:tab/>
        </w:r>
        <w:r>
          <w:fldChar w:fldCharType="begin"/>
        </w:r>
        <w:r>
          <w:instrText xml:space="preserve"> PAGEREF _Toc17727 \h </w:instrText>
        </w:r>
        <w:r>
          <w:fldChar w:fldCharType="separate"/>
        </w:r>
        <w:r>
          <w:t>20</w:t>
        </w:r>
        <w:r>
          <w:fldChar w:fldCharType="end"/>
        </w:r>
      </w:hyperlink>
    </w:p>
    <w:p>
      <w:pPr>
        <w:pStyle w:val="TOC1"/>
        <w:tabs>
          <w:tab w:val="right" w:leader="dot" w:pos="8306"/>
        </w:tabs>
      </w:pPr>
      <w:hyperlink w:anchor="_Toc10709" w:history="1">
        <w:r>
          <w:rPr>
            <w:rFonts w:ascii="仿宋" w:eastAsia="仿宋" w:hAnsi="仿宋" w:cs="仿宋" w:hint="eastAsia"/>
            <w:lang w:eastAsia="zh-CN"/>
          </w:rPr>
          <w:t>八、新型催化重整催化剂项目人力资源培养与发展</w:t>
        </w:r>
        <w:r>
          <w:tab/>
        </w:r>
        <w:r>
          <w:fldChar w:fldCharType="begin"/>
        </w:r>
        <w:r>
          <w:instrText xml:space="preserve"> PAGEREF _Toc10709 \h </w:instrText>
        </w:r>
        <w:r>
          <w:fldChar w:fldCharType="separate"/>
        </w:r>
        <w:r>
          <w:t>22</w:t>
        </w:r>
        <w:r>
          <w:fldChar w:fldCharType="end"/>
        </w:r>
      </w:hyperlink>
    </w:p>
    <w:p>
      <w:pPr>
        <w:pStyle w:val="TOC2"/>
        <w:tabs>
          <w:tab w:val="right" w:leader="dot" w:pos="8306"/>
        </w:tabs>
      </w:pPr>
      <w:hyperlink w:anchor="_Toc30516" w:history="1">
        <w:r>
          <w:rPr>
            <w:rFonts w:ascii="仿宋" w:eastAsia="仿宋" w:hAnsi="仿宋" w:cs="仿宋" w:hint="eastAsia"/>
            <w:lang w:eastAsia="zh-CN"/>
          </w:rPr>
          <w:t>(一)、人才需求与规划</w:t>
        </w:r>
        <w:r>
          <w:tab/>
        </w:r>
        <w:r>
          <w:fldChar w:fldCharType="begin"/>
        </w:r>
        <w:r>
          <w:instrText xml:space="preserve"> PAGEREF _Toc30516 \h </w:instrText>
        </w:r>
        <w:r>
          <w:fldChar w:fldCharType="separate"/>
        </w:r>
        <w:r>
          <w:t>22</w:t>
        </w:r>
        <w:r>
          <w:fldChar w:fldCharType="end"/>
        </w:r>
      </w:hyperlink>
    </w:p>
    <w:p>
      <w:pPr>
        <w:pStyle w:val="TOC2"/>
        <w:tabs>
          <w:tab w:val="right" w:leader="dot" w:pos="8306"/>
        </w:tabs>
      </w:pPr>
      <w:hyperlink w:anchor="_Toc32356" w:history="1">
        <w:r>
          <w:rPr>
            <w:rFonts w:ascii="仿宋" w:eastAsia="仿宋" w:hAnsi="仿宋" w:cs="仿宋" w:hint="eastAsia"/>
            <w:lang w:eastAsia="zh-CN"/>
          </w:rPr>
          <w:t>(二)、培训与发展计划</w:t>
        </w:r>
        <w:r>
          <w:tab/>
        </w:r>
        <w:r>
          <w:fldChar w:fldCharType="begin"/>
        </w:r>
        <w:r>
          <w:instrText xml:space="preserve"> PAGEREF _Toc32356 \h </w:instrText>
        </w:r>
        <w:r>
          <w:fldChar w:fldCharType="separate"/>
        </w:r>
        <w:r>
          <w:t>22</w:t>
        </w:r>
        <w:r>
          <w:fldChar w:fldCharType="end"/>
        </w:r>
      </w:hyperlink>
    </w:p>
    <w:p>
      <w:pPr>
        <w:pStyle w:val="TOC1"/>
        <w:tabs>
          <w:tab w:val="right" w:leader="dot" w:pos="8306"/>
        </w:tabs>
      </w:pPr>
      <w:hyperlink w:anchor="_Toc14553" w:history="1">
        <w:r>
          <w:rPr>
            <w:rFonts w:ascii="仿宋" w:eastAsia="仿宋" w:hAnsi="仿宋" w:cs="仿宋" w:hint="eastAsia"/>
            <w:lang w:eastAsia="zh-CN"/>
          </w:rPr>
          <w:t>九、生产安全保护</w:t>
        </w:r>
        <w:r>
          <w:tab/>
        </w:r>
        <w:r>
          <w:fldChar w:fldCharType="begin"/>
        </w:r>
        <w:r>
          <w:instrText xml:space="preserve"> PAGEREF _Toc14553 \h </w:instrText>
        </w:r>
        <w:r>
          <w:fldChar w:fldCharType="separate"/>
        </w:r>
        <w:r>
          <w:t>23</w:t>
        </w:r>
        <w:r>
          <w:fldChar w:fldCharType="end"/>
        </w:r>
      </w:hyperlink>
    </w:p>
    <w:p>
      <w:pPr>
        <w:pStyle w:val="TOC2"/>
        <w:tabs>
          <w:tab w:val="right" w:leader="dot" w:pos="8306"/>
        </w:tabs>
      </w:pPr>
      <w:hyperlink w:anchor="_Toc32671" w:history="1">
        <w:r>
          <w:rPr>
            <w:rFonts w:ascii="仿宋" w:eastAsia="仿宋" w:hAnsi="仿宋" w:cs="仿宋" w:hint="eastAsia"/>
            <w:lang w:eastAsia="zh-CN"/>
          </w:rPr>
          <w:t>(一)、消防安全</w:t>
        </w:r>
        <w:r>
          <w:tab/>
        </w:r>
        <w:r>
          <w:fldChar w:fldCharType="begin"/>
        </w:r>
        <w:r>
          <w:instrText xml:space="preserve"> PAGEREF _Toc32671 \h </w:instrText>
        </w:r>
        <w:r>
          <w:fldChar w:fldCharType="separate"/>
        </w:r>
        <w:r>
          <w:t>23</w:t>
        </w:r>
        <w:r>
          <w:fldChar w:fldCharType="end"/>
        </w:r>
      </w:hyperlink>
    </w:p>
    <w:p>
      <w:pPr>
        <w:pStyle w:val="TOC2"/>
        <w:tabs>
          <w:tab w:val="right" w:leader="dot" w:pos="8306"/>
        </w:tabs>
      </w:pPr>
      <w:hyperlink w:anchor="_Toc22094" w:history="1">
        <w:r>
          <w:rPr>
            <w:rFonts w:ascii="仿宋" w:eastAsia="仿宋" w:hAnsi="仿宋" w:cs="仿宋" w:hint="eastAsia"/>
            <w:lang w:eastAsia="zh-CN"/>
          </w:rPr>
          <w:t>(二)、防火防爆总图布置措施</w:t>
        </w:r>
        <w:r>
          <w:tab/>
        </w:r>
        <w:r>
          <w:fldChar w:fldCharType="begin"/>
        </w:r>
        <w:r>
          <w:instrText xml:space="preserve"> PAGEREF _Toc22094 \h </w:instrText>
        </w:r>
        <w:r>
          <w:fldChar w:fldCharType="separate"/>
        </w:r>
        <w:r>
          <w:t>24</w:t>
        </w:r>
        <w:r>
          <w:fldChar w:fldCharType="end"/>
        </w:r>
      </w:hyperlink>
    </w:p>
    <w:p>
      <w:pPr>
        <w:pStyle w:val="TOC2"/>
        <w:tabs>
          <w:tab w:val="right" w:leader="dot" w:pos="8306"/>
        </w:tabs>
      </w:pPr>
      <w:hyperlink w:anchor="_Toc26860" w:history="1">
        <w:r>
          <w:rPr>
            <w:rFonts w:ascii="仿宋" w:eastAsia="仿宋" w:hAnsi="仿宋" w:cs="仿宋" w:hint="eastAsia"/>
            <w:lang w:eastAsia="zh-CN"/>
          </w:rPr>
          <w:t>(三)、自然灾害防范措施</w:t>
        </w:r>
        <w:r>
          <w:tab/>
        </w:r>
        <w:r>
          <w:fldChar w:fldCharType="begin"/>
        </w:r>
        <w:r>
          <w:instrText xml:space="preserve"> PAGEREF _Toc26860 \h </w:instrText>
        </w:r>
        <w:r>
          <w:fldChar w:fldCharType="separate"/>
        </w:r>
        <w:r>
          <w:t>25</w:t>
        </w:r>
        <w:r>
          <w:fldChar w:fldCharType="end"/>
        </w:r>
      </w:hyperlink>
    </w:p>
    <w:p>
      <w:pPr>
        <w:pStyle w:val="TOC2"/>
        <w:tabs>
          <w:tab w:val="right" w:leader="dot" w:pos="8306"/>
        </w:tabs>
      </w:pPr>
      <w:hyperlink w:anchor="_Toc26116" w:history="1">
        <w:r>
          <w:rPr>
            <w:rFonts w:ascii="仿宋" w:eastAsia="仿宋" w:hAnsi="仿宋" w:cs="仿宋" w:hint="eastAsia"/>
            <w:lang w:eastAsia="zh-CN"/>
          </w:rPr>
          <w:t>(四)、安全色及安全标志使用要求</w:t>
        </w:r>
        <w:r>
          <w:tab/>
        </w:r>
        <w:r>
          <w:fldChar w:fldCharType="begin"/>
        </w:r>
        <w:r>
          <w:instrText xml:space="preserve"> PAGEREF _Toc26116 \h </w:instrText>
        </w:r>
        <w:r>
          <w:fldChar w:fldCharType="separate"/>
        </w:r>
        <w:r>
          <w:t>26</w:t>
        </w:r>
        <w:r>
          <w:fldChar w:fldCharType="end"/>
        </w:r>
      </w:hyperlink>
    </w:p>
    <w:p>
      <w:pPr>
        <w:pStyle w:val="TOC2"/>
        <w:tabs>
          <w:tab w:val="right" w:leader="dot" w:pos="8306"/>
        </w:tabs>
      </w:pPr>
      <w:hyperlink w:anchor="_Toc9491" w:history="1">
        <w:r>
          <w:rPr>
            <w:rFonts w:ascii="仿宋" w:eastAsia="仿宋" w:hAnsi="仿宋" w:cs="仿宋" w:hint="eastAsia"/>
            <w:lang w:eastAsia="zh-CN"/>
          </w:rPr>
          <w:t>(五)、防尘防毒措施</w:t>
        </w:r>
        <w:r>
          <w:tab/>
        </w:r>
        <w:r>
          <w:fldChar w:fldCharType="begin"/>
        </w:r>
        <w:r>
          <w:instrText xml:space="preserve"> PAGEREF _Toc9491 \h </w:instrText>
        </w:r>
        <w:r>
          <w:fldChar w:fldCharType="separate"/>
        </w:r>
        <w:r>
          <w:t>27</w:t>
        </w:r>
        <w:r>
          <w:fldChar w:fldCharType="end"/>
        </w:r>
      </w:hyperlink>
    </w:p>
    <w:p>
      <w:pPr>
        <w:pStyle w:val="TOC2"/>
        <w:tabs>
          <w:tab w:val="right" w:leader="dot" w:pos="8306"/>
        </w:tabs>
      </w:pPr>
      <w:hyperlink w:anchor="_Toc1366" w:history="1">
        <w:r>
          <w:rPr>
            <w:rFonts w:ascii="仿宋" w:eastAsia="仿宋" w:hAnsi="仿宋" w:cs="仿宋" w:hint="eastAsia"/>
            <w:lang w:eastAsia="zh-CN"/>
          </w:rPr>
          <w:t>(六)、防静电、触电防护及防雷措施</w:t>
        </w:r>
        <w:r>
          <w:tab/>
        </w:r>
        <w:r>
          <w:fldChar w:fldCharType="begin"/>
        </w:r>
        <w:r>
          <w:instrText xml:space="preserve"> PAGEREF _Toc1366 \h </w:instrText>
        </w:r>
        <w:r>
          <w:fldChar w:fldCharType="separate"/>
        </w:r>
        <w:r>
          <w:t>28</w:t>
        </w:r>
        <w:r>
          <w:fldChar w:fldCharType="end"/>
        </w:r>
      </w:hyperlink>
    </w:p>
    <w:p>
      <w:pPr>
        <w:pStyle w:val="TOC2"/>
        <w:tabs>
          <w:tab w:val="right" w:leader="dot" w:pos="8306"/>
        </w:tabs>
      </w:pPr>
      <w:hyperlink w:anchor="_Toc2796" w:history="1">
        <w:r>
          <w:rPr>
            <w:rFonts w:ascii="仿宋" w:eastAsia="仿宋" w:hAnsi="仿宋" w:cs="仿宋" w:hint="eastAsia"/>
            <w:lang w:eastAsia="zh-CN"/>
          </w:rPr>
          <w:t>(七)、机械设备安全保障措施</w:t>
        </w:r>
        <w:r>
          <w:tab/>
        </w:r>
        <w:r>
          <w:fldChar w:fldCharType="begin"/>
        </w:r>
        <w:r>
          <w:instrText xml:space="preserve"> PAGEREF _Toc2796 \h </w:instrText>
        </w:r>
        <w:r>
          <w:fldChar w:fldCharType="separate"/>
        </w:r>
        <w:r>
          <w:t>30</w:t>
        </w:r>
        <w:r>
          <w:fldChar w:fldCharType="end"/>
        </w:r>
      </w:hyperlink>
    </w:p>
    <w:p>
      <w:pPr>
        <w:pStyle w:val="TOC1"/>
        <w:tabs>
          <w:tab w:val="right" w:leader="dot" w:pos="8306"/>
        </w:tabs>
      </w:pPr>
      <w:hyperlink w:anchor="_Toc19192" w:history="1">
        <w:r>
          <w:rPr>
            <w:rFonts w:ascii="仿宋" w:eastAsia="仿宋" w:hAnsi="仿宋" w:cs="仿宋" w:hint="eastAsia"/>
            <w:lang w:eastAsia="zh-CN"/>
          </w:rPr>
          <w:t>十、新型催化重整催化剂项目社会影响</w:t>
        </w:r>
        <w:r>
          <w:tab/>
        </w:r>
        <w:r>
          <w:fldChar w:fldCharType="begin"/>
        </w:r>
        <w:r>
          <w:instrText xml:space="preserve"> PAGEREF _Toc19192 \h </w:instrText>
        </w:r>
        <w:r>
          <w:fldChar w:fldCharType="separate"/>
        </w:r>
        <w:r>
          <w:t>31</w:t>
        </w:r>
        <w:r>
          <w:fldChar w:fldCharType="end"/>
        </w:r>
      </w:hyperlink>
    </w:p>
    <w:p>
      <w:pPr>
        <w:pStyle w:val="TOC2"/>
        <w:tabs>
          <w:tab w:val="right" w:leader="dot" w:pos="8306"/>
        </w:tabs>
      </w:pPr>
      <w:hyperlink w:anchor="_Toc3223" w:history="1">
        <w:r>
          <w:rPr>
            <w:rFonts w:ascii="仿宋" w:eastAsia="仿宋" w:hAnsi="仿宋" w:cs="仿宋" w:hint="eastAsia"/>
            <w:lang w:eastAsia="zh-CN"/>
          </w:rPr>
          <w:t>(一)、社会责任与义务</w:t>
        </w:r>
        <w:r>
          <w:tab/>
        </w:r>
        <w:r>
          <w:fldChar w:fldCharType="begin"/>
        </w:r>
        <w:r>
          <w:instrText xml:space="preserve"> PAGEREF _Toc3223 \h </w:instrText>
        </w:r>
        <w:r>
          <w:fldChar w:fldCharType="separate"/>
        </w:r>
        <w:r>
          <w:t>31</w:t>
        </w:r>
        <w:r>
          <w:fldChar w:fldCharType="end"/>
        </w:r>
      </w:hyperlink>
    </w:p>
    <w:p>
      <w:pPr>
        <w:pStyle w:val="TOC2"/>
        <w:tabs>
          <w:tab w:val="right" w:leader="dot" w:pos="8306"/>
        </w:tabs>
      </w:pPr>
      <w:hyperlink w:anchor="_Toc9701" w:history="1">
        <w:r>
          <w:rPr>
            <w:rFonts w:ascii="仿宋" w:eastAsia="仿宋" w:hAnsi="仿宋" w:cs="仿宋" w:hint="eastAsia"/>
            <w:lang w:eastAsia="zh-CN"/>
          </w:rPr>
          <w:t>(二)、社会参与与沟通</w:t>
        </w:r>
        <w:r>
          <w:tab/>
        </w:r>
        <w:r>
          <w:fldChar w:fldCharType="begin"/>
        </w:r>
        <w:r>
          <w:instrText xml:space="preserve"> PAGEREF _Toc9701 \h </w:instrText>
        </w:r>
        <w:r>
          <w:fldChar w:fldCharType="separate"/>
        </w:r>
        <w:r>
          <w:t>32</w:t>
        </w:r>
        <w:r>
          <w:fldChar w:fldCharType="end"/>
        </w:r>
      </w:hyperlink>
    </w:p>
    <w:p>
      <w:pPr>
        <w:pStyle w:val="TOC1"/>
        <w:tabs>
          <w:tab w:val="right" w:leader="dot" w:pos="8306"/>
        </w:tabs>
      </w:pPr>
      <w:hyperlink w:anchor="_Toc21804" w:history="1">
        <w:r>
          <w:rPr>
            <w:rFonts w:ascii="仿宋" w:eastAsia="仿宋" w:hAnsi="仿宋" w:cs="仿宋" w:hint="eastAsia"/>
            <w:lang w:eastAsia="zh-CN"/>
          </w:rPr>
          <w:t>十一、新型催化重整催化剂项目环境影响分析</w:t>
        </w:r>
        <w:r>
          <w:tab/>
        </w:r>
        <w:r>
          <w:fldChar w:fldCharType="begin"/>
        </w:r>
        <w:r>
          <w:instrText xml:space="preserve"> PAGEREF _Toc21804 \h </w:instrText>
        </w:r>
        <w:r>
          <w:fldChar w:fldCharType="separate"/>
        </w:r>
        <w:r>
          <w:t>33</w:t>
        </w:r>
        <w:r>
          <w:fldChar w:fldCharType="end"/>
        </w:r>
      </w:hyperlink>
    </w:p>
    <w:p>
      <w:pPr>
        <w:pStyle w:val="TOC2"/>
        <w:tabs>
          <w:tab w:val="right" w:leader="dot" w:pos="8306"/>
        </w:tabs>
      </w:pPr>
      <w:hyperlink w:anchor="_Toc21680" w:history="1">
        <w:r>
          <w:rPr>
            <w:rFonts w:ascii="仿宋" w:eastAsia="仿宋" w:hAnsi="仿宋" w:cs="仿宋" w:hint="eastAsia"/>
            <w:lang w:eastAsia="zh-CN"/>
          </w:rPr>
          <w:t>(一)、建设区域环境质量现状</w:t>
        </w:r>
        <w:r>
          <w:tab/>
        </w:r>
        <w:r>
          <w:fldChar w:fldCharType="begin"/>
        </w:r>
        <w:r>
          <w:instrText xml:space="preserve"> PAGEREF _Toc21680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07" w:history="1">
        <w:r>
          <w:rPr>
            <w:rFonts w:ascii="仿宋" w:eastAsia="仿宋" w:hAnsi="仿宋" w:cs="仿宋" w:hint="eastAsia"/>
            <w:lang w:eastAsia="zh-CN"/>
          </w:rPr>
          <w:t>(二)、建设期环境保护</w:t>
        </w:r>
        <w:r>
          <w:tab/>
        </w:r>
        <w:r>
          <w:fldChar w:fldCharType="begin"/>
        </w:r>
        <w:r>
          <w:instrText xml:space="preserve"> PAGEREF _Toc29007 \h </w:instrText>
        </w:r>
        <w:r>
          <w:fldChar w:fldCharType="separate"/>
        </w:r>
        <w:r>
          <w:t>34</w:t>
        </w:r>
        <w:r>
          <w:fldChar w:fldCharType="end"/>
        </w:r>
      </w:hyperlink>
    </w:p>
    <w:p>
      <w:pPr>
        <w:pStyle w:val="TOC2"/>
        <w:tabs>
          <w:tab w:val="right" w:leader="dot" w:pos="8306"/>
        </w:tabs>
      </w:pPr>
      <w:hyperlink w:anchor="_Toc16480" w:history="1">
        <w:r>
          <w:rPr>
            <w:rFonts w:ascii="仿宋" w:eastAsia="仿宋" w:hAnsi="仿宋" w:cs="仿宋" w:hint="eastAsia"/>
            <w:lang w:eastAsia="zh-CN"/>
          </w:rPr>
          <w:t>(三)、运营期环境保护</w:t>
        </w:r>
        <w:r>
          <w:tab/>
        </w:r>
        <w:r>
          <w:fldChar w:fldCharType="begin"/>
        </w:r>
        <w:r>
          <w:instrText xml:space="preserve"> PAGEREF _Toc16480 \h </w:instrText>
        </w:r>
        <w:r>
          <w:fldChar w:fldCharType="separate"/>
        </w:r>
        <w:r>
          <w:t>36</w:t>
        </w:r>
        <w:r>
          <w:fldChar w:fldCharType="end"/>
        </w:r>
      </w:hyperlink>
    </w:p>
    <w:p>
      <w:pPr>
        <w:pStyle w:val="TOC2"/>
        <w:tabs>
          <w:tab w:val="right" w:leader="dot" w:pos="8306"/>
        </w:tabs>
      </w:pPr>
      <w:hyperlink w:anchor="_Toc16657" w:history="1">
        <w:r>
          <w:rPr>
            <w:rFonts w:ascii="仿宋" w:eastAsia="仿宋" w:hAnsi="仿宋" w:cs="仿宋" w:hint="eastAsia"/>
            <w:lang w:eastAsia="zh-CN"/>
          </w:rPr>
          <w:t>(四)、新型催化重整催化剂项目建设对区域经济的影响</w:t>
        </w:r>
        <w:r>
          <w:tab/>
        </w:r>
        <w:r>
          <w:fldChar w:fldCharType="begin"/>
        </w:r>
        <w:r>
          <w:instrText xml:space="preserve"> PAGEREF _Toc16657 \h </w:instrText>
        </w:r>
        <w:r>
          <w:fldChar w:fldCharType="separate"/>
        </w:r>
        <w:r>
          <w:t>37</w:t>
        </w:r>
        <w:r>
          <w:fldChar w:fldCharType="end"/>
        </w:r>
      </w:hyperlink>
    </w:p>
    <w:p>
      <w:pPr>
        <w:pStyle w:val="TOC2"/>
        <w:tabs>
          <w:tab w:val="right" w:leader="dot" w:pos="8306"/>
        </w:tabs>
      </w:pPr>
      <w:hyperlink w:anchor="_Toc8008" w:history="1">
        <w:r>
          <w:rPr>
            <w:rFonts w:ascii="仿宋" w:eastAsia="仿宋" w:hAnsi="仿宋" w:cs="仿宋" w:hint="eastAsia"/>
            <w:lang w:eastAsia="zh-CN"/>
          </w:rPr>
          <w:t>(五)、废弃物处理</w:t>
        </w:r>
        <w:r>
          <w:tab/>
        </w:r>
        <w:r>
          <w:fldChar w:fldCharType="begin"/>
        </w:r>
        <w:r>
          <w:instrText xml:space="preserve"> PAGEREF _Toc8008 \h </w:instrText>
        </w:r>
        <w:r>
          <w:fldChar w:fldCharType="separate"/>
        </w:r>
        <w:r>
          <w:t>39</w:t>
        </w:r>
        <w:r>
          <w:fldChar w:fldCharType="end"/>
        </w:r>
      </w:hyperlink>
    </w:p>
    <w:p>
      <w:pPr>
        <w:pStyle w:val="TOC2"/>
        <w:tabs>
          <w:tab w:val="right" w:leader="dot" w:pos="8306"/>
        </w:tabs>
      </w:pPr>
      <w:hyperlink w:anchor="_Toc9713" w:history="1">
        <w:r>
          <w:rPr>
            <w:rFonts w:ascii="仿宋" w:eastAsia="仿宋" w:hAnsi="仿宋" w:cs="仿宋" w:hint="eastAsia"/>
            <w:lang w:eastAsia="zh-CN"/>
          </w:rPr>
          <w:t>(六)、特殊环境影响分析</w:t>
        </w:r>
        <w:r>
          <w:tab/>
        </w:r>
        <w:r>
          <w:fldChar w:fldCharType="begin"/>
        </w:r>
        <w:r>
          <w:instrText xml:space="preserve"> PAGEREF _Toc9713 \h </w:instrText>
        </w:r>
        <w:r>
          <w:fldChar w:fldCharType="separate"/>
        </w:r>
        <w:r>
          <w:t>40</w:t>
        </w:r>
        <w:r>
          <w:fldChar w:fldCharType="end"/>
        </w:r>
      </w:hyperlink>
    </w:p>
    <w:p>
      <w:pPr>
        <w:pStyle w:val="TOC2"/>
        <w:tabs>
          <w:tab w:val="right" w:leader="dot" w:pos="8306"/>
        </w:tabs>
      </w:pPr>
      <w:hyperlink w:anchor="_Toc10103" w:history="1">
        <w:r>
          <w:rPr>
            <w:rFonts w:ascii="仿宋" w:eastAsia="仿宋" w:hAnsi="仿宋" w:cs="仿宋" w:hint="eastAsia"/>
            <w:lang w:eastAsia="zh-CN"/>
          </w:rPr>
          <w:t>(七)、清洁生产</w:t>
        </w:r>
        <w:r>
          <w:tab/>
        </w:r>
        <w:r>
          <w:fldChar w:fldCharType="begin"/>
        </w:r>
        <w:r>
          <w:instrText xml:space="preserve"> PAGEREF _Toc10103 \h </w:instrText>
        </w:r>
        <w:r>
          <w:fldChar w:fldCharType="separate"/>
        </w:r>
        <w:r>
          <w:t>42</w:t>
        </w:r>
        <w:r>
          <w:fldChar w:fldCharType="end"/>
        </w:r>
      </w:hyperlink>
    </w:p>
    <w:p>
      <w:pPr>
        <w:pStyle w:val="TOC2"/>
        <w:tabs>
          <w:tab w:val="right" w:leader="dot" w:pos="8306"/>
        </w:tabs>
      </w:pPr>
      <w:hyperlink w:anchor="_Toc13843" w:history="1">
        <w:r>
          <w:rPr>
            <w:rFonts w:ascii="仿宋" w:eastAsia="仿宋" w:hAnsi="仿宋" w:cs="仿宋" w:hint="eastAsia"/>
            <w:lang w:eastAsia="zh-CN"/>
          </w:rPr>
          <w:t>(八)、环境保护综合评价</w:t>
        </w:r>
        <w:r>
          <w:tab/>
        </w:r>
        <w:r>
          <w:fldChar w:fldCharType="begin"/>
        </w:r>
        <w:r>
          <w:instrText xml:space="preserve"> PAGEREF _Toc13843 \h </w:instrText>
        </w:r>
        <w:r>
          <w:fldChar w:fldCharType="separate"/>
        </w:r>
        <w:r>
          <w:t>43</w:t>
        </w:r>
        <w:r>
          <w:fldChar w:fldCharType="end"/>
        </w:r>
      </w:hyperlink>
    </w:p>
    <w:p>
      <w:pPr>
        <w:pStyle w:val="TOC1"/>
        <w:tabs>
          <w:tab w:val="right" w:leader="dot" w:pos="8306"/>
        </w:tabs>
      </w:pPr>
      <w:hyperlink w:anchor="_Toc5546" w:history="1">
        <w:r>
          <w:rPr>
            <w:rFonts w:ascii="仿宋" w:eastAsia="仿宋" w:hAnsi="仿宋" w:cs="仿宋" w:hint="eastAsia"/>
            <w:lang w:eastAsia="zh-CN"/>
          </w:rPr>
          <w:t>十二、新型催化重整催化剂项目财务管理</w:t>
        </w:r>
        <w:r>
          <w:tab/>
        </w:r>
        <w:r>
          <w:fldChar w:fldCharType="begin"/>
        </w:r>
        <w:r>
          <w:instrText xml:space="preserve"> PAGEREF _Toc5546 \h </w:instrText>
        </w:r>
        <w:r>
          <w:fldChar w:fldCharType="separate"/>
        </w:r>
        <w:r>
          <w:t>44</w:t>
        </w:r>
        <w:r>
          <w:fldChar w:fldCharType="end"/>
        </w:r>
      </w:hyperlink>
    </w:p>
    <w:p>
      <w:pPr>
        <w:pStyle w:val="TOC2"/>
        <w:tabs>
          <w:tab w:val="right" w:leader="dot" w:pos="8306"/>
        </w:tabs>
      </w:pPr>
      <w:hyperlink w:anchor="_Toc17877" w:history="1">
        <w:r>
          <w:rPr>
            <w:rFonts w:ascii="仿宋" w:eastAsia="仿宋" w:hAnsi="仿宋" w:cs="仿宋" w:hint="eastAsia"/>
            <w:lang w:eastAsia="zh-CN"/>
          </w:rPr>
          <w:t>(一)、资金需求大</w:t>
        </w:r>
        <w:r>
          <w:tab/>
        </w:r>
        <w:r>
          <w:fldChar w:fldCharType="begin"/>
        </w:r>
        <w:r>
          <w:instrText xml:space="preserve"> PAGEREF _Toc17877 \h </w:instrText>
        </w:r>
        <w:r>
          <w:fldChar w:fldCharType="separate"/>
        </w:r>
        <w:r>
          <w:t>44</w:t>
        </w:r>
        <w:r>
          <w:fldChar w:fldCharType="end"/>
        </w:r>
      </w:hyperlink>
    </w:p>
    <w:p>
      <w:pPr>
        <w:pStyle w:val="TOC2"/>
        <w:tabs>
          <w:tab w:val="right" w:leader="dot" w:pos="8306"/>
        </w:tabs>
      </w:pPr>
      <w:hyperlink w:anchor="_Toc13553" w:history="1">
        <w:r>
          <w:rPr>
            <w:rFonts w:ascii="仿宋" w:eastAsia="仿宋" w:hAnsi="仿宋" w:cs="仿宋" w:hint="eastAsia"/>
            <w:lang w:eastAsia="zh-CN"/>
          </w:rPr>
          <w:t>(二)、研发周期长</w:t>
        </w:r>
        <w:r>
          <w:tab/>
        </w:r>
        <w:r>
          <w:fldChar w:fldCharType="begin"/>
        </w:r>
        <w:r>
          <w:instrText xml:space="preserve"> PAGEREF _Toc13553 \h </w:instrText>
        </w:r>
        <w:r>
          <w:fldChar w:fldCharType="separate"/>
        </w:r>
        <w:r>
          <w:t>46</w:t>
        </w:r>
        <w:r>
          <w:fldChar w:fldCharType="end"/>
        </w:r>
      </w:hyperlink>
    </w:p>
    <w:p>
      <w:pPr>
        <w:pStyle w:val="TOC2"/>
        <w:tabs>
          <w:tab w:val="right" w:leader="dot" w:pos="8306"/>
        </w:tabs>
      </w:pPr>
      <w:hyperlink w:anchor="_Toc25456" w:history="1">
        <w:r>
          <w:rPr>
            <w:rFonts w:ascii="仿宋" w:eastAsia="仿宋" w:hAnsi="仿宋" w:cs="仿宋" w:hint="eastAsia"/>
            <w:lang w:eastAsia="zh-CN"/>
          </w:rPr>
          <w:t>(三)、市场风险大</w:t>
        </w:r>
        <w:r>
          <w:tab/>
        </w:r>
        <w:r>
          <w:fldChar w:fldCharType="begin"/>
        </w:r>
        <w:r>
          <w:instrText xml:space="preserve"> PAGEREF _Toc25456 \h </w:instrText>
        </w:r>
        <w:r>
          <w:fldChar w:fldCharType="separate"/>
        </w:r>
        <w:r>
          <w:t>47</w:t>
        </w:r>
        <w:r>
          <w:fldChar w:fldCharType="end"/>
        </w:r>
      </w:hyperlink>
    </w:p>
    <w:p>
      <w:pPr>
        <w:pStyle w:val="TOC2"/>
        <w:tabs>
          <w:tab w:val="right" w:leader="dot" w:pos="8306"/>
        </w:tabs>
      </w:pPr>
      <w:hyperlink w:anchor="_Toc13417" w:history="1">
        <w:r>
          <w:rPr>
            <w:rFonts w:ascii="仿宋" w:eastAsia="仿宋" w:hAnsi="仿宋" w:cs="仿宋" w:hint="eastAsia"/>
            <w:lang w:eastAsia="zh-CN"/>
          </w:rPr>
          <w:t>(四)、利润率高</w:t>
        </w:r>
        <w:r>
          <w:tab/>
        </w:r>
        <w:r>
          <w:fldChar w:fldCharType="begin"/>
        </w:r>
        <w:r>
          <w:instrText xml:space="preserve"> PAGEREF _Toc13417 \h </w:instrText>
        </w:r>
        <w:r>
          <w:fldChar w:fldCharType="separate"/>
        </w:r>
        <w:r>
          <w:t>50</w:t>
        </w:r>
        <w:r>
          <w:fldChar w:fldCharType="end"/>
        </w:r>
      </w:hyperlink>
    </w:p>
    <w:p>
      <w:pPr>
        <w:pStyle w:val="TOC1"/>
        <w:tabs>
          <w:tab w:val="right" w:leader="dot" w:pos="8306"/>
        </w:tabs>
      </w:pPr>
      <w:hyperlink w:anchor="_Toc31820" w:history="1">
        <w:r>
          <w:rPr>
            <w:rFonts w:ascii="仿宋" w:eastAsia="仿宋" w:hAnsi="仿宋" w:cs="仿宋" w:hint="eastAsia"/>
            <w:lang w:eastAsia="zh-CN"/>
          </w:rPr>
          <w:t>十三、营销与推广策略</w:t>
        </w:r>
        <w:r>
          <w:tab/>
        </w:r>
        <w:r>
          <w:fldChar w:fldCharType="begin"/>
        </w:r>
        <w:r>
          <w:instrText xml:space="preserve"> PAGEREF _Toc31820 \h </w:instrText>
        </w:r>
        <w:r>
          <w:fldChar w:fldCharType="separate"/>
        </w:r>
        <w:r>
          <w:t>52</w:t>
        </w:r>
        <w:r>
          <w:fldChar w:fldCharType="end"/>
        </w:r>
      </w:hyperlink>
    </w:p>
    <w:p>
      <w:pPr>
        <w:pStyle w:val="TOC2"/>
        <w:tabs>
          <w:tab w:val="right" w:leader="dot" w:pos="8306"/>
        </w:tabs>
      </w:pPr>
      <w:hyperlink w:anchor="_Toc17324" w:history="1">
        <w:r>
          <w:rPr>
            <w:rFonts w:ascii="仿宋" w:eastAsia="仿宋" w:hAnsi="仿宋" w:cs="仿宋" w:hint="eastAsia"/>
            <w:lang w:eastAsia="zh-CN"/>
          </w:rPr>
          <w:t>(一)、产品/服务定位与特点</w:t>
        </w:r>
        <w:r>
          <w:tab/>
        </w:r>
        <w:r>
          <w:fldChar w:fldCharType="begin"/>
        </w:r>
        <w:r>
          <w:instrText xml:space="preserve"> PAGEREF _Toc17324 \h </w:instrText>
        </w:r>
        <w:r>
          <w:fldChar w:fldCharType="separate"/>
        </w:r>
        <w:r>
          <w:t>52</w:t>
        </w:r>
        <w:r>
          <w:fldChar w:fldCharType="end"/>
        </w:r>
      </w:hyperlink>
    </w:p>
    <w:p>
      <w:pPr>
        <w:pStyle w:val="TOC2"/>
        <w:tabs>
          <w:tab w:val="right" w:leader="dot" w:pos="8306"/>
        </w:tabs>
      </w:pPr>
      <w:hyperlink w:anchor="_Toc25122" w:history="1">
        <w:r>
          <w:rPr>
            <w:rFonts w:ascii="仿宋" w:eastAsia="仿宋" w:hAnsi="仿宋" w:cs="仿宋" w:hint="eastAsia"/>
            <w:lang w:eastAsia="zh-CN"/>
          </w:rPr>
          <w:t>(二)、市场定位与竞争分析</w:t>
        </w:r>
        <w:r>
          <w:tab/>
        </w:r>
        <w:r>
          <w:fldChar w:fldCharType="begin"/>
        </w:r>
        <w:r>
          <w:instrText xml:space="preserve"> PAGEREF _Toc25122 \h </w:instrText>
        </w:r>
        <w:r>
          <w:fldChar w:fldCharType="separate"/>
        </w:r>
        <w:r>
          <w:t>53</w:t>
        </w:r>
        <w:r>
          <w:fldChar w:fldCharType="end"/>
        </w:r>
      </w:hyperlink>
    </w:p>
    <w:p>
      <w:pPr>
        <w:pStyle w:val="TOC2"/>
        <w:tabs>
          <w:tab w:val="right" w:leader="dot" w:pos="8306"/>
        </w:tabs>
      </w:pPr>
      <w:hyperlink w:anchor="_Toc29677" w:history="1">
        <w:r>
          <w:rPr>
            <w:rFonts w:ascii="仿宋" w:eastAsia="仿宋" w:hAnsi="仿宋" w:cs="仿宋" w:hint="eastAsia"/>
            <w:lang w:eastAsia="zh-CN"/>
          </w:rPr>
          <w:t>(三)、营销渠道与策略</w:t>
        </w:r>
        <w:r>
          <w:tab/>
        </w:r>
        <w:r>
          <w:fldChar w:fldCharType="begin"/>
        </w:r>
        <w:r>
          <w:instrText xml:space="preserve"> PAGEREF _Toc29677 \h </w:instrText>
        </w:r>
        <w:r>
          <w:fldChar w:fldCharType="separate"/>
        </w:r>
        <w:r>
          <w:t>54</w:t>
        </w:r>
        <w:r>
          <w:fldChar w:fldCharType="end"/>
        </w:r>
      </w:hyperlink>
    </w:p>
    <w:p>
      <w:pPr>
        <w:pStyle w:val="TOC2"/>
        <w:tabs>
          <w:tab w:val="right" w:leader="dot" w:pos="8306"/>
        </w:tabs>
      </w:pPr>
      <w:hyperlink w:anchor="_Toc22067" w:history="1">
        <w:r>
          <w:rPr>
            <w:rFonts w:ascii="仿宋" w:eastAsia="仿宋" w:hAnsi="仿宋" w:cs="仿宋" w:hint="eastAsia"/>
            <w:lang w:eastAsia="zh-CN"/>
          </w:rPr>
          <w:t>(四)、推广与宣传活动</w:t>
        </w:r>
        <w:r>
          <w:tab/>
        </w:r>
        <w:r>
          <w:fldChar w:fldCharType="begin"/>
        </w:r>
        <w:r>
          <w:instrText xml:space="preserve"> PAGEREF _Toc22067 \h </w:instrText>
        </w:r>
        <w:r>
          <w:fldChar w:fldCharType="separate"/>
        </w:r>
        <w:r>
          <w:t>56</w:t>
        </w:r>
        <w:r>
          <w:fldChar w:fldCharType="end"/>
        </w:r>
      </w:hyperlink>
    </w:p>
    <w:p>
      <w:pPr>
        <w:pStyle w:val="TOC1"/>
        <w:tabs>
          <w:tab w:val="right" w:leader="dot" w:pos="8306"/>
        </w:tabs>
      </w:pPr>
      <w:hyperlink w:anchor="_Toc2783" w:history="1">
        <w:r>
          <w:rPr>
            <w:rFonts w:ascii="仿宋" w:eastAsia="仿宋" w:hAnsi="仿宋" w:cs="仿宋" w:hint="eastAsia"/>
            <w:lang w:eastAsia="zh-CN"/>
          </w:rPr>
          <w:t>十四、新型催化重整催化剂项目治理与监督</w:t>
        </w:r>
        <w:r>
          <w:tab/>
        </w:r>
        <w:r>
          <w:fldChar w:fldCharType="begin"/>
        </w:r>
        <w:r>
          <w:instrText xml:space="preserve"> PAGEREF _Toc2783 \h </w:instrText>
        </w:r>
        <w:r>
          <w:fldChar w:fldCharType="separate"/>
        </w:r>
        <w:r>
          <w:t>61</w:t>
        </w:r>
        <w:r>
          <w:fldChar w:fldCharType="end"/>
        </w:r>
      </w:hyperlink>
    </w:p>
    <w:p>
      <w:pPr>
        <w:pStyle w:val="TOC2"/>
        <w:tabs>
          <w:tab w:val="right" w:leader="dot" w:pos="8306"/>
        </w:tabs>
      </w:pPr>
      <w:hyperlink w:anchor="_Toc13071" w:history="1">
        <w:r>
          <w:rPr>
            <w:rFonts w:ascii="仿宋" w:eastAsia="仿宋" w:hAnsi="仿宋" w:cs="仿宋" w:hint="eastAsia"/>
            <w:lang w:eastAsia="zh-CN"/>
          </w:rPr>
          <w:t>(一)、新型催化重整催化剂项目治理结构</w:t>
        </w:r>
        <w:r>
          <w:tab/>
        </w:r>
        <w:r>
          <w:fldChar w:fldCharType="begin"/>
        </w:r>
        <w:r>
          <w:instrText xml:space="preserve"> PAGEREF _Toc13071 \h </w:instrText>
        </w:r>
        <w:r>
          <w:fldChar w:fldCharType="separate"/>
        </w:r>
        <w:r>
          <w:t>61</w:t>
        </w:r>
        <w:r>
          <w:fldChar w:fldCharType="end"/>
        </w:r>
      </w:hyperlink>
    </w:p>
    <w:p>
      <w:pPr>
        <w:pStyle w:val="TOC2"/>
        <w:tabs>
          <w:tab w:val="right" w:leader="dot" w:pos="8306"/>
        </w:tabs>
      </w:pPr>
      <w:hyperlink w:anchor="_Toc7633" w:history="1">
        <w:r>
          <w:rPr>
            <w:rFonts w:ascii="仿宋" w:eastAsia="仿宋" w:hAnsi="仿宋" w:cs="仿宋" w:hint="eastAsia"/>
            <w:lang w:eastAsia="zh-CN"/>
          </w:rPr>
          <w:t>(二)、监督与审计</w:t>
        </w:r>
        <w:r>
          <w:tab/>
        </w:r>
        <w:r>
          <w:fldChar w:fldCharType="begin"/>
        </w:r>
        <w:r>
          <w:instrText xml:space="preserve"> PAGEREF _Toc7633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6"/>
      <w:r>
        <w:rPr>
          <w:rFonts w:ascii="仿宋" w:eastAsia="仿宋" w:hAnsi="仿宋" w:cs="仿宋" w:hint="eastAsia"/>
          <w:sz w:val="28"/>
          <w:lang w:eastAsia="zh-CN"/>
        </w:rPr>
        <w:t>一、新型催化重整催化剂项目建设背景及必要性分析</w:t>
      </w:r>
      <w:bookmarkEnd w:id="2"/>
    </w:p>
    <w:p>
      <w:pPr>
        <w:pStyle w:val="Heading2"/>
        <w:rPr>
          <w:rFonts w:ascii="仿宋" w:eastAsia="仿宋" w:hAnsi="仿宋" w:cs="仿宋" w:hint="eastAsia"/>
          <w:lang w:eastAsia="zh-CN"/>
        </w:rPr>
      </w:pPr>
      <w:bookmarkStart w:id="3" w:name="_Toc1418"/>
      <w:r>
        <w:rPr>
          <w:rFonts w:ascii="仿宋" w:eastAsia="仿宋" w:hAnsi="仿宋" w:cs="仿宋" w:hint="eastAsia"/>
          <w:lang w:eastAsia="zh-CN"/>
        </w:rPr>
        <w:t>(一)、新型催化重整催化剂项目背景分析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催化重整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催化重整催化剂项目在这个潮流中的定位。同时，我们将关注行业内涌现的新兴机遇，以便新型催化重整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催化重整催化剂项目提供了强大的发展动力。我们将聚焦于行业内最新的技术发展趋势，包括但不限于人工智能、大数据分析、物联网等领域。通过深度的技术研究，我们将确保新型催化重整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催化重整催化剂项目发展的源泉。我们将投入更多的精力对市场需求进行深入剖析，超越表面的需求，深入挖掘潜在的市场痛点和机遇。通过对市场需求的细致了解，新型催化重整催化剂项目将更有针对性地设计解决方案，满足市场的多样化需求，从而更好地促进新型催化重整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催化重整催化剂项目战略至关重要。我们将对竞争态势进行更为深入的分析，包括但不限于市场份额、产品特点、客户满意度等多个维度。通过深度的竞争分析，新型催化重整催化剂项目将能够更准确地把握市场脉搏，制定具有竞争力的新型催化重整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新型催化重整催化剂项目的发展具有直接的影响。我们将进行更为全面的法规和政策分析，了解行业发展中的潜在法律风险和合规挑战。通过充分了解和遵守相关法规，新型催化重整催化剂项目将确保在法律框架内合法合规运营，为新型催化重整催化剂项目的稳健发展提供有力支持。</w:t>
      </w:r>
    </w:p>
    <w:p>
      <w:pPr>
        <w:pStyle w:val="Heading2"/>
        <w:ind w:firstLine="560" w:firstLineChars="200"/>
        <w:rPr>
          <w:rFonts w:ascii="仿宋" w:eastAsia="仿宋" w:hAnsi="仿宋" w:cs="仿宋" w:hint="eastAsia"/>
          <w:sz w:val="28"/>
          <w:lang w:eastAsia="zh-CN"/>
        </w:rPr>
      </w:pPr>
      <w:bookmarkStart w:id="4" w:name="_Toc27538"/>
      <w:r>
        <w:rPr>
          <w:rFonts w:ascii="仿宋" w:eastAsia="仿宋" w:hAnsi="仿宋" w:cs="仿宋" w:hint="eastAsia"/>
          <w:sz w:val="28"/>
          <w:lang w:eastAsia="zh-CN"/>
        </w:rPr>
        <w:t>(二)、新型催化重整催化剂项目建设必要性分析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建设的迫切性源于对行业发展趋势的深刻洞察。我们正处于一个行业变革的时代，科技创新、数字化转型成为企业发展的关键动力。新型催化重整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建设不仅仅是为了跟上潮流，更是为了通过技术创新推动企业的持续发展。通过引入先进的技术和解决方案，新型催化重整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催化重整催化剂项目的建设成为必然选择，通过提高产品质量、拓展服务领域，从而在竞争中获得更多的机会。新型催化重整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催化重整催化剂项目建设的必要性体现在对客户需求更精准的满足。通过新型催化重整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建设的背后是对企业持续创新的追求。只有通过不断创新，企业才能在竞争中立于不败之地。新型催化重整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500"/>
      <w:r>
        <w:rPr>
          <w:rFonts w:ascii="仿宋" w:eastAsia="仿宋" w:hAnsi="仿宋" w:cs="仿宋" w:hint="eastAsia"/>
          <w:sz w:val="28"/>
          <w:lang w:eastAsia="zh-CN"/>
        </w:rPr>
        <w:t>二、新型催化重整催化剂项目土建工程</w:t>
      </w:r>
      <w:bookmarkEnd w:id="5"/>
    </w:p>
    <w:p>
      <w:pPr>
        <w:pStyle w:val="Heading2"/>
        <w:rPr>
          <w:rFonts w:ascii="仿宋" w:eastAsia="仿宋" w:hAnsi="仿宋" w:cs="仿宋" w:hint="eastAsia"/>
          <w:lang w:eastAsia="zh-CN"/>
        </w:rPr>
      </w:pPr>
      <w:bookmarkStart w:id="6" w:name="_Toc2743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在新型催化重整催化剂项目的建筑工程设计中，我们将秉承一系列重要的设计原则，以确保新型催化重整催化剂项目建筑在功能、美观、可持续性等方面达到最佳效果。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首要原则是确保建筑的功能性得到最大化的发挥。我们将充分理解新型催化重整催化剂项目的实际需求，合理布局各个功能区域，保证建筑在满足业务需求的同时，提供高效的工作环境。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在建筑设计中，我们将综合考虑建设和运营成本。通过精细的经济效益分析，确保设计方案在高效利用资源的同时，对新型催化重整催化剂项目的长期盈利能力有积极的贡献。</w:t>
      </w:r>
    </w:p>
    <w:p>
      <w:pPr>
        <w:pStyle w:val="Heading2"/>
        <w:ind w:firstLine="560" w:firstLineChars="200"/>
        <w:rPr>
          <w:rFonts w:ascii="仿宋" w:eastAsia="仿宋" w:hAnsi="仿宋" w:cs="仿宋" w:hint="eastAsia"/>
          <w:sz w:val="28"/>
          <w:lang w:eastAsia="zh-CN"/>
        </w:rPr>
      </w:pPr>
      <w:bookmarkStart w:id="7" w:name="_Toc2509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催化重整催化剂项目的土建工程设计中，我们将精准设定设计年限，结合新型催化重整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型催化重整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254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新型催化重整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型催化重整催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型催化重整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8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本期工程新型催化重整催化剂项目预计总建筑面积XXX平方米，其中：计容建筑面积XXX平方米，计划建筑工程投资XX万元，占新型催化重整催化剂项目总投资的XX%。</w:t>
      </w:r>
    </w:p>
    <w:p>
      <w:pPr>
        <w:pStyle w:val="Heading1"/>
        <w:ind w:firstLine="560" w:firstLineChars="200"/>
        <w:rPr>
          <w:rFonts w:ascii="仿宋" w:eastAsia="仿宋" w:hAnsi="仿宋" w:cs="仿宋" w:hint="eastAsia"/>
          <w:sz w:val="28"/>
          <w:lang w:eastAsia="zh-CN"/>
        </w:rPr>
      </w:pPr>
      <w:bookmarkStart w:id="10" w:name="_Toc20350"/>
      <w:r>
        <w:rPr>
          <w:rFonts w:ascii="仿宋" w:eastAsia="仿宋" w:hAnsi="仿宋" w:cs="仿宋" w:hint="eastAsia"/>
          <w:sz w:val="28"/>
          <w:lang w:eastAsia="zh-CN"/>
        </w:rPr>
        <w:t>三、新型催化重整催化剂项目可持续发展</w:t>
      </w:r>
      <w:bookmarkEnd w:id="10"/>
    </w:p>
    <w:p>
      <w:pPr>
        <w:pStyle w:val="Heading2"/>
        <w:rPr>
          <w:rFonts w:ascii="仿宋" w:eastAsia="仿宋" w:hAnsi="仿宋" w:cs="仿宋" w:hint="eastAsia"/>
          <w:lang w:eastAsia="zh-CN"/>
        </w:rPr>
      </w:pPr>
      <w:bookmarkStart w:id="11" w:name="_Toc2769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催化重整催化剂项目中，新型催化重整催化剂项目团队着眼于未来，明确了可持续发展的战略方向。制定的具体可持续发展目标包括降低资源使用、采用环保技术、最大化社会效益等。这一步骤不仅有助于新型催化重整催化剂项目在环保和社会责任方面达到最高标准，也为未来提供了明确的指引，确保新型催化重整催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可持续实践的融入新型催化重整催化剂项目管理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催化重整催化剂项目管理周期。从新型催化重整催化剂项目规划开始，新型催化重整催化剂项目团队就考虑了环境和社会的因素。在执行阶段，新型催化重整催化剂项目团队积极推动绿色技术的应用，优化资源利用。此外，关注员工的社会责任，通过培训和沟通活动提高员工对可持续发展的认知，使他们能够在日常工作中践行可持续实践。这些举措不仅为新型催化重整催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2445"/>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催化重整催化剂项目的可持续发展理念，我们深信环保与社会责任是新型催化重整催化剂项目成功的关键支柱。在新型催化重整催化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团队通过引入先进的环保技术、建立高效的废物处理系统以及推动能源节约措施，积极履行环保责任。定期的环保监测和评估确保新型催化重整催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不仅致力于自身可持续发展，还注重对社会的回馈。通过支持社区新型催化重整催化剂项目、参与慈善事业、提供培训机会等方式，新型催化重整催化剂项目积极履行社会责任。与当地社区建立积极互动，关注员工的工作与生活平衡，以及员工的身心健康，是新型催化重整催化剂项目在社会责任层面的关键举措。这样的实践不仅增强了新型催化重整催化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9673"/>
      <w:r>
        <w:rPr>
          <w:rFonts w:ascii="仿宋" w:eastAsia="仿宋" w:hAnsi="仿宋" w:cs="仿宋" w:hint="eastAsia"/>
          <w:sz w:val="28"/>
          <w:lang w:eastAsia="zh-CN"/>
        </w:rPr>
        <w:t>四、新型催化重整催化剂项目文档管理</w:t>
      </w:r>
      <w:bookmarkEnd w:id="13"/>
    </w:p>
    <w:p>
      <w:pPr>
        <w:pStyle w:val="Heading2"/>
        <w:rPr>
          <w:rFonts w:ascii="仿宋" w:eastAsia="仿宋" w:hAnsi="仿宋" w:cs="仿宋" w:hint="eastAsia"/>
          <w:lang w:eastAsia="zh-CN"/>
        </w:rPr>
      </w:pPr>
      <w:bookmarkStart w:id="14" w:name="_Toc230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新型催化重整催化剂项目高度重视文档的质量和准确性，以支持新型催化重整催化剂项目的各项活动和决策。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文档的编制始于新型催化重整催化剂项目计划的初期，我们制定了详细的文档编制计划，明确了每个文档的内容、格式和编写责任人。在新型催化重整催化剂项目启动阶段，我们首先编制了新型催化重整催化剂项目章程，明确定义了新型催化重整催化剂项目的目标、范围、风险等关键要素。随后，新型催化重整催化剂项目团队根据计划陆续编制了需求文档、设计文档、测试文档等各类文档，确保新型催化重整催化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催化重整催化剂项目管理中的重要环节，旨在确保新型催化重整催化剂项目文档符合质量标准和新型催化重整催化剂项目需求。在新型催化重整催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催化重整催化剂项目相关利益方和专业领域的专家对文档进行独立审查。这有助于获取更全面、客观的反馈，确保新型催化重整催化剂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在文档编制与审查方面建立了严格的管理机制，通过规范的流程和多维度的审查，确保新型催化重整催化剂项目文档的质量、准确性和可靠性，为新型催化重整催化剂项目的顺利推进提供了有力支持。</w:t>
      </w:r>
    </w:p>
    <w:p>
      <w:pPr>
        <w:pStyle w:val="Heading2"/>
        <w:ind w:firstLine="560" w:firstLineChars="200"/>
        <w:rPr>
          <w:rFonts w:ascii="仿宋" w:eastAsia="仿宋" w:hAnsi="仿宋" w:cs="仿宋" w:hint="eastAsia"/>
          <w:sz w:val="28"/>
          <w:lang w:eastAsia="zh-CN"/>
        </w:rPr>
      </w:pPr>
      <w:bookmarkStart w:id="15" w:name="_Toc1450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在新型催化重整催化剂项目中，我们致力于优化文档发布与分发过程，以确保信息的高效传递和团队间协作的顺畅进行。以下是我们采取的关键优化策略：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我们通过多渠道发布文档，包括电子邮件、新型催化重整催化剂项目管理平台、内部网站等，以满足不同团队成员的偏好和需求。多渠道发布确保了信息的全面覆盖。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我们采用了精细的权限控制，确保只有授权人员可以访问敏感信息。这种安全措施保护了新型催化重整催化剂项目文档的机密性，防止了未经授权的信息泄露。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1120"/>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催化重整催化剂项目生命周期中一个至关重要的环节，直接关系到新型催化重整催化剂项目信息的长期保存和历史记录的完整性。在新型催化重整催化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9710"/>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55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新型催化重整催化剂项目的主要产品是XXXX，预计年产值为XXX万元。这一产品在市场中占据着重要的地位，其广泛的应用范围使得该新型催化重整催化剂项目的市场前景非常广阔。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催化重整催化剂项目的xxx产品作为重要的原材料之一，将在多个领域发挥关键作用。其在建筑、交通、能源等方面的广泛应用将为整个产业链提供强大的支持，形成产业协同效应。新型催化重整催化剂项目的年产值XXX万XXX万XXX万万元不仅反映了其在市场上的巨大潜力，更预示着它对国民经济的积极贡献。这种关联度高、涉及面广的产业关系，使得该新型催化重整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459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总征地面积为XXXX平方米，相当于约XX.XX亩，其中净用地面积为XXXX平方米，红线范围内相当于约XX.XX亩。这一用地规模充分考虑了新型催化重整催化剂项目的建设需求，保障了新型催化重整催化剂项目在合适的空间内得以充分发展。新型催化重整催化剂项目规划的总建筑面积为XXXX平方米，其中主体工程建设占XXXX平方米，计容建筑面积达XXXX平方米。预计建筑工程的投资将达到XXXX万元，为新型催化重整催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计划购置的设备共计XXXX台（套），设备购置费用为XXXX万元。这一设备购置计划充分考虑到新型催化重整催化剂项目的生产需求和技术要求，确保了新型催化重整催化剂项目在生产运营中具备先进的技术装备和高效的生产能力。设备的合理配置将为新型催化重整催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计划总投资为XXXX万元，预计年实现营业收入为XXXX万元。这一产能规模的设定旨在确保新型催化重整催化剂项目能够在投资与回报之间取得平衡，实现长期可持续的发展。新型催化重整催化剂项目的总投资充分考虑到各个方面的需求，包括用地建设、设备购置等多个环节，以确保新型催化重整催化剂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https://d.book118.com/907013106162006040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0783B"/>
    <w:rsid w:val="7EA078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1310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2024-02-06T16:39:00Z</dcterms:created>
  <dcterms:modified xsi:type="dcterms:W3CDTF">2024-02-06T16:39:17Z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243A1ECEC4084F66990A36B4CC7F8640_11</vt:lpwstr>
  </property>
  <property fmtid="{D5CDD505-2E9C-101B-9397-08002B2CF9AE}" pid="3" name="KSOProductBuildVer">
    <vt:lpwstr>2052-12.1.0.16250</vt:lpwstr>
  </property>
</Properties>
</file>