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20" w:lineRule="exact"/>
      </w:pPr>
      <w:bookmarkStart w:id="0" w:name="_Toc8921412"/>
      <w:bookmarkStart w:id="1" w:name="_GoBack"/>
      <w:bookmarkEnd w:id="1"/>
      <w:r>
        <w:rPr>
          <w:rFonts w:ascii="MingLiU" w:hAnsi="MingLiU" w:cs="MingLiU" w:hint="eastAsia"/>
          <w:b/>
          <w:color w:val="FFFFFF"/>
          <w:sz w:val="0"/>
        </w:rPr>
        <w:t>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w:t>
      </w:r>
      <w:r>
        <w:rPr>
          <w:rFonts w:ascii="MingLiU" w:hAnsi="MingLiU" w:cs="MingLiU" w:hint="eastAsia"/>
          <w:b/>
          <w:color w:val="FFFFFF"/>
          <w:sz w:val="0"/>
        </w:rPr>
        <w:t xml:space="preserve">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螃肂蒂螈螂膄芅蚄螁芇蒁薀螀羆芃蒆袀聿葿螄衿膁节蚀袈莃蒇蚆袇肃莀薂袆膅薆蒈袅芇莈螇袅羇薄蚃袄聿莇蕿羃膂薂蒅羂芄莅螄羁羄膈螀羀膆蒃蚆罿芈芆薂罿羈蒂蒈羈肀芄螆羇膃蒀蚂肆芅芃薈肅羅蒈蒄肄肇芁袃肃艿薆蝿肃莁荿蚅肂肁薅薁蚈膃莇蒇蚇芆薃螅螆羅莆蚁螆肈薁薇螅膀莄薃螄莂膇袂       </w:t>
      </w:r>
    </w:p>
    <w:p>
      <w:pPr>
        <w:pStyle w:val="Normal0"/>
        <w:spacing w:line="360" w:lineRule="auto"/>
        <w:ind w:firstLine="845" w:firstLineChars="192"/>
        <w:jc w:val="center"/>
        <w:rPr>
          <w:rFonts w:ascii="黑体" w:eastAsia="黑体" w:hAnsi="宋体" w:hint="eastAsia"/>
          <w:b/>
          <w:bCs/>
          <w:sz w:val="44"/>
        </w:rPr>
      </w:pPr>
      <w:r>
        <w:rPr>
          <w:rFonts w:ascii="黑体" w:eastAsia="黑体" w:hAnsi="宋体" w:hint="eastAsia"/>
          <w:b/>
          <w:bCs/>
          <w:sz w:val="44"/>
        </w:rPr>
        <w:t>目　</w:t>
      </w:r>
      <w:r>
        <w:rPr>
          <w:rFonts w:ascii="黑体" w:eastAsia="黑体" w:hAnsi="宋体"/>
          <w:b/>
          <w:bCs/>
          <w:sz w:val="44"/>
        </w:rPr>
        <w:t xml:space="preserve">    </w:t>
      </w:r>
      <w:r>
        <w:rPr>
          <w:rFonts w:ascii="黑体" w:eastAsia="黑体" w:hAnsi="宋体" w:hint="eastAsia"/>
          <w:b/>
          <w:bCs/>
          <w:sz w:val="44"/>
        </w:rPr>
        <w:t>　录</w:t>
      </w:r>
    </w:p>
    <w:p>
      <w:pPr>
        <w:pStyle w:val="TOC1"/>
        <w:spacing w:line="520" w:lineRule="exact"/>
        <w:rPr>
          <w:rFonts w:ascii="仿宋_GB2312" w:eastAsia="仿宋_GB2312" w:hint="eastAsia"/>
          <w:szCs w:val="28"/>
        </w:rPr>
      </w:pPr>
      <w:r>
        <w:rPr>
          <w:rFonts w:ascii="仿宋_GB2312" w:eastAsia="仿宋_GB2312" w:hint="eastAsia"/>
          <w:szCs w:val="28"/>
        </w:rPr>
        <w:fldChar w:fldCharType="begin"/>
      </w:r>
      <w:r>
        <w:rPr>
          <w:rFonts w:ascii="仿宋_GB2312" w:eastAsia="仿宋_GB2312" w:hint="eastAsia"/>
          <w:szCs w:val="28"/>
        </w:rPr>
        <w:instrText xml:space="preserve"> TOC \o "1-2" \h \z </w:instrText>
      </w:r>
      <w:r>
        <w:rPr>
          <w:rFonts w:ascii="仿宋_GB2312" w:eastAsia="仿宋_GB2312" w:hint="eastAsia"/>
          <w:szCs w:val="28"/>
        </w:rPr>
        <w:fldChar w:fldCharType="separate"/>
      </w:r>
      <w:hyperlink w:anchor="_Toc45100559" w:history="1">
        <w:r>
          <w:rPr>
            <w:rStyle w:val="Hyperlink"/>
            <w:rFonts w:ascii="仿宋_GB2312" w:eastAsia="仿宋_GB2312" w:hint="eastAsia"/>
            <w:szCs w:val="28"/>
          </w:rPr>
          <w:t>第一章  总  论</w:t>
        </w:r>
        <w:r>
          <w:rPr>
            <w:rFonts w:ascii="仿宋_GB2312" w:eastAsia="仿宋_GB2312" w:hint="eastAsia"/>
            <w:szCs w:val="28"/>
          </w:rPr>
          <w:tab/>
        </w:r>
        <w:r>
          <w:rPr>
            <w:rFonts w:ascii="仿宋_GB2312" w:eastAsia="仿宋_GB2312" w:hint="eastAsia"/>
            <w:szCs w:val="28"/>
          </w:rPr>
          <w:fldChar w:fldCharType="begin"/>
        </w:r>
        <w:r>
          <w:rPr>
            <w:rFonts w:ascii="仿宋_GB2312" w:eastAsia="仿宋_GB2312" w:hint="eastAsia"/>
            <w:szCs w:val="28"/>
          </w:rPr>
          <w:instrText xml:space="preserve"> PAGEREF _Toc45100559 \h </w:instrText>
        </w:r>
        <w:r>
          <w:rPr>
            <w:rFonts w:ascii="仿宋_GB2312" w:eastAsia="仿宋_GB2312" w:hint="eastAsia"/>
            <w:szCs w:val="28"/>
          </w:rPr>
          <w:fldChar w:fldCharType="separate"/>
        </w:r>
        <w:r>
          <w:rPr>
            <w:rFonts w:ascii="仿宋_GB2312" w:eastAsia="仿宋_GB2312"/>
            <w:szCs w:val="28"/>
          </w:rPr>
          <w:t>1</w:t>
        </w:r>
        <w:r>
          <w:rPr>
            <w:rFonts w:ascii="仿宋_GB2312" w:eastAsia="仿宋_GB2312" w:hint="eastAsia"/>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60" w:history="1">
        <w:r>
          <w:rPr>
            <w:rStyle w:val="Hyperlink"/>
            <w:rFonts w:ascii="仿宋_GB2312" w:eastAsia="仿宋_GB2312" w:hint="eastAsia"/>
            <w:sz w:val="28"/>
            <w:szCs w:val="28"/>
          </w:rPr>
          <w:t>1、</w:t>
        </w:r>
        <w:r>
          <w:rPr>
            <w:rStyle w:val="Hyperlink"/>
            <w:rFonts w:ascii="仿宋_GB2312" w:eastAsia="仿宋_GB2312" w:hint="eastAsia"/>
            <w:sz w:val="28"/>
            <w:szCs w:val="28"/>
            <w:lang w:eastAsia="zh-CN"/>
          </w:rPr>
          <w:t>相关项目</w:t>
        </w:r>
        <w:r>
          <w:rPr>
            <w:rStyle w:val="Hyperlink"/>
            <w:rFonts w:ascii="仿宋_GB2312" w:eastAsia="仿宋_GB2312" w:hint="eastAsia"/>
            <w:sz w:val="28"/>
            <w:szCs w:val="28"/>
          </w:rPr>
          <w:t>概况及目标</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_Toc45100560 \h </w:instrText>
        </w:r>
        <w:r>
          <w:rPr>
            <w:rFonts w:ascii="仿宋_GB2312" w:eastAsia="仿宋_GB2312" w:hint="eastAsia"/>
            <w:sz w:val="28"/>
            <w:szCs w:val="28"/>
          </w:rPr>
          <w:fldChar w:fldCharType="separate"/>
        </w:r>
        <w:r>
          <w:rPr>
            <w:rFonts w:ascii="仿宋_GB2312" w:eastAsia="仿宋_GB2312"/>
            <w:sz w:val="28"/>
            <w:szCs w:val="28"/>
          </w:rPr>
          <w:t>1</w:t>
        </w:r>
        <w:r>
          <w:rPr>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61" w:history="1">
        <w:r>
          <w:rPr>
            <w:rStyle w:val="Hyperlink"/>
            <w:rFonts w:ascii="仿宋_GB2312" w:eastAsia="仿宋_GB2312" w:hint="eastAsia"/>
            <w:sz w:val="28"/>
            <w:szCs w:val="28"/>
          </w:rPr>
          <w:t>2、编制依据及研究范围</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_Toc45100561 \h </w:instrText>
        </w:r>
        <w:r>
          <w:rPr>
            <w:rFonts w:ascii="仿宋_GB2312" w:eastAsia="仿宋_GB2312" w:hint="eastAsia"/>
            <w:sz w:val="28"/>
            <w:szCs w:val="28"/>
          </w:rPr>
          <w:fldChar w:fldCharType="separate"/>
        </w:r>
        <w:r>
          <w:rPr>
            <w:rFonts w:ascii="仿宋_GB2312" w:eastAsia="仿宋_GB2312"/>
            <w:sz w:val="28"/>
            <w:szCs w:val="28"/>
          </w:rPr>
          <w:t>2</w:t>
        </w:r>
        <w:r>
          <w:rPr>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62" w:history="1">
        <w:r>
          <w:rPr>
            <w:rStyle w:val="Hyperlink"/>
            <w:rFonts w:ascii="仿宋_GB2312" w:eastAsia="仿宋_GB2312" w:hint="eastAsia"/>
            <w:sz w:val="28"/>
            <w:szCs w:val="28"/>
          </w:rPr>
          <w:t>3、编制原则</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_Toc45100562 \h </w:instrText>
        </w:r>
        <w:r>
          <w:rPr>
            <w:rFonts w:ascii="仿宋_GB2312" w:eastAsia="仿宋_GB2312" w:hint="eastAsia"/>
            <w:sz w:val="28"/>
            <w:szCs w:val="28"/>
          </w:rPr>
          <w:fldChar w:fldCharType="separate"/>
        </w:r>
        <w:r>
          <w:rPr>
            <w:rFonts w:ascii="仿宋_GB2312" w:eastAsia="仿宋_GB2312"/>
            <w:sz w:val="28"/>
            <w:szCs w:val="28"/>
          </w:rPr>
          <w:t>3</w:t>
        </w:r>
        <w:r>
          <w:rPr>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63" w:history="1">
        <w:r>
          <w:rPr>
            <w:rStyle w:val="Hyperlink"/>
            <w:rFonts w:ascii="仿宋_GB2312" w:eastAsia="仿宋_GB2312" w:hint="eastAsia"/>
            <w:sz w:val="28"/>
            <w:szCs w:val="28"/>
          </w:rPr>
          <w:t>4、主要经济技术指标</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_Toc45100563 \h </w:instrText>
        </w:r>
        <w:r>
          <w:rPr>
            <w:rFonts w:ascii="仿宋_GB2312" w:eastAsia="仿宋_GB2312" w:hint="eastAsia"/>
            <w:sz w:val="28"/>
            <w:szCs w:val="28"/>
          </w:rPr>
          <w:fldChar w:fldCharType="separate"/>
        </w:r>
        <w:r>
          <w:rPr>
            <w:rFonts w:ascii="仿宋_GB2312" w:eastAsia="仿宋_GB2312"/>
            <w:sz w:val="28"/>
            <w:szCs w:val="28"/>
          </w:rPr>
          <w:t>4</w:t>
        </w:r>
        <w:r>
          <w:rPr>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64" w:history="1">
        <w:r>
          <w:rPr>
            <w:rStyle w:val="Hyperlink"/>
            <w:rFonts w:ascii="仿宋_GB2312" w:eastAsia="仿宋_GB2312" w:hint="eastAsia"/>
            <w:sz w:val="28"/>
            <w:szCs w:val="28"/>
          </w:rPr>
          <w:t>5、可行性研究结论</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_Toc45100564 \h </w:instrText>
        </w:r>
        <w:r>
          <w:rPr>
            <w:rFonts w:ascii="仿宋_GB2312" w:eastAsia="仿宋_GB2312" w:hint="eastAsia"/>
            <w:sz w:val="28"/>
            <w:szCs w:val="28"/>
          </w:rPr>
          <w:fldChar w:fldCharType="separate"/>
        </w:r>
        <w:r>
          <w:rPr>
            <w:rFonts w:ascii="仿宋_GB2312" w:eastAsia="仿宋_GB2312"/>
            <w:sz w:val="28"/>
            <w:szCs w:val="28"/>
          </w:rPr>
          <w:t>6</w:t>
        </w:r>
        <w:r>
          <w:rPr>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65" w:history="1">
        <w:r>
          <w:rPr>
            <w:rStyle w:val="Hyperlink"/>
            <w:rFonts w:ascii="仿宋_GB2312" w:eastAsia="仿宋_GB2312" w:hint="eastAsia"/>
            <w:szCs w:val="28"/>
          </w:rPr>
          <w:t xml:space="preserve">第二章 </w:t>
        </w:r>
        <w:r>
          <w:rPr>
            <w:rStyle w:val="Hyperlink"/>
            <w:rFonts w:ascii="仿宋_GB2312" w:eastAsia="仿宋_GB2312" w:hint="eastAsia"/>
            <w:szCs w:val="28"/>
            <w:lang w:eastAsia="zh-CN"/>
          </w:rPr>
          <w:t>相关项目</w:t>
        </w:r>
        <w:r>
          <w:rPr>
            <w:rStyle w:val="Hyperlink"/>
            <w:rFonts w:ascii="仿宋_GB2312" w:eastAsia="仿宋_GB2312" w:hint="eastAsia"/>
            <w:szCs w:val="28"/>
          </w:rPr>
          <w:t>建设的背景及必要性</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_Toc45100565 \h </w:instrText>
        </w:r>
        <w:r>
          <w:rPr>
            <w:rStyle w:val="Hyperlink"/>
            <w:rFonts w:ascii="仿宋_GB2312" w:eastAsia="仿宋_GB2312" w:hint="eastAsia"/>
            <w:szCs w:val="28"/>
          </w:rPr>
          <w:fldChar w:fldCharType="separate"/>
        </w:r>
        <w:r>
          <w:rPr>
            <w:rStyle w:val="Hyperlink"/>
            <w:rFonts w:ascii="仿宋_GB2312" w:eastAsia="仿宋_GB2312"/>
            <w:szCs w:val="28"/>
          </w:rPr>
          <w:t>8</w:t>
        </w:r>
        <w:r>
          <w:rPr>
            <w:rStyle w:val="Hyperlink"/>
            <w:rFonts w:ascii="仿宋_GB2312" w:eastAsia="仿宋_GB2312" w:hint="eastAsia"/>
            <w:szCs w:val="28"/>
          </w:rPr>
          <w:fldChar w:fldCharType="end"/>
        </w:r>
      </w:hyperlink>
    </w:p>
    <w:p>
      <w:pPr>
        <w:pStyle w:val="TOC1"/>
        <w:spacing w:line="520" w:lineRule="exact"/>
        <w:rPr>
          <w:rFonts w:ascii="仿宋_GB2312" w:eastAsia="仿宋_GB2312" w:hint="eastAsia"/>
          <w:szCs w:val="28"/>
        </w:rPr>
      </w:pPr>
      <w:hyperlink w:anchor="_Toc45100566" w:history="1">
        <w:r>
          <w:rPr>
            <w:rStyle w:val="Hyperlink"/>
            <w:rFonts w:ascii="仿宋_GB2312" w:eastAsia="仿宋_GB2312" w:hint="eastAsia"/>
            <w:szCs w:val="28"/>
          </w:rPr>
          <w:t xml:space="preserve">第三章 </w:t>
        </w:r>
        <w:r>
          <w:rPr>
            <w:rStyle w:val="Hyperlink"/>
            <w:rFonts w:ascii="仿宋_GB2312" w:eastAsia="仿宋_GB2312" w:hint="eastAsia"/>
            <w:szCs w:val="28"/>
            <w:lang w:eastAsia="zh-CN"/>
          </w:rPr>
          <w:t>相关项目</w:t>
        </w:r>
        <w:r>
          <w:rPr>
            <w:rStyle w:val="Hyperlink"/>
            <w:rFonts w:ascii="仿宋_GB2312" w:eastAsia="仿宋_GB2312" w:hint="eastAsia"/>
            <w:szCs w:val="28"/>
          </w:rPr>
          <w:t>建设单位概况</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_Toc45100566 \h </w:instrText>
        </w:r>
        <w:r>
          <w:rPr>
            <w:rStyle w:val="Hyperlink"/>
            <w:rFonts w:ascii="仿宋_GB2312" w:eastAsia="仿宋_GB2312" w:hint="eastAsia"/>
            <w:szCs w:val="28"/>
          </w:rPr>
          <w:fldChar w:fldCharType="separate"/>
        </w:r>
        <w:r>
          <w:rPr>
            <w:rStyle w:val="Hyperlink"/>
            <w:rFonts w:ascii="仿宋_GB2312" w:eastAsia="仿宋_GB2312"/>
            <w:szCs w:val="28"/>
          </w:rPr>
          <w:t>13</w:t>
        </w:r>
        <w:r>
          <w:rPr>
            <w:rStyle w:val="Hyperlink"/>
            <w:rFonts w:ascii="仿宋_GB2312" w:eastAsia="仿宋_GB2312" w:hint="eastAsia"/>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67" w:history="1">
        <w:r>
          <w:rPr>
            <w:rStyle w:val="Hyperlink"/>
            <w:rFonts w:ascii="仿宋_GB2312" w:eastAsia="仿宋_GB2312" w:hint="eastAsia"/>
            <w:sz w:val="28"/>
            <w:szCs w:val="28"/>
          </w:rPr>
          <w:t>1、公司基本情况</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_Toc45100567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13</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68" w:history="1">
        <w:r>
          <w:rPr>
            <w:rStyle w:val="Hyperlink"/>
            <w:rFonts w:ascii="仿宋_GB2312" w:eastAsia="仿宋_GB2312" w:hint="eastAsia"/>
            <w:szCs w:val="28"/>
          </w:rPr>
          <w:t>第四章 行业分析及市场预测</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_Toc45100568 \h </w:instrText>
        </w:r>
        <w:r>
          <w:rPr>
            <w:rStyle w:val="Hyperlink"/>
            <w:rFonts w:ascii="仿宋_GB2312" w:eastAsia="仿宋_GB2312" w:hint="eastAsia"/>
            <w:szCs w:val="28"/>
          </w:rPr>
          <w:fldChar w:fldCharType="separate"/>
        </w:r>
        <w:r>
          <w:rPr>
            <w:rStyle w:val="Hyperlink"/>
            <w:rFonts w:ascii="仿宋_GB2312" w:eastAsia="仿宋_GB2312"/>
            <w:szCs w:val="28"/>
          </w:rPr>
          <w:t>15</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69" w:history="1">
        <w:r>
          <w:rPr>
            <w:rStyle w:val="Hyperlink"/>
            <w:rFonts w:ascii="仿宋_GB2312" w:eastAsia="仿宋_GB2312" w:hint="eastAsia"/>
            <w:sz w:val="28"/>
            <w:szCs w:val="28"/>
          </w:rPr>
          <w:t>1、市场现状</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_Toc45100569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15</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0" w:history="1">
        <w:r>
          <w:rPr>
            <w:rStyle w:val="Hyperlink"/>
            <w:rFonts w:ascii="仿宋_GB2312" w:eastAsia="仿宋_GB2312" w:hint="eastAsia"/>
            <w:sz w:val="28"/>
            <w:szCs w:val="28"/>
          </w:rPr>
          <w:t>2、市场预测</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_Toc45100570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21</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71" w:history="1">
        <w:r>
          <w:rPr>
            <w:rStyle w:val="Hyperlink"/>
            <w:rFonts w:ascii="仿宋_GB2312" w:eastAsia="仿宋_GB2312" w:hint="eastAsia"/>
            <w:szCs w:val="28"/>
          </w:rPr>
          <w:t xml:space="preserve">第五章 </w:t>
        </w:r>
        <w:r>
          <w:rPr>
            <w:rStyle w:val="Hyperlink"/>
            <w:rFonts w:ascii="仿宋_GB2312" w:eastAsia="仿宋_GB2312" w:hint="eastAsia"/>
            <w:szCs w:val="28"/>
            <w:lang w:eastAsia="zh-CN"/>
          </w:rPr>
          <w:t>相关项目</w:t>
        </w:r>
        <w:r>
          <w:rPr>
            <w:rStyle w:val="Hyperlink"/>
            <w:rFonts w:ascii="仿宋_GB2312" w:eastAsia="仿宋_GB2312" w:hint="eastAsia"/>
            <w:szCs w:val="28"/>
          </w:rPr>
          <w:t>选址及建设条件</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_Toc45100571 \h </w:instrText>
        </w:r>
        <w:r>
          <w:rPr>
            <w:rStyle w:val="Hyperlink"/>
            <w:rFonts w:ascii="仿宋_GB2312" w:eastAsia="仿宋_GB2312" w:hint="eastAsia"/>
            <w:szCs w:val="28"/>
          </w:rPr>
          <w:fldChar w:fldCharType="separate"/>
        </w:r>
        <w:r>
          <w:rPr>
            <w:rStyle w:val="Hyperlink"/>
            <w:rFonts w:ascii="仿宋_GB2312" w:eastAsia="仿宋_GB2312"/>
            <w:szCs w:val="28"/>
          </w:rPr>
          <w:t>26</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2" w:history="1">
        <w:r>
          <w:rPr>
            <w:rStyle w:val="Hyperlink"/>
            <w:rFonts w:ascii="仿宋_GB2312" w:eastAsia="仿宋_GB2312" w:hint="eastAsia"/>
            <w:sz w:val="28"/>
            <w:szCs w:val="28"/>
          </w:rPr>
          <w:t>1、</w:t>
        </w:r>
        <w:r>
          <w:rPr>
            <w:rStyle w:val="Hyperlink"/>
            <w:rFonts w:ascii="仿宋_GB2312" w:eastAsia="仿宋_GB2312" w:hint="eastAsia"/>
            <w:sz w:val="28"/>
            <w:szCs w:val="28"/>
            <w:lang w:eastAsia="zh-CN"/>
          </w:rPr>
          <w:t>相关项目</w:t>
        </w:r>
        <w:r>
          <w:rPr>
            <w:rStyle w:val="Hyperlink"/>
            <w:rFonts w:ascii="仿宋_GB2312" w:eastAsia="仿宋_GB2312" w:hint="eastAsia"/>
            <w:sz w:val="28"/>
            <w:szCs w:val="28"/>
          </w:rPr>
          <w:t>选址</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_Toc45100572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26</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3" w:history="1">
        <w:r>
          <w:rPr>
            <w:rStyle w:val="Hyperlink"/>
            <w:rFonts w:ascii="仿宋_GB2312" w:eastAsia="仿宋_GB2312" w:hint="eastAsia"/>
            <w:sz w:val="28"/>
            <w:szCs w:val="28"/>
          </w:rPr>
          <w:t>2、基础条件</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_Toc45100573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26</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74" w:history="1">
        <w:r>
          <w:rPr>
            <w:rStyle w:val="Hyperlink"/>
            <w:rFonts w:ascii="仿宋_GB2312" w:eastAsia="仿宋_GB2312" w:hint="eastAsia"/>
            <w:sz w:val="28"/>
            <w:szCs w:val="28"/>
          </w:rPr>
          <w:t>3、自然条件</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_Toc45100574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29</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75" w:history="1">
        <w:r>
          <w:rPr>
            <w:rStyle w:val="Hyperlink"/>
            <w:rFonts w:ascii="仿宋_GB2312" w:eastAsia="仿宋_GB2312" w:hint="eastAsia"/>
            <w:szCs w:val="28"/>
          </w:rPr>
          <w:t>第六章 建设</w:t>
        </w:r>
        <w:r>
          <w:rPr>
            <w:rStyle w:val="Hyperlink"/>
            <w:rFonts w:ascii="仿宋_GB2312" w:eastAsia="仿宋_GB2312" w:hint="eastAsia"/>
            <w:szCs w:val="28"/>
            <w:lang w:eastAsia="zh-CN"/>
          </w:rPr>
          <w:t>合适的方案</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_Toc45100575 \h </w:instrText>
        </w:r>
        <w:r>
          <w:rPr>
            <w:rStyle w:val="Hyperlink"/>
            <w:rFonts w:ascii="仿宋_GB2312" w:eastAsia="仿宋_GB2312" w:hint="eastAsia"/>
            <w:szCs w:val="28"/>
          </w:rPr>
          <w:fldChar w:fldCharType="separate"/>
        </w:r>
        <w:r>
          <w:rPr>
            <w:rStyle w:val="Hyperlink"/>
            <w:rFonts w:ascii="仿宋_GB2312" w:eastAsia="仿宋_GB2312"/>
            <w:szCs w:val="28"/>
          </w:rPr>
          <w:t>31</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6" w:history="1">
        <w:r>
          <w:rPr>
            <w:rStyle w:val="Hyperlink"/>
            <w:rFonts w:ascii="仿宋_GB2312" w:eastAsia="仿宋_GB2312" w:hint="eastAsia"/>
            <w:sz w:val="28"/>
            <w:szCs w:val="28"/>
          </w:rPr>
          <w:t>1、建设规模</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_Toc45100576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31</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7" w:history="1">
        <w:r>
          <w:rPr>
            <w:rStyle w:val="Hyperlink"/>
            <w:rFonts w:ascii="仿宋_GB2312" w:eastAsia="仿宋_GB2312" w:hint="eastAsia"/>
            <w:sz w:val="28"/>
            <w:szCs w:val="28"/>
          </w:rPr>
          <w:t>2、建设原则</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_Toc45100577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31</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8" w:history="1">
        <w:r>
          <w:rPr>
            <w:rStyle w:val="Hyperlink"/>
            <w:rFonts w:ascii="仿宋_GB2312" w:eastAsia="仿宋_GB2312" w:hint="eastAsia"/>
            <w:sz w:val="28"/>
            <w:szCs w:val="28"/>
          </w:rPr>
          <w:t>3、建设目标</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_Toc45100578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31</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79" w:history="1">
        <w:r>
          <w:rPr>
            <w:rStyle w:val="Hyperlink"/>
            <w:rFonts w:ascii="仿宋_GB2312" w:eastAsia="仿宋_GB2312" w:hint="eastAsia"/>
            <w:sz w:val="28"/>
            <w:szCs w:val="28"/>
          </w:rPr>
          <w:t>4、园区功能定位及结构设计</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_Toc45100579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32</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80" w:history="1">
        <w:r>
          <w:rPr>
            <w:rStyle w:val="Hyperlink"/>
            <w:rFonts w:ascii="仿宋_GB2312" w:eastAsia="仿宋_GB2312" w:hint="eastAsia"/>
            <w:sz w:val="28"/>
            <w:szCs w:val="28"/>
          </w:rPr>
          <w:t>5、</w:t>
        </w:r>
        <w:r>
          <w:rPr>
            <w:rStyle w:val="Hyperlink"/>
            <w:rFonts w:ascii="仿宋_GB2312" w:eastAsia="仿宋_GB2312" w:hint="eastAsia"/>
            <w:sz w:val="28"/>
            <w:szCs w:val="28"/>
            <w:lang w:eastAsia="zh-CN"/>
          </w:rPr>
          <w:t>相关项目</w:t>
        </w:r>
        <w:r>
          <w:rPr>
            <w:rStyle w:val="Hyperlink"/>
            <w:rFonts w:ascii="仿宋_GB2312" w:eastAsia="仿宋_GB2312" w:hint="eastAsia"/>
            <w:sz w:val="28"/>
            <w:szCs w:val="28"/>
          </w:rPr>
          <w:t>建设各区布局与功能</w:t>
        </w:r>
        <w:bookmarkStart w:id="2" w:name="_Hlt46818814"/>
        <w:r>
          <w:rPr>
            <w:rStyle w:val="Hyperlink"/>
            <w:rFonts w:ascii="仿宋_GB2312" w:eastAsia="仿宋_GB2312" w:hint="eastAsia"/>
            <w:sz w:val="28"/>
            <w:szCs w:val="28"/>
          </w:rPr>
          <w:t>设</w:t>
        </w:r>
        <w:bookmarkEnd w:id="2"/>
        <w:r>
          <w:rPr>
            <w:rStyle w:val="Hyperlink"/>
            <w:rFonts w:ascii="仿宋_GB2312" w:eastAsia="仿宋_GB2312" w:hint="eastAsia"/>
            <w:sz w:val="28"/>
            <w:szCs w:val="28"/>
          </w:rPr>
          <w:t>计</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_Toc45100580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34</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81" w:history="1">
        <w:r>
          <w:rPr>
            <w:rStyle w:val="Hyperlink"/>
            <w:rFonts w:ascii="仿宋_GB2312" w:eastAsia="仿宋_GB2312" w:hint="eastAsia"/>
            <w:sz w:val="28"/>
            <w:szCs w:val="28"/>
          </w:rPr>
          <w:t>6、物流信息系统建设</w:t>
        </w:r>
        <w:r>
          <w:rPr>
            <w:rStyle w:val="Hyperlink"/>
            <w:rFonts w:ascii="仿宋_GB2312" w:eastAsia="仿宋_GB2312" w:hint="eastAsia"/>
            <w:sz w:val="28"/>
            <w:szCs w:val="28"/>
            <w:lang w:eastAsia="zh-CN"/>
          </w:rPr>
          <w:t>合适的方案</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_Toc45100581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34</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82" w:history="1">
        <w:r>
          <w:rPr>
            <w:rStyle w:val="Hyperlink"/>
            <w:rFonts w:ascii="仿宋_GB2312" w:eastAsia="仿宋_GB2312" w:hint="eastAsia"/>
            <w:szCs w:val="28"/>
          </w:rPr>
          <w:t>第七章 专业技术</w:t>
        </w:r>
        <w:r>
          <w:rPr>
            <w:rStyle w:val="Hyperlink"/>
            <w:rFonts w:ascii="仿宋_GB2312" w:eastAsia="仿宋_GB2312" w:hint="eastAsia"/>
            <w:szCs w:val="28"/>
            <w:lang w:eastAsia="zh-CN"/>
          </w:rPr>
          <w:t>合适的方案</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_Toc45100582 \h </w:instrText>
        </w:r>
        <w:r>
          <w:rPr>
            <w:rStyle w:val="Hyperlink"/>
            <w:rFonts w:ascii="仿宋_GB2312" w:eastAsia="仿宋_GB2312" w:hint="eastAsia"/>
            <w:szCs w:val="28"/>
          </w:rPr>
          <w:fldChar w:fldCharType="separate"/>
        </w:r>
        <w:r>
          <w:rPr>
            <w:rStyle w:val="Hyperlink"/>
            <w:rFonts w:ascii="仿宋_GB2312" w:eastAsia="仿宋_GB2312"/>
            <w:szCs w:val="28"/>
          </w:rPr>
          <w:t>39</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sectPr>
          <w:footerReference w:type="even" r:id="rId5"/>
          <w:footerReference w:type="default" r:id="rId6"/>
          <w:pgSz w:w="11906" w:h="16838"/>
          <w:pgMar w:top="1440" w:right="1797" w:bottom="1440" w:left="1797" w:header="851" w:footer="992" w:gutter="0"/>
          <w:pgNumType w:start="1"/>
          <w:cols w:num="1" w:space="425"/>
          <w:docGrid w:type="lines" w:linePitch="312" w:charSpace="0"/>
        </w:sectPr>
      </w:pPr>
      <w:hyperlink w:anchor="_Toc45100583" w:history="1">
        <w:r>
          <w:rPr>
            <w:rStyle w:val="Hyperlink"/>
            <w:rFonts w:ascii="仿宋_GB2312" w:eastAsia="仿宋_GB2312" w:hint="eastAsia"/>
            <w:sz w:val="28"/>
            <w:szCs w:val="28"/>
          </w:rPr>
          <w:t>1、总平面布置</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_Toc45100583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39</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84" w:history="1">
        <w:r>
          <w:rPr>
            <w:rStyle w:val="Hyperlink"/>
            <w:rFonts w:ascii="仿宋_GB2312" w:eastAsia="仿宋_GB2312" w:hint="eastAsia"/>
            <w:sz w:val="28"/>
            <w:szCs w:val="28"/>
          </w:rPr>
          <w:t>2、xx结构</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_Toc45100584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40</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85" w:history="1">
        <w:r>
          <w:rPr>
            <w:rStyle w:val="Hyperlink"/>
            <w:rFonts w:ascii="仿宋_GB2312" w:eastAsia="仿宋_GB2312" w:hint="eastAsia"/>
            <w:sz w:val="28"/>
            <w:szCs w:val="28"/>
          </w:rPr>
          <w:t>3、供电系统</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_Toc45100585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41</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86" w:history="1">
        <w:r>
          <w:rPr>
            <w:rStyle w:val="Hyperlink"/>
            <w:rFonts w:ascii="仿宋_GB2312" w:eastAsia="仿宋_GB2312" w:hint="eastAsia"/>
            <w:sz w:val="28"/>
            <w:szCs w:val="28"/>
          </w:rPr>
          <w:t>4、通讯、电视、网络系统</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_Toc45100586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41</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87" w:history="1">
        <w:r>
          <w:rPr>
            <w:rStyle w:val="Hyperlink"/>
            <w:rFonts w:ascii="仿宋_GB2312" w:eastAsia="仿宋_GB2312" w:hint="eastAsia"/>
            <w:sz w:val="28"/>
            <w:szCs w:val="28"/>
          </w:rPr>
          <w:t>5、给排水设施</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_Toc45100587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41</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88" w:history="1">
        <w:r>
          <w:rPr>
            <w:rStyle w:val="Hyperlink"/>
            <w:rFonts w:ascii="仿宋_GB2312" w:eastAsia="仿宋_GB2312" w:hint="eastAsia"/>
            <w:sz w:val="28"/>
            <w:szCs w:val="28"/>
          </w:rPr>
          <w:t>6、消防</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_Toc45100588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42</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89" w:history="1">
        <w:r>
          <w:rPr>
            <w:rStyle w:val="Hyperlink"/>
            <w:rFonts w:ascii="仿宋_GB2312" w:eastAsia="仿宋_GB2312" w:hint="eastAsia"/>
            <w:sz w:val="28"/>
            <w:szCs w:val="28"/>
          </w:rPr>
          <w:t>7、通风空调</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_Toc45100589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43</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90" w:history="1">
        <w:r>
          <w:rPr>
            <w:rStyle w:val="Hyperlink"/>
            <w:rFonts w:ascii="仿宋_GB2312" w:eastAsia="仿宋_GB2312" w:hint="eastAsia"/>
            <w:sz w:val="28"/>
            <w:szCs w:val="28"/>
          </w:rPr>
          <w:t>8、广播系统</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_Toc45100590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43</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91" w:history="1">
        <w:r>
          <w:rPr>
            <w:rStyle w:val="Hyperlink"/>
            <w:rFonts w:ascii="仿宋_GB2312" w:eastAsia="仿宋_GB2312" w:hint="eastAsia"/>
            <w:sz w:val="28"/>
            <w:szCs w:val="28"/>
          </w:rPr>
          <w:t>9、节能措施</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_Toc45100591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43</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92" w:history="1">
        <w:r>
          <w:rPr>
            <w:rStyle w:val="Hyperlink"/>
            <w:rFonts w:ascii="仿宋_GB2312" w:eastAsia="仿宋_GB2312" w:hint="eastAsia"/>
            <w:szCs w:val="28"/>
          </w:rPr>
          <w:t>第八章 环境保护与安全卫生</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_Toc45100592 \h </w:instrText>
        </w:r>
        <w:r>
          <w:rPr>
            <w:rStyle w:val="Hyperlink"/>
            <w:rFonts w:ascii="仿宋_GB2312" w:eastAsia="仿宋_GB2312" w:hint="eastAsia"/>
            <w:szCs w:val="28"/>
          </w:rPr>
          <w:fldChar w:fldCharType="separate"/>
        </w:r>
        <w:r>
          <w:rPr>
            <w:rStyle w:val="Hyperlink"/>
            <w:rFonts w:ascii="仿宋_GB2312" w:eastAsia="仿宋_GB2312"/>
            <w:szCs w:val="28"/>
          </w:rPr>
          <w:t>45</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93" w:history="1">
        <w:r>
          <w:rPr>
            <w:rStyle w:val="Hyperlink"/>
            <w:rFonts w:ascii="仿宋_GB2312" w:eastAsia="仿宋_GB2312" w:hint="eastAsia"/>
            <w:sz w:val="28"/>
            <w:szCs w:val="28"/>
          </w:rPr>
          <w:t>1、环境保护</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_Toc45100593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45</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94" w:history="1">
        <w:r>
          <w:rPr>
            <w:rStyle w:val="Hyperlink"/>
            <w:rFonts w:ascii="仿宋_GB2312" w:eastAsia="仿宋_GB2312" w:hint="eastAsia"/>
            <w:sz w:val="28"/>
            <w:szCs w:val="28"/>
          </w:rPr>
          <w:t>2、安全卫生</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_Toc45100594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45</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95" w:history="1">
        <w:r>
          <w:rPr>
            <w:rStyle w:val="Hyperlink"/>
            <w:rFonts w:ascii="仿宋_GB2312" w:eastAsia="仿宋_GB2312" w:hint="eastAsia"/>
            <w:szCs w:val="28"/>
          </w:rPr>
          <w:t xml:space="preserve">第九章 </w:t>
        </w:r>
        <w:r>
          <w:rPr>
            <w:rStyle w:val="Hyperlink"/>
            <w:rFonts w:ascii="仿宋_GB2312" w:eastAsia="仿宋_GB2312" w:hint="eastAsia"/>
            <w:szCs w:val="28"/>
            <w:lang w:eastAsia="zh-CN"/>
          </w:rPr>
          <w:t>相关项目</w:t>
        </w:r>
        <w:r>
          <w:rPr>
            <w:rStyle w:val="Hyperlink"/>
            <w:rFonts w:ascii="仿宋_GB2312" w:eastAsia="仿宋_GB2312" w:hint="eastAsia"/>
            <w:szCs w:val="28"/>
          </w:rPr>
          <w:t>组织及运营</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_Toc45100595 \h </w:instrText>
        </w:r>
        <w:r>
          <w:rPr>
            <w:rStyle w:val="Hyperlink"/>
            <w:rFonts w:ascii="仿宋_GB2312" w:eastAsia="仿宋_GB2312" w:hint="eastAsia"/>
            <w:szCs w:val="28"/>
          </w:rPr>
          <w:fldChar w:fldCharType="separate"/>
        </w:r>
        <w:r>
          <w:rPr>
            <w:rStyle w:val="Hyperlink"/>
            <w:rFonts w:ascii="仿宋_GB2312" w:eastAsia="仿宋_GB2312"/>
            <w:szCs w:val="28"/>
          </w:rPr>
          <w:t>47</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96" w:history="1">
        <w:r>
          <w:rPr>
            <w:rStyle w:val="Hyperlink"/>
            <w:rFonts w:ascii="仿宋_GB2312" w:eastAsia="仿宋_GB2312" w:hint="eastAsia"/>
            <w:sz w:val="28"/>
            <w:szCs w:val="28"/>
          </w:rPr>
          <w:t>1、</w:t>
        </w:r>
        <w:r>
          <w:rPr>
            <w:rStyle w:val="Hyperlink"/>
            <w:rFonts w:ascii="仿宋_GB2312" w:eastAsia="仿宋_GB2312" w:hint="eastAsia"/>
            <w:sz w:val="28"/>
            <w:szCs w:val="28"/>
            <w:lang w:eastAsia="zh-CN"/>
          </w:rPr>
          <w:t>相关项目</w:t>
        </w:r>
        <w:r>
          <w:rPr>
            <w:rStyle w:val="Hyperlink"/>
            <w:rFonts w:ascii="仿宋_GB2312" w:eastAsia="仿宋_GB2312" w:hint="eastAsia"/>
            <w:sz w:val="28"/>
            <w:szCs w:val="28"/>
          </w:rPr>
          <w:t>运营模式</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_Toc45100596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47</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597" w:history="1">
        <w:r>
          <w:rPr>
            <w:rStyle w:val="Hyperlink"/>
            <w:rFonts w:ascii="仿宋_GB2312" w:eastAsia="仿宋_GB2312" w:hint="eastAsia"/>
            <w:sz w:val="28"/>
            <w:szCs w:val="28"/>
          </w:rPr>
          <w:t>2、园区</w:t>
        </w:r>
        <w:r>
          <w:rPr>
            <w:rStyle w:val="Hyperlink"/>
            <w:rFonts w:ascii="仿宋_GB2312" w:eastAsia="仿宋_GB2312" w:hint="eastAsia"/>
            <w:sz w:val="28"/>
            <w:szCs w:val="28"/>
            <w:lang w:eastAsia="zh-CN"/>
          </w:rPr>
          <w:t>管理管控</w:t>
        </w:r>
        <w:r>
          <w:rPr>
            <w:rStyle w:val="Hyperlink"/>
            <w:rFonts w:ascii="仿宋_GB2312" w:eastAsia="仿宋_GB2312" w:hint="eastAsia"/>
            <w:sz w:val="28"/>
            <w:szCs w:val="28"/>
          </w:rPr>
          <w:t>系统</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_Toc45100597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48</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598" w:history="1">
        <w:r>
          <w:rPr>
            <w:rStyle w:val="Hyperlink"/>
            <w:rFonts w:ascii="仿宋_GB2312" w:eastAsia="仿宋_GB2312" w:hint="eastAsia"/>
            <w:sz w:val="28"/>
            <w:szCs w:val="28"/>
          </w:rPr>
          <w:t>3、</w:t>
        </w:r>
        <w:r>
          <w:rPr>
            <w:rStyle w:val="Hyperlink"/>
            <w:rFonts w:ascii="仿宋_GB2312" w:eastAsia="仿宋_GB2312" w:hint="eastAsia"/>
            <w:sz w:val="28"/>
            <w:szCs w:val="28"/>
            <w:lang w:eastAsia="zh-CN"/>
          </w:rPr>
          <w:t>相关项目</w:t>
        </w:r>
        <w:r>
          <w:rPr>
            <w:rStyle w:val="Hyperlink"/>
            <w:rFonts w:ascii="仿宋_GB2312" w:eastAsia="仿宋_GB2312" w:hint="eastAsia"/>
            <w:sz w:val="28"/>
            <w:szCs w:val="28"/>
          </w:rPr>
          <w:t>实施</w:t>
        </w:r>
        <w:r>
          <w:rPr>
            <w:rStyle w:val="Hyperlink"/>
            <w:rFonts w:ascii="仿宋_GB2312" w:eastAsia="仿宋_GB2312" w:hint="eastAsia"/>
            <w:sz w:val="28"/>
            <w:szCs w:val="28"/>
            <w:lang w:eastAsia="zh-CN"/>
          </w:rPr>
          <w:t>合适的方案</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_Toc45100598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48</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599" w:history="1">
        <w:r>
          <w:rPr>
            <w:rStyle w:val="Hyperlink"/>
            <w:rFonts w:ascii="仿宋_GB2312" w:eastAsia="仿宋_GB2312" w:hint="eastAsia"/>
            <w:szCs w:val="28"/>
          </w:rPr>
          <w:t xml:space="preserve">第十章 </w:t>
        </w:r>
        <w:r>
          <w:rPr>
            <w:rStyle w:val="Hyperlink"/>
            <w:rFonts w:ascii="仿宋_GB2312" w:eastAsia="仿宋_GB2312" w:hint="eastAsia"/>
            <w:szCs w:val="28"/>
            <w:lang w:eastAsia="zh-CN"/>
          </w:rPr>
          <w:t>相关项目</w:t>
        </w:r>
        <w:r>
          <w:rPr>
            <w:rStyle w:val="Hyperlink"/>
            <w:rFonts w:ascii="仿宋_GB2312" w:eastAsia="仿宋_GB2312" w:hint="eastAsia"/>
            <w:szCs w:val="28"/>
          </w:rPr>
          <w:t>进度</w:t>
        </w:r>
        <w:r>
          <w:rPr>
            <w:rStyle w:val="Hyperlink"/>
            <w:rFonts w:ascii="仿宋_GB2312" w:eastAsia="仿宋_GB2312" w:hint="eastAsia"/>
            <w:szCs w:val="28"/>
            <w:lang w:eastAsia="zh-CN"/>
          </w:rPr>
          <w:t>相关计划</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_Toc45100599 \h </w:instrText>
        </w:r>
        <w:r>
          <w:rPr>
            <w:rStyle w:val="Hyperlink"/>
            <w:rFonts w:ascii="仿宋_GB2312" w:eastAsia="仿宋_GB2312" w:hint="eastAsia"/>
            <w:szCs w:val="28"/>
          </w:rPr>
          <w:fldChar w:fldCharType="separate"/>
        </w:r>
        <w:r>
          <w:rPr>
            <w:rStyle w:val="Hyperlink"/>
            <w:rFonts w:ascii="仿宋_GB2312" w:eastAsia="仿宋_GB2312"/>
            <w:szCs w:val="28"/>
          </w:rPr>
          <w:t>50</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00" w:history="1">
        <w:r>
          <w:rPr>
            <w:rStyle w:val="Hyperlink"/>
            <w:rFonts w:ascii="仿宋_GB2312" w:eastAsia="仿宋_GB2312" w:hint="eastAsia"/>
            <w:sz w:val="28"/>
            <w:szCs w:val="28"/>
          </w:rPr>
          <w:t>1、工程进度</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_Toc45100600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50</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601" w:history="1">
        <w:r>
          <w:rPr>
            <w:rStyle w:val="Hyperlink"/>
            <w:rFonts w:ascii="仿宋_GB2312" w:eastAsia="仿宋_GB2312" w:hint="eastAsia"/>
            <w:sz w:val="28"/>
            <w:szCs w:val="28"/>
          </w:rPr>
          <w:t>2、</w:t>
        </w:r>
        <w:r>
          <w:rPr>
            <w:rStyle w:val="Hyperlink"/>
            <w:rFonts w:ascii="仿宋_GB2312" w:eastAsia="仿宋_GB2312" w:hint="eastAsia"/>
            <w:sz w:val="28"/>
            <w:szCs w:val="28"/>
            <w:lang w:eastAsia="zh-CN"/>
          </w:rPr>
          <w:t>相关项目</w:t>
        </w:r>
        <w:r>
          <w:rPr>
            <w:rStyle w:val="Hyperlink"/>
            <w:rFonts w:ascii="仿宋_GB2312" w:eastAsia="仿宋_GB2312" w:hint="eastAsia"/>
            <w:sz w:val="28"/>
            <w:szCs w:val="28"/>
          </w:rPr>
          <w:t>进度</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_Toc45100601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50</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602" w:history="1">
        <w:r>
          <w:rPr>
            <w:rStyle w:val="Hyperlink"/>
            <w:rFonts w:ascii="仿宋_GB2312" w:eastAsia="仿宋_GB2312" w:hint="eastAsia"/>
            <w:szCs w:val="28"/>
          </w:rPr>
          <w:t>第十一章 投资估算与资金筹措</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_Toc45100602 \h </w:instrText>
        </w:r>
        <w:r>
          <w:rPr>
            <w:rStyle w:val="Hyperlink"/>
            <w:rFonts w:ascii="仿宋_GB2312" w:eastAsia="仿宋_GB2312" w:hint="eastAsia"/>
            <w:szCs w:val="28"/>
          </w:rPr>
          <w:fldChar w:fldCharType="separate"/>
        </w:r>
        <w:r>
          <w:rPr>
            <w:rStyle w:val="Hyperlink"/>
            <w:rFonts w:ascii="仿宋_GB2312" w:eastAsia="仿宋_GB2312"/>
            <w:szCs w:val="28"/>
          </w:rPr>
          <w:t>52</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03" w:history="1">
        <w:r>
          <w:rPr>
            <w:rStyle w:val="Hyperlink"/>
            <w:rFonts w:ascii="仿宋_GB2312" w:eastAsia="仿宋_GB2312" w:hint="eastAsia"/>
            <w:sz w:val="28"/>
            <w:szCs w:val="28"/>
          </w:rPr>
          <w:t>1、投资估算依据</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_Toc45100603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52</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04" w:history="1">
        <w:r>
          <w:rPr>
            <w:rStyle w:val="Hyperlink"/>
            <w:rFonts w:ascii="仿宋_GB2312" w:eastAsia="仿宋_GB2312" w:hint="eastAsia"/>
            <w:sz w:val="28"/>
            <w:szCs w:val="28"/>
          </w:rPr>
          <w:t>2、价格及取费依据：</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_Toc45100604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52</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05" w:history="1">
        <w:r>
          <w:rPr>
            <w:rStyle w:val="Hyperlink"/>
            <w:rFonts w:ascii="仿宋_GB2312" w:eastAsia="仿宋_GB2312" w:hint="eastAsia"/>
            <w:sz w:val="28"/>
            <w:szCs w:val="28"/>
          </w:rPr>
          <w:t>3、投资估算</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_Toc45100605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52</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06" w:history="1">
        <w:r>
          <w:rPr>
            <w:rStyle w:val="Hyperlink"/>
            <w:rFonts w:ascii="仿宋_GB2312" w:eastAsia="仿宋_GB2312" w:hint="eastAsia"/>
            <w:sz w:val="28"/>
            <w:szCs w:val="28"/>
          </w:rPr>
          <w:t>4、资金筹措</w:t>
        </w:r>
        <w:r>
          <w:rPr>
            <w:rStyle w:val="Hyperlink"/>
            <w:rFonts w:ascii="仿宋_GB2312" w:eastAsia="仿宋_GB2312" w:hint="eastAsia"/>
            <w:sz w:val="28"/>
            <w:szCs w:val="28"/>
            <w:lang w:eastAsia="zh-CN"/>
          </w:rPr>
          <w:t>相关计划</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_Toc45100606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53</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07" w:history="1">
        <w:r>
          <w:rPr>
            <w:rStyle w:val="Hyperlink"/>
            <w:rFonts w:ascii="仿宋_GB2312" w:eastAsia="仿宋_GB2312" w:hint="eastAsia"/>
            <w:sz w:val="28"/>
            <w:szCs w:val="28"/>
          </w:rPr>
          <w:t>5、资金运筹</w:t>
        </w:r>
        <w:r>
          <w:rPr>
            <w:rStyle w:val="Hyperlink"/>
            <w:rFonts w:ascii="仿宋_GB2312" w:eastAsia="仿宋_GB2312" w:hint="eastAsia"/>
            <w:sz w:val="28"/>
            <w:szCs w:val="28"/>
            <w:lang w:eastAsia="zh-CN"/>
          </w:rPr>
          <w:t>相关计划</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_Toc45100607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53</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608" w:history="1">
        <w:r>
          <w:rPr>
            <w:rStyle w:val="Hyperlink"/>
            <w:rFonts w:ascii="仿宋_GB2312" w:eastAsia="仿宋_GB2312" w:hint="eastAsia"/>
            <w:sz w:val="28"/>
            <w:szCs w:val="28"/>
          </w:rPr>
          <w:t>6、还贷</w:t>
        </w:r>
        <w:r>
          <w:rPr>
            <w:rStyle w:val="Hyperlink"/>
            <w:rFonts w:ascii="仿宋_GB2312" w:eastAsia="仿宋_GB2312" w:hint="eastAsia"/>
            <w:sz w:val="28"/>
            <w:szCs w:val="28"/>
            <w:lang w:eastAsia="zh-CN"/>
          </w:rPr>
          <w:t>相关计划</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_Toc45100608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53</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sectPr>
          <w:footerReference w:type="even" r:id="rId7"/>
          <w:footerReference w:type="default" r:id="rId8"/>
          <w:type w:val="nextPage"/>
          <w:pgSz w:w="11906" w:h="16838"/>
          <w:pgMar w:top="1440" w:right="1797" w:bottom="1440" w:left="1797" w:header="851" w:footer="992" w:gutter="0"/>
          <w:pgNumType w:start="2"/>
          <w:cols w:num="1" w:space="425"/>
          <w:titlePg w:val="0"/>
          <w:docGrid w:type="lines" w:linePitch="312" w:charSpace="0"/>
        </w:sectPr>
      </w:pPr>
      <w:hyperlink w:anchor="_Toc45100609" w:history="1">
        <w:r>
          <w:rPr>
            <w:rStyle w:val="Hyperlink"/>
            <w:rFonts w:ascii="仿宋_GB2312" w:eastAsia="仿宋_GB2312" w:hint="eastAsia"/>
            <w:szCs w:val="28"/>
          </w:rPr>
          <w:t>第十二章 效益评价及不确定分析</w:t>
        </w:r>
        <w:r>
          <w:rPr>
            <w:rStyle w:val="Hyperlink"/>
            <w:rFonts w:ascii="仿宋_GB2312" w:eastAsia="仿宋_GB2312" w:hint="eastAsia"/>
            <w:szCs w:val="28"/>
          </w:rPr>
          <w:tab/>
        </w:r>
        <w:r>
          <w:rPr>
            <w:rStyle w:val="Hyperlink"/>
            <w:rFonts w:ascii="仿宋_GB2312" w:eastAsia="仿宋_GB2312" w:hint="eastAsia"/>
            <w:szCs w:val="28"/>
          </w:rPr>
          <w:fldChar w:fldCharType="begin"/>
        </w:r>
        <w:r>
          <w:rPr>
            <w:rStyle w:val="Hyperlink"/>
            <w:rFonts w:ascii="仿宋_GB2312" w:eastAsia="仿宋_GB2312" w:hint="eastAsia"/>
            <w:szCs w:val="28"/>
          </w:rPr>
          <w:instrText xml:space="preserve"> PAGEREF _Toc45100609 \h </w:instrText>
        </w:r>
        <w:r>
          <w:rPr>
            <w:rStyle w:val="Hyperlink"/>
            <w:rFonts w:ascii="仿宋_GB2312" w:eastAsia="仿宋_GB2312" w:hint="eastAsia"/>
            <w:szCs w:val="28"/>
          </w:rPr>
          <w:fldChar w:fldCharType="separate"/>
        </w:r>
        <w:r>
          <w:rPr>
            <w:rStyle w:val="Hyperlink"/>
            <w:rFonts w:ascii="仿宋_GB2312" w:eastAsia="仿宋_GB2312"/>
            <w:szCs w:val="28"/>
          </w:rPr>
          <w:t>54</w:t>
        </w:r>
        <w:r>
          <w:rPr>
            <w:rStyle w:val="Hyperlink"/>
            <w:rFonts w:ascii="仿宋_GB2312" w:eastAsia="仿宋_GB2312" w:hint="eastAsia"/>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10" w:history="1">
        <w:r>
          <w:rPr>
            <w:rStyle w:val="Hyperlink"/>
            <w:rFonts w:ascii="仿宋_GB2312" w:eastAsia="仿宋_GB2312" w:hint="eastAsia"/>
            <w:sz w:val="28"/>
            <w:szCs w:val="28"/>
          </w:rPr>
          <w:t>1、</w:t>
        </w:r>
        <w:bookmarkStart w:id="3" w:name="_Hlt45100683"/>
        <w:r>
          <w:rPr>
            <w:rStyle w:val="Hyperlink"/>
            <w:rFonts w:ascii="仿宋_GB2312" w:eastAsia="仿宋_GB2312" w:hint="eastAsia"/>
            <w:sz w:val="28"/>
            <w:szCs w:val="28"/>
          </w:rPr>
          <w:t>评</w:t>
        </w:r>
        <w:bookmarkEnd w:id="3"/>
        <w:r>
          <w:rPr>
            <w:rStyle w:val="Hyperlink"/>
            <w:rFonts w:ascii="仿宋_GB2312" w:eastAsia="仿宋_GB2312" w:hint="eastAsia"/>
            <w:sz w:val="28"/>
            <w:szCs w:val="28"/>
          </w:rPr>
          <w:t>价依据、范围及指标</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_Toc45100610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54</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11" w:history="1">
        <w:r>
          <w:rPr>
            <w:rStyle w:val="Hyperlink"/>
            <w:rFonts w:ascii="仿宋_GB2312" w:eastAsia="仿宋_GB2312" w:hint="eastAsia"/>
            <w:sz w:val="28"/>
            <w:szCs w:val="28"/>
          </w:rPr>
          <w:t>2、经济评价</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_Toc45100611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55</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12" w:history="1">
        <w:r>
          <w:rPr>
            <w:rStyle w:val="Hyperlink"/>
            <w:rFonts w:ascii="仿宋_GB2312" w:eastAsia="仿宋_GB2312" w:hint="eastAsia"/>
            <w:sz w:val="28"/>
            <w:szCs w:val="28"/>
          </w:rPr>
          <w:t>3、财务评价</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_Toc45100612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58</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Style w:val="Hyperlink"/>
          <w:rFonts w:ascii="仿宋_GB2312" w:eastAsia="仿宋_GB2312" w:hint="eastAsia"/>
          <w:sz w:val="28"/>
          <w:szCs w:val="28"/>
        </w:rPr>
      </w:pPr>
      <w:hyperlink w:anchor="_Toc45100613" w:history="1">
        <w:r>
          <w:rPr>
            <w:rStyle w:val="Hyperlink"/>
            <w:rFonts w:ascii="仿宋_GB2312" w:eastAsia="仿宋_GB2312" w:hint="eastAsia"/>
            <w:sz w:val="28"/>
            <w:szCs w:val="28"/>
          </w:rPr>
          <w:t>4、清偿能力分析</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_Toc45100613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59</w:t>
        </w:r>
        <w:r>
          <w:rPr>
            <w:rStyle w:val="Hyperlink"/>
            <w:rFonts w:ascii="仿宋_GB2312" w:eastAsia="仿宋_GB2312" w:hint="eastAsia"/>
            <w:sz w:val="28"/>
            <w:szCs w:val="28"/>
          </w:rPr>
          <w:fldChar w:fldCharType="end"/>
        </w:r>
      </w:hyperlink>
    </w:p>
    <w:p>
      <w:pPr>
        <w:pStyle w:val="TOC2"/>
        <w:tabs>
          <w:tab w:val="right" w:leader="dot" w:pos="8302"/>
        </w:tabs>
        <w:spacing w:line="520" w:lineRule="exact"/>
        <w:rPr>
          <w:rFonts w:ascii="仿宋_GB2312" w:eastAsia="仿宋_GB2312" w:hint="eastAsia"/>
          <w:sz w:val="28"/>
          <w:szCs w:val="28"/>
        </w:rPr>
      </w:pPr>
      <w:hyperlink w:anchor="_Toc45100614" w:history="1">
        <w:r>
          <w:rPr>
            <w:rStyle w:val="Hyperlink"/>
            <w:rFonts w:ascii="仿宋_GB2312" w:eastAsia="仿宋_GB2312" w:hint="eastAsia"/>
            <w:sz w:val="28"/>
            <w:szCs w:val="28"/>
          </w:rPr>
          <w:t>5、不确定性分析</w:t>
        </w:r>
        <w:r>
          <w:rPr>
            <w:rStyle w:val="Hyperlink"/>
            <w:rFonts w:ascii="仿宋_GB2312" w:eastAsia="仿宋_GB2312" w:hint="eastAsia"/>
            <w:sz w:val="28"/>
            <w:szCs w:val="28"/>
          </w:rPr>
          <w:tab/>
        </w:r>
        <w:r>
          <w:rPr>
            <w:rStyle w:val="Hyperlink"/>
            <w:rFonts w:ascii="仿宋_GB2312" w:eastAsia="仿宋_GB2312" w:hint="eastAsia"/>
            <w:sz w:val="28"/>
            <w:szCs w:val="28"/>
          </w:rPr>
          <w:fldChar w:fldCharType="begin"/>
        </w:r>
        <w:r>
          <w:rPr>
            <w:rStyle w:val="Hyperlink"/>
            <w:rFonts w:ascii="仿宋_GB2312" w:eastAsia="仿宋_GB2312" w:hint="eastAsia"/>
            <w:sz w:val="28"/>
            <w:szCs w:val="28"/>
          </w:rPr>
          <w:instrText xml:space="preserve"> PAGEREF _Toc45100614 \h </w:instrText>
        </w:r>
        <w:r>
          <w:rPr>
            <w:rStyle w:val="Hyperlink"/>
            <w:rFonts w:ascii="仿宋_GB2312" w:eastAsia="仿宋_GB2312" w:hint="eastAsia"/>
            <w:sz w:val="28"/>
            <w:szCs w:val="28"/>
          </w:rPr>
          <w:fldChar w:fldCharType="separate"/>
        </w:r>
        <w:r>
          <w:rPr>
            <w:rStyle w:val="Hyperlink"/>
            <w:rFonts w:ascii="仿宋_GB2312" w:eastAsia="仿宋_GB2312"/>
            <w:sz w:val="28"/>
            <w:szCs w:val="28"/>
          </w:rPr>
          <w:t>59</w:t>
        </w:r>
        <w:r>
          <w:rPr>
            <w:rStyle w:val="Hyperlink"/>
            <w:rFonts w:ascii="仿宋_GB2312" w:eastAsia="仿宋_GB2312" w:hint="eastAsia"/>
            <w:sz w:val="28"/>
            <w:szCs w:val="28"/>
          </w:rPr>
          <w:fldChar w:fldCharType="end"/>
        </w:r>
      </w:hyperlink>
    </w:p>
    <w:p>
      <w:pPr>
        <w:pStyle w:val="TOC1"/>
        <w:spacing w:line="520" w:lineRule="exact"/>
        <w:rPr>
          <w:rFonts w:ascii="仿宋_GB2312" w:eastAsia="仿宋_GB2312" w:hint="eastAsia"/>
          <w:szCs w:val="28"/>
        </w:rPr>
      </w:pPr>
      <w:hyperlink w:anchor="_Toc45100615" w:history="1">
        <w:r>
          <w:rPr>
            <w:rStyle w:val="Hyperlink"/>
            <w:rFonts w:ascii="仿宋_GB2312" w:eastAsia="仿宋_GB2312" w:hint="eastAsia"/>
            <w:szCs w:val="28"/>
          </w:rPr>
          <w:t>第十三章 社会效益分析</w:t>
        </w:r>
        <w:r>
          <w:rPr>
            <w:rFonts w:ascii="仿宋_GB2312" w:eastAsia="仿宋_GB2312" w:hint="eastAsia"/>
            <w:szCs w:val="28"/>
          </w:rPr>
          <w:tab/>
        </w:r>
        <w:r>
          <w:rPr>
            <w:rFonts w:ascii="仿宋_GB2312" w:eastAsia="仿宋_GB2312" w:hint="eastAsia"/>
            <w:szCs w:val="28"/>
          </w:rPr>
          <w:fldChar w:fldCharType="begin"/>
        </w:r>
        <w:r>
          <w:rPr>
            <w:rFonts w:ascii="仿宋_GB2312" w:eastAsia="仿宋_GB2312" w:hint="eastAsia"/>
            <w:szCs w:val="28"/>
          </w:rPr>
          <w:instrText xml:space="preserve"> PAGEREF _Toc45100615 \h </w:instrText>
        </w:r>
        <w:r>
          <w:rPr>
            <w:rFonts w:ascii="仿宋_GB2312" w:eastAsia="仿宋_GB2312" w:hint="eastAsia"/>
            <w:szCs w:val="28"/>
          </w:rPr>
          <w:fldChar w:fldCharType="separate"/>
        </w:r>
        <w:r>
          <w:rPr>
            <w:rFonts w:ascii="仿宋_GB2312" w:eastAsia="仿宋_GB2312"/>
            <w:szCs w:val="28"/>
          </w:rPr>
          <w:t>61</w:t>
        </w:r>
        <w:r>
          <w:rPr>
            <w:rFonts w:ascii="仿宋_GB2312" w:eastAsia="仿宋_GB2312" w:hint="eastAsia"/>
            <w:szCs w:val="28"/>
          </w:rPr>
          <w:fldChar w:fldCharType="end"/>
        </w:r>
      </w:hyperlink>
    </w:p>
    <w:p>
      <w:pPr>
        <w:pStyle w:val="Normal0"/>
        <w:spacing w:line="520" w:lineRule="exact"/>
        <w:ind w:firstLine="538" w:firstLineChars="192"/>
        <w:rPr>
          <w:rFonts w:ascii="宋体" w:hAnsi="宋体" w:hint="eastAsia"/>
          <w:b/>
          <w:bCs/>
          <w:sz w:val="24"/>
        </w:rPr>
      </w:pPr>
      <w:r>
        <w:rPr>
          <w:rFonts w:ascii="仿宋_GB2312" w:eastAsia="仿宋_GB2312" w:hAnsi="宋体" w:hint="eastAsia"/>
          <w:sz w:val="28"/>
          <w:szCs w:val="28"/>
        </w:rPr>
        <w:fldChar w:fldCharType="end"/>
      </w:r>
      <w:r>
        <w:rPr>
          <w:rFonts w:ascii="宋体" w:hAnsi="宋体" w:hint="eastAsia"/>
          <w:b/>
          <w:bCs/>
          <w:sz w:val="24"/>
        </w:rPr>
        <w:t>附件：</w:t>
      </w:r>
    </w:p>
    <w:p>
      <w:pPr>
        <w:pStyle w:val="BodyText2"/>
        <w:spacing w:line="360" w:lineRule="auto"/>
        <w:ind w:firstLine="480" w:firstLineChars="200"/>
        <w:rPr>
          <w:rFonts w:ascii="宋体" w:hAnsi="宋体" w:hint="eastAsia"/>
        </w:rPr>
      </w:pPr>
      <w:r>
        <w:rPr>
          <w:rFonts w:ascii="宋体" w:hAnsi="宋体" w:hint="eastAsia"/>
        </w:rPr>
        <w:t>（一）湖南XX实业发展有限公司营业执照；</w:t>
      </w:r>
    </w:p>
    <w:p>
      <w:pPr>
        <w:pStyle w:val="BodyText2"/>
        <w:spacing w:line="360" w:lineRule="auto"/>
        <w:ind w:firstLine="480" w:firstLineChars="200"/>
        <w:rPr>
          <w:rFonts w:ascii="宋体" w:hAnsi="宋体" w:hint="eastAsia"/>
        </w:rPr>
      </w:pPr>
      <w:r>
        <w:rPr>
          <w:rFonts w:ascii="宋体" w:hAnsi="宋体" w:hint="eastAsia"/>
        </w:rPr>
        <w:t>（二）湖南XX实业发展有限公司组织机构条码证；</w:t>
      </w:r>
    </w:p>
    <w:p>
      <w:pPr>
        <w:pStyle w:val="BodyText2"/>
        <w:spacing w:line="360" w:lineRule="auto"/>
        <w:ind w:firstLine="480" w:firstLineChars="200"/>
        <w:rPr>
          <w:rFonts w:ascii="宋体" w:hAnsi="宋体" w:hint="eastAsia"/>
        </w:rPr>
      </w:pPr>
      <w:r>
        <w:rPr>
          <w:rFonts w:ascii="宋体" w:hAnsi="宋体" w:hint="eastAsia"/>
        </w:rPr>
        <w:t>（三）湖南XX实业发展有限公司税务登记证；</w:t>
      </w:r>
    </w:p>
    <w:p>
      <w:pPr>
        <w:pStyle w:val="BodyText2"/>
        <w:spacing w:line="360" w:lineRule="auto"/>
        <w:ind w:firstLine="480" w:firstLineChars="200"/>
        <w:rPr>
          <w:rFonts w:ascii="宋体" w:hAnsi="宋体" w:hint="eastAsia"/>
        </w:rPr>
      </w:pPr>
      <w:r>
        <w:rPr>
          <w:rFonts w:ascii="宋体" w:hAnsi="宋体" w:hint="eastAsia"/>
        </w:rPr>
        <w:t>（四）国家发展与改革委员会发改办经贸[2003]51号“国家发展与改革委员会办公厅关于湖南XX国际物流园一期工程</w:t>
      </w:r>
      <w:r>
        <w:rPr>
          <w:rFonts w:ascii="宋体" w:hAnsi="宋体" w:hint="eastAsia"/>
          <w:lang w:eastAsia="zh-CN"/>
        </w:rPr>
        <w:t>相关项目</w:t>
      </w:r>
      <w:r>
        <w:rPr>
          <w:rFonts w:ascii="宋体" w:hAnsi="宋体" w:hint="eastAsia"/>
        </w:rPr>
        <w:t>审批问题的复函”；</w:t>
      </w:r>
    </w:p>
    <w:p>
      <w:pPr>
        <w:pStyle w:val="BodyText2"/>
        <w:spacing w:line="360" w:lineRule="auto"/>
        <w:ind w:firstLine="480" w:firstLineChars="200"/>
        <w:rPr>
          <w:rFonts w:ascii="宋体" w:hAnsi="宋体" w:hint="eastAsia"/>
        </w:rPr>
      </w:pPr>
      <w:r>
        <w:rPr>
          <w:rFonts w:ascii="宋体" w:hAnsi="宋体" w:hint="eastAsia"/>
        </w:rPr>
        <w:t>（五）湖南省发展</w:t>
      </w:r>
      <w:r>
        <w:rPr>
          <w:rFonts w:ascii="宋体" w:hAnsi="宋体" w:hint="eastAsia"/>
          <w:lang w:eastAsia="zh-CN"/>
        </w:rPr>
        <w:t>相关计划</w:t>
      </w:r>
      <w:r>
        <w:rPr>
          <w:rFonts w:ascii="宋体" w:hAnsi="宋体" w:hint="eastAsia"/>
        </w:rPr>
        <w:t>委员会湘计经贸[2003]256号“关于湖南XX国际物流园一期工程</w:t>
      </w:r>
      <w:r>
        <w:rPr>
          <w:rFonts w:ascii="宋体" w:hAnsi="宋体" w:hint="eastAsia"/>
          <w:lang w:eastAsia="zh-CN"/>
        </w:rPr>
        <w:t>相关项目</w:t>
      </w:r>
      <w:r>
        <w:rPr>
          <w:rFonts w:ascii="宋体" w:hAnsi="宋体" w:hint="eastAsia"/>
        </w:rPr>
        <w:t>建议书的批复”；</w:t>
      </w:r>
    </w:p>
    <w:p>
      <w:pPr>
        <w:pStyle w:val="BodyText2"/>
        <w:spacing w:line="360" w:lineRule="auto"/>
        <w:ind w:firstLine="480" w:firstLineChars="200"/>
        <w:rPr>
          <w:rFonts w:ascii="宋体" w:hAnsi="宋体" w:hint="eastAsia"/>
        </w:rPr>
      </w:pPr>
      <w:r>
        <w:rPr>
          <w:rFonts w:ascii="宋体" w:hAnsi="宋体" w:hint="eastAsia"/>
        </w:rPr>
        <w:t>（六）长沙市发展</w:t>
      </w:r>
      <w:r>
        <w:rPr>
          <w:rFonts w:ascii="宋体" w:hAnsi="宋体" w:hint="eastAsia"/>
          <w:lang w:eastAsia="zh-CN"/>
        </w:rPr>
        <w:t>相关计划</w:t>
      </w:r>
      <w:r>
        <w:rPr>
          <w:rFonts w:ascii="宋体" w:hAnsi="宋体" w:hint="eastAsia"/>
        </w:rPr>
        <w:t>委员会长计经贸[2003]335号“长沙市发展</w:t>
      </w:r>
      <w:r>
        <w:rPr>
          <w:rFonts w:ascii="宋体" w:hAnsi="宋体" w:hint="eastAsia"/>
          <w:lang w:eastAsia="zh-CN"/>
        </w:rPr>
        <w:t>相关计划</w:t>
      </w:r>
      <w:r>
        <w:rPr>
          <w:rFonts w:ascii="宋体" w:hAnsi="宋体" w:hint="eastAsia"/>
        </w:rPr>
        <w:t>委员会转发省发展</w:t>
      </w:r>
      <w:r>
        <w:rPr>
          <w:rFonts w:ascii="宋体" w:hAnsi="宋体" w:hint="eastAsia"/>
          <w:lang w:eastAsia="zh-CN"/>
        </w:rPr>
        <w:t>相关计划</w:t>
      </w:r>
      <w:r>
        <w:rPr>
          <w:rFonts w:ascii="宋体" w:hAnsi="宋体" w:hint="eastAsia"/>
        </w:rPr>
        <w:t>委员会《关于湖南XX国际物流园一期工程</w:t>
      </w:r>
      <w:r>
        <w:rPr>
          <w:rFonts w:ascii="宋体" w:hAnsi="宋体" w:hint="eastAsia"/>
          <w:lang w:eastAsia="zh-CN"/>
        </w:rPr>
        <w:t>相关项目</w:t>
      </w:r>
      <w:r>
        <w:rPr>
          <w:rFonts w:ascii="宋体" w:hAnsi="宋体" w:hint="eastAsia"/>
        </w:rPr>
        <w:t>建议书的批复》的通知；</w:t>
      </w:r>
    </w:p>
    <w:p>
      <w:pPr>
        <w:pStyle w:val="Normal0"/>
        <w:spacing w:line="360" w:lineRule="auto"/>
        <w:ind w:firstLine="540" w:firstLineChars="225"/>
        <w:rPr>
          <w:rFonts w:ascii="宋体" w:hAnsi="宋体" w:hint="eastAsia"/>
          <w:sz w:val="24"/>
        </w:rPr>
      </w:pPr>
      <w:r>
        <w:rPr>
          <w:rFonts w:ascii="宋体" w:hAnsi="宋体" w:hint="eastAsia"/>
          <w:sz w:val="24"/>
        </w:rPr>
        <w:t>（七）</w:t>
      </w:r>
      <w:r>
        <w:rPr>
          <w:rFonts w:ascii="宋体" w:hAnsi="宋体" w:hint="eastAsia"/>
          <w:sz w:val="24"/>
          <w:szCs w:val="21"/>
        </w:rPr>
        <w:t>国家经贸委中小企业对外合作协调中心《关于在长沙市开展中小企业社会化物流服务体系试点工作的通知》（国家经贸委中小中心[2001]6号），及附件：长沙市中小企业社会化物流服务体系建设试点工作第一批企业名单</w:t>
      </w:r>
    </w:p>
    <w:p>
      <w:pPr>
        <w:pStyle w:val="Normal0"/>
        <w:spacing w:line="360" w:lineRule="auto"/>
        <w:ind w:firstLine="540" w:firstLineChars="225"/>
        <w:rPr>
          <w:rFonts w:ascii="宋体" w:hAnsi="宋体" w:hint="eastAsia"/>
          <w:sz w:val="24"/>
          <w:szCs w:val="21"/>
        </w:rPr>
      </w:pPr>
      <w:r>
        <w:rPr>
          <w:rFonts w:ascii="宋体" w:hAnsi="宋体" w:hint="eastAsia"/>
          <w:sz w:val="24"/>
          <w:szCs w:val="21"/>
        </w:rPr>
        <w:t>（八）长沙经济技术开发区管委会《关于将“湖南XX国际物流园”列为开发区重点扶持</w:t>
      </w:r>
      <w:r>
        <w:rPr>
          <w:rFonts w:ascii="宋体" w:hAnsi="宋体" w:hint="eastAsia"/>
          <w:sz w:val="24"/>
          <w:szCs w:val="21"/>
          <w:lang w:eastAsia="zh-CN"/>
        </w:rPr>
        <w:t>相关项目</w:t>
      </w:r>
      <w:r>
        <w:rPr>
          <w:rFonts w:ascii="宋体" w:hAnsi="宋体" w:hint="eastAsia"/>
          <w:sz w:val="24"/>
          <w:szCs w:val="21"/>
        </w:rPr>
        <w:t>的批复》（长管经贸[2002]3号）</w:t>
      </w:r>
    </w:p>
    <w:p>
      <w:pPr>
        <w:pStyle w:val="Normal0"/>
        <w:spacing w:line="360" w:lineRule="auto"/>
        <w:ind w:firstLine="540" w:firstLineChars="225"/>
        <w:rPr>
          <w:rFonts w:ascii="宋体" w:hAnsi="宋体" w:hint="eastAsia"/>
          <w:sz w:val="24"/>
          <w:szCs w:val="21"/>
        </w:rPr>
      </w:pPr>
      <w:r>
        <w:rPr>
          <w:rFonts w:ascii="宋体" w:hAnsi="宋体" w:hint="eastAsia"/>
          <w:sz w:val="24"/>
          <w:szCs w:val="21"/>
        </w:rPr>
        <w:t>（九）长沙经济技术开发区管委会《关于请求将区内企业湖南省XX实业发展有限公司“湖南XX国际物流园”列为全国中小企业国际物流示范园的请示》（长管委[2002]10号）</w:t>
      </w:r>
    </w:p>
    <w:p>
      <w:pPr>
        <w:pStyle w:val="Normal0"/>
        <w:spacing w:line="360" w:lineRule="auto"/>
        <w:ind w:firstLine="480" w:firstLineChars="200"/>
        <w:rPr>
          <w:rFonts w:ascii="宋体" w:hAnsi="宋体" w:hint="eastAsia"/>
          <w:b/>
          <w:bCs/>
          <w:sz w:val="24"/>
          <w:szCs w:val="21"/>
        </w:rPr>
      </w:pPr>
      <w:r>
        <w:rPr>
          <w:rFonts w:ascii="宋体" w:hAnsi="宋体" w:hint="eastAsia"/>
          <w:sz w:val="24"/>
          <w:szCs w:val="21"/>
        </w:rPr>
        <w:t>（十）国家经贸委中小企业对外合作协调中心《关于同意在长沙经济技术开发区（国家级）建立“湖南XX中小企业国际物流示范园”的附函》（国家经贸委中小中心函[2002]11号）</w:t>
      </w:r>
    </w:p>
    <w:p>
      <w:pPr>
        <w:pStyle w:val="Normal0"/>
        <w:spacing w:line="360" w:lineRule="auto"/>
        <w:ind w:firstLine="480" w:firstLineChars="200"/>
        <w:rPr>
          <w:rFonts w:ascii="宋体" w:hAnsi="宋体" w:hint="eastAsia"/>
          <w:sz w:val="24"/>
          <w:szCs w:val="21"/>
        </w:rPr>
        <w:sectPr>
          <w:footerReference w:type="even" r:id="rId9"/>
          <w:footerReference w:type="default" r:id="rId10"/>
          <w:type w:val="nextPage"/>
          <w:pgSz w:w="11906" w:h="16838"/>
          <w:pgMar w:top="1440" w:right="1797" w:bottom="1440" w:left="1797" w:header="851" w:footer="992" w:gutter="0"/>
          <w:pgNumType w:start="3"/>
          <w:cols w:num="1" w:space="425"/>
          <w:titlePg w:val="0"/>
          <w:docGrid w:type="lines" w:linePitch="312" w:charSpace="0"/>
        </w:sectPr>
      </w:pPr>
      <w:r>
        <w:rPr>
          <w:rFonts w:ascii="宋体" w:hAnsi="宋体" w:hint="eastAsia"/>
          <w:sz w:val="24"/>
          <w:szCs w:val="21"/>
        </w:rPr>
        <w:t>（十一）土地使用意向书</w:t>
      </w:r>
    </w:p>
    <w:p>
      <w:pPr>
        <w:pStyle w:val="Normal0"/>
        <w:spacing w:line="360" w:lineRule="auto"/>
        <w:ind w:firstLine="480" w:firstLineChars="200"/>
        <w:rPr>
          <w:rFonts w:ascii="宋体" w:hAnsi="宋体" w:hint="eastAsia"/>
          <w:sz w:val="24"/>
          <w:szCs w:val="21"/>
        </w:rPr>
      </w:pPr>
      <w:r>
        <w:rPr>
          <w:rFonts w:ascii="宋体" w:hAnsi="宋体" w:hint="eastAsia"/>
          <w:sz w:val="24"/>
          <w:szCs w:val="21"/>
        </w:rPr>
        <w:t>（十二）湖南省《关于加快我省现代物流业发展的若干意见》</w:t>
      </w:r>
    </w:p>
    <w:p>
      <w:pPr>
        <w:pStyle w:val="Normal0"/>
        <w:spacing w:line="360" w:lineRule="auto"/>
        <w:ind w:firstLine="480" w:firstLineChars="200"/>
        <w:rPr>
          <w:rFonts w:ascii="宋体" w:hAnsi="宋体" w:hint="eastAsia"/>
          <w:sz w:val="24"/>
          <w:szCs w:val="21"/>
        </w:rPr>
      </w:pPr>
      <w:r>
        <w:rPr>
          <w:rFonts w:ascii="宋体" w:hAnsi="宋体" w:hint="eastAsia"/>
          <w:sz w:val="24"/>
          <w:szCs w:val="21"/>
        </w:rPr>
        <w:t>（十三）第三方物流企业入驻湖南XX国际物流园意向协议</w:t>
      </w:r>
    </w:p>
    <w:p>
      <w:pPr>
        <w:pStyle w:val="Normal0"/>
        <w:spacing w:line="360" w:lineRule="auto"/>
        <w:rPr>
          <w:rFonts w:ascii="宋体" w:hAnsi="宋体" w:hint="eastAsia"/>
          <w:sz w:val="24"/>
        </w:rPr>
      </w:pPr>
      <w:r>
        <w:rPr>
          <w:rFonts w:ascii="宋体" w:hAnsi="宋体" w:hint="eastAsia"/>
          <w:sz w:val="24"/>
        </w:rPr>
        <w:t>附图：</w:t>
      </w:r>
    </w:p>
    <w:p>
      <w:pPr>
        <w:pStyle w:val="Normal0"/>
        <w:spacing w:line="360" w:lineRule="auto"/>
        <w:rPr>
          <w:rFonts w:ascii="宋体" w:hAnsi="宋体" w:hint="eastAsia"/>
          <w:sz w:val="24"/>
        </w:rPr>
      </w:pPr>
      <w:r>
        <w:rPr>
          <w:rFonts w:ascii="宋体" w:hAnsi="宋体" w:hint="eastAsia"/>
          <w:sz w:val="24"/>
        </w:rPr>
        <w:t xml:space="preserve">    （一）湖南XX国际物流园平面规划图</w:t>
      </w:r>
    </w:p>
    <w:p>
      <w:pPr>
        <w:pStyle w:val="Normal0"/>
        <w:spacing w:line="360" w:lineRule="auto"/>
        <w:rPr>
          <w:rFonts w:ascii="宋体" w:hAnsi="宋体" w:hint="eastAsia"/>
          <w:sz w:val="24"/>
        </w:rPr>
        <w:sectPr>
          <w:footerReference w:type="even" r:id="rId11"/>
          <w:footerReference w:type="default" r:id="rId12"/>
          <w:type w:val="nextPage"/>
          <w:pgSz w:w="11906" w:h="16838"/>
          <w:pgMar w:top="1440" w:right="1797" w:bottom="1440" w:left="1797" w:header="851" w:footer="992" w:gutter="0"/>
          <w:pgNumType w:start="4"/>
          <w:cols w:num="1" w:space="425"/>
          <w:titlePg w:val="0"/>
          <w:docGrid w:type="lines" w:linePitch="312" w:charSpace="0"/>
        </w:sectPr>
      </w:pPr>
    </w:p>
    <w:p>
      <w:pPr>
        <w:pStyle w:val="Heading1"/>
        <w:spacing w:before="0" w:after="0" w:line="520" w:lineRule="exact"/>
        <w:rPr>
          <w:rFonts w:ascii="宋体" w:eastAsia="宋体" w:hAnsi="宋体"/>
          <w:sz w:val="28"/>
          <w:szCs w:val="28"/>
        </w:rPr>
      </w:pPr>
      <w:bookmarkStart w:id="4" w:name="_Toc20275449"/>
      <w:bookmarkStart w:id="5" w:name="_Toc45100423"/>
      <w:bookmarkStart w:id="6" w:name="_Toc20275629"/>
      <w:bookmarkStart w:id="7" w:name="_Toc9141244"/>
      <w:bookmarkStart w:id="8" w:name="_Toc45100298"/>
      <w:bookmarkStart w:id="9" w:name="_Toc45100559"/>
      <w:bookmarkStart w:id="10" w:name="_Toc19449416"/>
      <w:r>
        <w:rPr>
          <w:rFonts w:ascii="宋体" w:eastAsia="宋体" w:hAnsi="宋体" w:hint="eastAsia"/>
          <w:sz w:val="28"/>
          <w:szCs w:val="28"/>
        </w:rPr>
        <w:t>第一章  总  论</w:t>
      </w:r>
      <w:bookmarkEnd w:id="0"/>
      <w:bookmarkEnd w:id="4"/>
      <w:bookmarkEnd w:id="5"/>
      <w:bookmarkEnd w:id="6"/>
      <w:bookmarkEnd w:id="7"/>
      <w:bookmarkEnd w:id="8"/>
      <w:bookmarkEnd w:id="9"/>
      <w:bookmarkEnd w:id="10"/>
      <w:bookmarkStart w:id="11" w:name="_Toc526301327"/>
    </w:p>
    <w:p>
      <w:pPr>
        <w:pStyle w:val="NormalIndent"/>
        <w:spacing w:line="520" w:lineRule="exact"/>
        <w:ind w:firstLine="560" w:firstLineChars="200"/>
        <w:rPr>
          <w:rFonts w:ascii="宋体" w:hAnsi="宋体" w:hint="eastAsia"/>
          <w:sz w:val="28"/>
          <w:szCs w:val="28"/>
        </w:rPr>
      </w:pPr>
      <w:r>
        <w:rPr>
          <w:rFonts w:ascii="宋体" w:hAnsi="宋体" w:hint="eastAsia"/>
          <w:sz w:val="28"/>
          <w:szCs w:val="28"/>
        </w:rPr>
        <w:t>受湖南省XX实业发展有限公司的委托，我们对湖南XX国际物流园建设</w:t>
      </w:r>
      <w:r>
        <w:rPr>
          <w:rFonts w:ascii="宋体" w:hAnsi="宋体" w:hint="eastAsia"/>
          <w:sz w:val="28"/>
          <w:szCs w:val="28"/>
          <w:lang w:eastAsia="zh-CN"/>
        </w:rPr>
        <w:t>相关项目</w:t>
      </w:r>
      <w:r>
        <w:rPr>
          <w:rFonts w:ascii="宋体" w:hAnsi="宋体" w:hint="eastAsia"/>
          <w:sz w:val="28"/>
          <w:szCs w:val="28"/>
        </w:rPr>
        <w:t>可行性进行了研究，通过对该</w:t>
      </w:r>
      <w:r>
        <w:rPr>
          <w:rFonts w:ascii="宋体" w:hAnsi="宋体" w:hint="eastAsia"/>
          <w:sz w:val="28"/>
          <w:szCs w:val="28"/>
          <w:lang w:eastAsia="zh-CN"/>
        </w:rPr>
        <w:t>相关项目</w:t>
      </w:r>
      <w:r>
        <w:rPr>
          <w:rFonts w:ascii="宋体" w:hAnsi="宋体" w:hint="eastAsia"/>
          <w:sz w:val="28"/>
          <w:szCs w:val="28"/>
        </w:rPr>
        <w:t>所在地区的环境、交通、电力、给排水、通讯等条件进行调查，收集有关基础资料，并与建设单位交换意见，在认真调查和分析资料的基础上编制了《湖南XX国际物流园建设</w:t>
      </w:r>
      <w:r>
        <w:rPr>
          <w:rFonts w:ascii="宋体" w:hAnsi="宋体" w:hint="eastAsia"/>
          <w:sz w:val="28"/>
          <w:szCs w:val="28"/>
          <w:lang w:eastAsia="zh-CN"/>
        </w:rPr>
        <w:t>相关项目</w:t>
      </w:r>
      <w:r>
        <w:rPr>
          <w:rFonts w:ascii="宋体" w:hAnsi="宋体" w:hint="eastAsia"/>
          <w:sz w:val="28"/>
          <w:szCs w:val="28"/>
        </w:rPr>
        <w:t>可行性研究报告》。</w:t>
      </w:r>
    </w:p>
    <w:p>
      <w:pPr>
        <w:pStyle w:val="NormalIndent"/>
        <w:spacing w:line="520" w:lineRule="exact"/>
        <w:ind w:firstLine="560" w:firstLineChars="200"/>
        <w:rPr>
          <w:rFonts w:ascii="宋体" w:hAnsi="宋体" w:hint="eastAsia"/>
          <w:sz w:val="28"/>
          <w:szCs w:val="28"/>
        </w:rPr>
      </w:pPr>
    </w:p>
    <w:p>
      <w:pPr>
        <w:pStyle w:val="Heading2"/>
        <w:spacing w:line="520" w:lineRule="exact"/>
        <w:rPr>
          <w:color w:val="auto"/>
          <w:sz w:val="28"/>
          <w:szCs w:val="28"/>
        </w:rPr>
      </w:pPr>
      <w:bookmarkStart w:id="12" w:name="_Toc9141245"/>
      <w:bookmarkStart w:id="13" w:name="_Toc8921413"/>
      <w:bookmarkStart w:id="14" w:name="_Toc19449417"/>
      <w:bookmarkStart w:id="15" w:name="_Toc45100299"/>
      <w:bookmarkStart w:id="16" w:name="_Toc20275450"/>
      <w:bookmarkStart w:id="17" w:name="_Toc45100560"/>
      <w:bookmarkStart w:id="18" w:name="_Toc20275630"/>
      <w:bookmarkStart w:id="19" w:name="_Toc45100424"/>
      <w:r>
        <w:rPr>
          <w:rFonts w:hint="eastAsia"/>
          <w:color w:val="auto"/>
          <w:sz w:val="28"/>
          <w:szCs w:val="28"/>
        </w:rPr>
        <w:t>1、</w:t>
      </w:r>
      <w:r>
        <w:rPr>
          <w:rFonts w:hint="eastAsia"/>
          <w:color w:val="auto"/>
          <w:sz w:val="28"/>
          <w:szCs w:val="28"/>
          <w:lang w:eastAsia="zh-CN"/>
        </w:rPr>
        <w:t>相关项目</w:t>
      </w:r>
      <w:r>
        <w:rPr>
          <w:rFonts w:hint="eastAsia"/>
          <w:color w:val="auto"/>
          <w:sz w:val="28"/>
          <w:szCs w:val="28"/>
        </w:rPr>
        <w:t>概况</w:t>
      </w:r>
      <w:bookmarkEnd w:id="11"/>
      <w:r>
        <w:rPr>
          <w:rFonts w:hint="eastAsia"/>
          <w:color w:val="auto"/>
          <w:sz w:val="28"/>
          <w:szCs w:val="28"/>
        </w:rPr>
        <w:t>及目标</w:t>
      </w:r>
      <w:bookmarkEnd w:id="12"/>
      <w:bookmarkEnd w:id="13"/>
      <w:bookmarkEnd w:id="14"/>
      <w:bookmarkEnd w:id="15"/>
      <w:bookmarkEnd w:id="16"/>
      <w:bookmarkEnd w:id="17"/>
      <w:bookmarkEnd w:id="18"/>
      <w:bookmarkEnd w:id="19"/>
    </w:p>
    <w:p>
      <w:pPr>
        <w:pStyle w:val="Normal0"/>
        <w:spacing w:line="520" w:lineRule="exact"/>
        <w:ind w:firstLine="560" w:firstLineChars="200"/>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名称：湖南XX国际物流园第一期工程</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建设地点：湖南省长沙市长沙经济技术开发区</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建设单位：湖南省XX实业发展有限公司</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建设期限： 2年</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湖南XX国际物流园</w:t>
      </w:r>
      <w:r>
        <w:rPr>
          <w:rFonts w:ascii="宋体" w:hAnsi="宋体" w:hint="eastAsia"/>
          <w:sz w:val="28"/>
          <w:szCs w:val="28"/>
          <w:lang w:eastAsia="zh-CN"/>
        </w:rPr>
        <w:t>相关项目</w:t>
      </w:r>
      <w:r>
        <w:rPr>
          <w:rFonts w:ascii="宋体" w:hAnsi="宋体" w:hint="eastAsia"/>
          <w:sz w:val="28"/>
          <w:szCs w:val="28"/>
        </w:rPr>
        <w:t>拟建在长沙经济技术开发区内，东六线以东，319国道以南，东十线以西，漓湘路以北。</w:t>
      </w:r>
      <w:bookmarkStart w:id="20" w:name="_Toc513431153"/>
      <w:bookmarkStart w:id="21" w:name="_Toc513431323"/>
      <w:bookmarkStart w:id="22" w:name="_Toc526301444"/>
      <w:bookmarkStart w:id="23" w:name="_Toc513430974"/>
      <w:r>
        <w:rPr>
          <w:rFonts w:ascii="宋体" w:hAnsi="宋体" w:hint="eastAsia"/>
          <w:sz w:val="28"/>
          <w:szCs w:val="28"/>
        </w:rPr>
        <w:t>物流园总体规划占地3000亩，总投资10</w:t>
      </w:r>
      <w:r>
        <w:rPr>
          <w:rFonts w:ascii="宋体" w:hAnsi="宋体"/>
          <w:sz w:val="28"/>
          <w:szCs w:val="28"/>
        </w:rPr>
        <w:t>.8</w:t>
      </w:r>
      <w:r>
        <w:rPr>
          <w:rFonts w:ascii="宋体" w:hAnsi="宋体" w:hint="eastAsia"/>
          <w:sz w:val="28"/>
          <w:szCs w:val="28"/>
        </w:rPr>
        <w:t>亿元。</w:t>
      </w:r>
      <w:r>
        <w:rPr>
          <w:rFonts w:ascii="宋体" w:hAnsi="宋体" w:hint="eastAsia"/>
          <w:sz w:val="28"/>
          <w:szCs w:val="28"/>
          <w:lang w:eastAsia="zh-CN"/>
        </w:rPr>
        <w:t>相关项目</w:t>
      </w:r>
      <w:r>
        <w:rPr>
          <w:rFonts w:ascii="宋体" w:hAnsi="宋体" w:hint="eastAsia"/>
          <w:sz w:val="28"/>
          <w:szCs w:val="28"/>
        </w:rPr>
        <w:t>第一期工程总投资27604.6万元，总xx面积21.8万平方米，其中：仓储面积14万平方米，综合办公大楼2.8万平方米，集装箱堆场面积5万平方米，固定资产投资26804.6万元。</w:t>
      </w:r>
    </w:p>
    <w:p>
      <w:pPr>
        <w:pStyle w:val="Normal0"/>
        <w:spacing w:line="520" w:lineRule="exact"/>
        <w:ind w:firstLine="560" w:firstLineChars="200"/>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建设目标：</w:t>
      </w:r>
    </w:p>
    <w:p>
      <w:pPr>
        <w:pStyle w:val="Normal0"/>
        <w:numPr>
          <w:ilvl w:val="2"/>
          <w:numId w:val="14"/>
        </w:numPr>
        <w:spacing w:line="520" w:lineRule="exact"/>
        <w:rPr>
          <w:rFonts w:ascii="宋体" w:hAnsi="宋体" w:hint="eastAsia"/>
          <w:sz w:val="28"/>
          <w:szCs w:val="28"/>
        </w:rPr>
      </w:pPr>
      <w:r>
        <w:rPr>
          <w:rFonts w:ascii="宋体" w:hAnsi="宋体" w:hint="eastAsia"/>
          <w:sz w:val="28"/>
          <w:szCs w:val="28"/>
        </w:rPr>
        <w:t>货运吞吐量达到8000万吨以上，宏观物流产值25亿元以上；</w:t>
      </w:r>
    </w:p>
    <w:p>
      <w:pPr>
        <w:pStyle w:val="Normal0"/>
        <w:numPr>
          <w:ilvl w:val="2"/>
          <w:numId w:val="14"/>
        </w:numPr>
        <w:spacing w:line="520" w:lineRule="exact"/>
        <w:rPr>
          <w:rFonts w:ascii="宋体" w:hAnsi="宋体" w:hint="eastAsia"/>
          <w:sz w:val="28"/>
          <w:szCs w:val="28"/>
        </w:rPr>
      </w:pPr>
      <w:r>
        <w:rPr>
          <w:rFonts w:ascii="宋体" w:hAnsi="宋体" w:hint="eastAsia"/>
          <w:sz w:val="28"/>
          <w:szCs w:val="28"/>
        </w:rPr>
        <w:t>与50家左右设施通用、功能齐全、服务完善的配送中心建立物流战略同盟，形成高效的物流服务网络，为顾客提供全方位、全过程、全天候的现代物流服务；</w:t>
      </w:r>
    </w:p>
    <w:p>
      <w:pPr>
        <w:pStyle w:val="Normal0"/>
        <w:numPr>
          <w:ilvl w:val="2"/>
          <w:numId w:val="14"/>
        </w:numPr>
        <w:spacing w:line="520" w:lineRule="exact"/>
        <w:rPr>
          <w:rFonts w:ascii="宋体" w:hAnsi="宋体" w:hint="eastAsia"/>
          <w:sz w:val="28"/>
          <w:szCs w:val="28"/>
        </w:rPr>
        <w:sectPr>
          <w:headerReference w:type="default" r:id="rId13"/>
          <w:footerReference w:type="even" r:id="rId14"/>
          <w:footerReference w:type="default" r:id="rId15"/>
          <w:pgSz w:w="11906" w:h="16838"/>
          <w:pgMar w:top="1440" w:right="1474" w:bottom="1440" w:left="1758" w:header="851" w:footer="992" w:gutter="0"/>
          <w:pgNumType w:start="1"/>
          <w:cols w:num="1" w:space="425"/>
          <w:docGrid w:type="linesAndChars" w:linePitch="312" w:charSpace="-3532"/>
        </w:sectPr>
      </w:pPr>
      <w:r>
        <w:rPr>
          <w:rFonts w:ascii="宋体" w:hAnsi="宋体" w:hint="eastAsia"/>
          <w:sz w:val="28"/>
          <w:szCs w:val="28"/>
        </w:rPr>
        <w:t>建立健全物流</w:t>
      </w:r>
      <w:r>
        <w:rPr>
          <w:rFonts w:ascii="宋体" w:hAnsi="宋体" w:hint="eastAsia"/>
          <w:sz w:val="28"/>
          <w:szCs w:val="28"/>
          <w:lang w:eastAsia="zh-CN"/>
        </w:rPr>
        <w:t>管理管控</w:t>
      </w:r>
      <w:r>
        <w:rPr>
          <w:rFonts w:ascii="宋体" w:hAnsi="宋体" w:hint="eastAsia"/>
          <w:sz w:val="28"/>
          <w:szCs w:val="28"/>
        </w:rPr>
        <w:t>信息系统，使之具有物流</w:t>
      </w:r>
      <w:r>
        <w:rPr>
          <w:rFonts w:ascii="宋体" w:hAnsi="宋体" w:hint="eastAsia"/>
          <w:sz w:val="28"/>
          <w:szCs w:val="28"/>
          <w:lang w:eastAsia="zh-CN"/>
        </w:rPr>
        <w:t>管理管控</w:t>
      </w:r>
      <w:r>
        <w:rPr>
          <w:rFonts w:ascii="宋体" w:hAnsi="宋体" w:hint="eastAsia"/>
          <w:sz w:val="28"/>
          <w:szCs w:val="28"/>
        </w:rPr>
        <w:t>、海关</w:t>
      </w:r>
      <w:r>
        <w:rPr>
          <w:rFonts w:ascii="宋体" w:hAnsi="宋体" w:hint="eastAsia"/>
          <w:sz w:val="28"/>
          <w:szCs w:val="28"/>
          <w:lang w:eastAsia="zh-CN"/>
        </w:rPr>
        <w:t>管理管控</w:t>
      </w:r>
      <w:r>
        <w:rPr>
          <w:rFonts w:ascii="宋体" w:hAnsi="宋体" w:hint="eastAsia"/>
          <w:sz w:val="28"/>
          <w:szCs w:val="28"/>
        </w:rPr>
        <w:t>、信息传递、库存控制、货位</w:t>
      </w:r>
      <w:r>
        <w:rPr>
          <w:rFonts w:ascii="宋体" w:hAnsi="宋体" w:hint="eastAsia"/>
          <w:sz w:val="28"/>
          <w:szCs w:val="28"/>
          <w:lang w:eastAsia="zh-CN"/>
        </w:rPr>
        <w:t>管理管控</w:t>
      </w:r>
      <w:r>
        <w:rPr>
          <w:rFonts w:ascii="宋体" w:hAnsi="宋体" w:hint="eastAsia"/>
          <w:sz w:val="28"/>
          <w:szCs w:val="28"/>
        </w:rPr>
        <w:t>、配载</w:t>
      </w:r>
      <w:r>
        <w:rPr>
          <w:rFonts w:ascii="宋体" w:hAnsi="宋体" w:hint="eastAsia"/>
          <w:sz w:val="28"/>
          <w:szCs w:val="28"/>
          <w:lang w:eastAsia="zh-CN"/>
        </w:rPr>
        <w:t>管理管控</w:t>
      </w:r>
      <w:r>
        <w:rPr>
          <w:rFonts w:ascii="宋体" w:hAnsi="宋体" w:hint="eastAsia"/>
          <w:sz w:val="28"/>
          <w:szCs w:val="28"/>
        </w:rPr>
        <w:t>和成本控制等各种功能；</w:t>
      </w:r>
    </w:p>
    <w:p>
      <w:pPr>
        <w:pStyle w:val="Normal0"/>
        <w:numPr>
          <w:ilvl w:val="2"/>
          <w:numId w:val="1"/>
        </w:numPr>
        <w:spacing w:line="520" w:lineRule="exact"/>
        <w:rPr>
          <w:rFonts w:ascii="宋体" w:hAnsi="宋体" w:hint="eastAsia"/>
          <w:sz w:val="28"/>
          <w:szCs w:val="28"/>
        </w:rPr>
      </w:pPr>
      <w:r>
        <w:rPr>
          <w:rFonts w:ascii="宋体" w:hAnsi="宋体" w:hint="eastAsia"/>
          <w:sz w:val="28"/>
          <w:szCs w:val="28"/>
        </w:rPr>
        <w:t>引进第三方物流企业50家以上，为60家左右大型工商企业提供供应链</w:t>
      </w:r>
      <w:r>
        <w:rPr>
          <w:rFonts w:ascii="宋体" w:hAnsi="宋体" w:hint="eastAsia"/>
          <w:sz w:val="28"/>
          <w:szCs w:val="28"/>
          <w:lang w:eastAsia="zh-CN"/>
        </w:rPr>
        <w:t>管理管控</w:t>
      </w:r>
      <w:r>
        <w:rPr>
          <w:rFonts w:ascii="宋体" w:hAnsi="宋体" w:hint="eastAsia"/>
          <w:sz w:val="28"/>
          <w:szCs w:val="28"/>
        </w:rPr>
        <w:t>及全程物流服务，吸引5—10万名个人或企业成为园区的会员；</w:t>
      </w:r>
    </w:p>
    <w:p>
      <w:pPr>
        <w:pStyle w:val="Normal0"/>
        <w:numPr>
          <w:ilvl w:val="2"/>
          <w:numId w:val="1"/>
        </w:numPr>
        <w:spacing w:line="520" w:lineRule="exact"/>
        <w:rPr>
          <w:rFonts w:ascii="宋体" w:hAnsi="宋体" w:hint="eastAsia"/>
          <w:sz w:val="28"/>
          <w:szCs w:val="28"/>
        </w:rPr>
      </w:pPr>
      <w:r>
        <w:rPr>
          <w:rFonts w:ascii="宋体" w:hAnsi="宋体" w:hint="eastAsia"/>
          <w:sz w:val="28"/>
          <w:szCs w:val="28"/>
        </w:rPr>
        <w:t xml:space="preserve">现代综合性物流服务体系初步形成。 </w:t>
      </w:r>
    </w:p>
    <w:bookmarkEnd w:id="20"/>
    <w:bookmarkEnd w:id="21"/>
    <w:bookmarkEnd w:id="22"/>
    <w:bookmarkEnd w:id="23"/>
    <w:p>
      <w:pPr>
        <w:pStyle w:val="NormalIndent"/>
        <w:spacing w:line="520" w:lineRule="exact"/>
        <w:ind w:firstLine="560" w:firstLineChars="200"/>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经济效益：</w:t>
      </w:r>
      <w:r>
        <w:rPr>
          <w:rFonts w:ascii="宋体" w:hAnsi="宋体" w:hint="eastAsia"/>
          <w:sz w:val="28"/>
          <w:szCs w:val="28"/>
          <w:lang w:eastAsia="zh-CN"/>
        </w:rPr>
        <w:t>相关项目</w:t>
      </w:r>
      <w:r>
        <w:rPr>
          <w:rFonts w:ascii="宋体" w:hAnsi="宋体" w:hint="eastAsia"/>
          <w:sz w:val="28"/>
          <w:szCs w:val="28"/>
        </w:rPr>
        <w:t>第一期工程实施期内（12年，含2年建设期）实现营业收入107344万元，实现利润43788万元，上缴税收23583万元，安排就业150人，</w:t>
      </w:r>
      <w:r>
        <w:rPr>
          <w:rFonts w:ascii="宋体" w:hAnsi="宋体" w:hint="eastAsia"/>
          <w:sz w:val="28"/>
          <w:szCs w:val="28"/>
          <w:lang w:eastAsia="zh-CN"/>
        </w:rPr>
        <w:t>相关项目</w:t>
      </w:r>
      <w:r>
        <w:rPr>
          <w:rFonts w:ascii="宋体" w:hAnsi="宋体" w:hint="eastAsia"/>
          <w:sz w:val="28"/>
          <w:szCs w:val="28"/>
        </w:rPr>
        <w:t>具有良好的经济效益。</w:t>
      </w:r>
    </w:p>
    <w:p>
      <w:pPr>
        <w:pStyle w:val="NormalIndent"/>
        <w:spacing w:line="520" w:lineRule="exact"/>
        <w:ind w:firstLine="560" w:firstLineChars="200"/>
        <w:rPr>
          <w:rFonts w:ascii="宋体" w:hAnsi="宋体" w:hint="eastAsia"/>
          <w:sz w:val="28"/>
          <w:szCs w:val="28"/>
        </w:rPr>
      </w:pPr>
      <w:r>
        <w:rPr>
          <w:rFonts w:ascii="宋体" w:hAnsi="宋体" w:hint="eastAsia"/>
          <w:sz w:val="28"/>
          <w:szCs w:val="28"/>
        </w:rPr>
        <w:t>本</w:t>
      </w:r>
      <w:r>
        <w:rPr>
          <w:rFonts w:ascii="宋体" w:hAnsi="宋体" w:hint="eastAsia"/>
          <w:sz w:val="28"/>
          <w:szCs w:val="28"/>
          <w:lang w:eastAsia="zh-CN"/>
        </w:rPr>
        <w:t>相关项目</w:t>
      </w:r>
      <w:r>
        <w:rPr>
          <w:rFonts w:ascii="宋体" w:hAnsi="宋体" w:hint="eastAsia"/>
          <w:sz w:val="28"/>
          <w:szCs w:val="28"/>
        </w:rPr>
        <w:t>的建设对促进我省物流业的发展，特别是长沙经济技术开发区、长沙市的经济发展和满足长沙地区的现实物流需求，具有十分重要的现实意义和社会效益。</w:t>
      </w:r>
    </w:p>
    <w:p>
      <w:pPr>
        <w:pStyle w:val="Heading2"/>
        <w:spacing w:line="520" w:lineRule="exact"/>
        <w:rPr>
          <w:rFonts w:hint="eastAsia"/>
          <w:color w:val="auto"/>
          <w:sz w:val="28"/>
          <w:szCs w:val="28"/>
        </w:rPr>
      </w:pPr>
      <w:bookmarkStart w:id="24" w:name="_Toc526301328"/>
      <w:bookmarkStart w:id="25" w:name="_Toc19449418"/>
      <w:bookmarkStart w:id="26" w:name="_Toc20275451"/>
      <w:bookmarkStart w:id="27" w:name="_Toc9141246"/>
      <w:bookmarkStart w:id="28" w:name="_Toc45100425"/>
      <w:bookmarkStart w:id="29" w:name="_Toc8921414"/>
      <w:bookmarkStart w:id="30" w:name="_Toc45100300"/>
      <w:bookmarkStart w:id="31" w:name="_Toc20275631"/>
      <w:bookmarkStart w:id="32" w:name="_Toc45100561"/>
      <w:r>
        <w:rPr>
          <w:rFonts w:hint="eastAsia"/>
          <w:color w:val="auto"/>
          <w:sz w:val="28"/>
          <w:szCs w:val="28"/>
        </w:rPr>
        <w:t>2、编制依据</w:t>
      </w:r>
      <w:bookmarkEnd w:id="24"/>
      <w:r>
        <w:rPr>
          <w:rFonts w:hint="eastAsia"/>
          <w:color w:val="auto"/>
          <w:sz w:val="28"/>
          <w:szCs w:val="28"/>
        </w:rPr>
        <w:t>及研究范围</w:t>
      </w:r>
      <w:bookmarkEnd w:id="25"/>
      <w:bookmarkEnd w:id="26"/>
      <w:bookmarkEnd w:id="27"/>
      <w:bookmarkEnd w:id="28"/>
      <w:bookmarkEnd w:id="29"/>
      <w:bookmarkEnd w:id="30"/>
      <w:bookmarkEnd w:id="31"/>
      <w:bookmarkEnd w:id="32"/>
    </w:p>
    <w:p>
      <w:pPr>
        <w:pStyle w:val="Heading3"/>
        <w:spacing w:before="0" w:after="0" w:line="520" w:lineRule="exact"/>
        <w:rPr>
          <w:rFonts w:ascii="宋体" w:eastAsia="宋体" w:hAnsi="宋体" w:hint="eastAsia"/>
          <w:szCs w:val="28"/>
        </w:rPr>
      </w:pPr>
      <w:bookmarkStart w:id="33" w:name="_Toc9141247"/>
      <w:bookmarkStart w:id="34" w:name="_Toc19449419"/>
      <w:bookmarkStart w:id="35" w:name="_Toc20275452"/>
      <w:bookmarkStart w:id="36" w:name="_Toc8921415"/>
      <w:r>
        <w:rPr>
          <w:rFonts w:ascii="宋体" w:eastAsia="宋体" w:hAnsi="宋体" w:hint="eastAsia"/>
          <w:szCs w:val="28"/>
        </w:rPr>
        <w:t>2.1、编制依据</w:t>
      </w:r>
      <w:bookmarkEnd w:id="33"/>
      <w:bookmarkEnd w:id="34"/>
      <w:bookmarkEnd w:id="35"/>
      <w:bookmarkEnd w:id="36"/>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国家发展与改革委员会发改办经贸[2003]51号“国家发展与改革委员会办公厅关于湖南XX国际物流园一期工程</w:t>
      </w:r>
      <w:r>
        <w:rPr>
          <w:rFonts w:ascii="宋体" w:hAnsi="宋体" w:hint="eastAsia"/>
          <w:sz w:val="28"/>
          <w:szCs w:val="28"/>
          <w:lang w:eastAsia="zh-CN"/>
        </w:rPr>
        <w:t>相关项目</w:t>
      </w:r>
      <w:r>
        <w:rPr>
          <w:rFonts w:ascii="宋体" w:hAnsi="宋体" w:hint="eastAsia"/>
          <w:sz w:val="28"/>
          <w:szCs w:val="28"/>
        </w:rPr>
        <w:t>审批问题的复函”；</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湖南省发展</w:t>
      </w:r>
      <w:r>
        <w:rPr>
          <w:rFonts w:ascii="宋体" w:hAnsi="宋体" w:hint="eastAsia"/>
          <w:sz w:val="28"/>
          <w:szCs w:val="28"/>
          <w:lang w:eastAsia="zh-CN"/>
        </w:rPr>
        <w:t>相关计划</w:t>
      </w:r>
      <w:r>
        <w:rPr>
          <w:rFonts w:ascii="宋体" w:hAnsi="宋体" w:hint="eastAsia"/>
          <w:sz w:val="28"/>
          <w:szCs w:val="28"/>
        </w:rPr>
        <w:t>委员会湘计经贸[2003]256号“关于湖南XX国际物流园一期工程</w:t>
      </w:r>
      <w:r>
        <w:rPr>
          <w:rFonts w:ascii="宋体" w:hAnsi="宋体" w:hint="eastAsia"/>
          <w:sz w:val="28"/>
          <w:szCs w:val="28"/>
          <w:lang w:eastAsia="zh-CN"/>
        </w:rPr>
        <w:t>相关项目</w:t>
      </w:r>
      <w:r>
        <w:rPr>
          <w:rFonts w:ascii="宋体" w:hAnsi="宋体" w:hint="eastAsia"/>
          <w:sz w:val="28"/>
          <w:szCs w:val="28"/>
        </w:rPr>
        <w:t>建议书的批复”；</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长沙市发展</w:t>
      </w:r>
      <w:r>
        <w:rPr>
          <w:rFonts w:ascii="宋体" w:hAnsi="宋体" w:hint="eastAsia"/>
          <w:sz w:val="28"/>
          <w:szCs w:val="28"/>
          <w:lang w:eastAsia="zh-CN"/>
        </w:rPr>
        <w:t>相关计划</w:t>
      </w:r>
      <w:r>
        <w:rPr>
          <w:rFonts w:ascii="宋体" w:hAnsi="宋体" w:hint="eastAsia"/>
          <w:sz w:val="28"/>
          <w:szCs w:val="28"/>
        </w:rPr>
        <w:t>委员会长计经贸[2003]335号“长沙市发展</w:t>
      </w:r>
      <w:r>
        <w:rPr>
          <w:rFonts w:ascii="宋体" w:hAnsi="宋体" w:hint="eastAsia"/>
          <w:sz w:val="28"/>
          <w:szCs w:val="28"/>
          <w:lang w:eastAsia="zh-CN"/>
        </w:rPr>
        <w:t>相关计划</w:t>
      </w:r>
      <w:r>
        <w:rPr>
          <w:rFonts w:ascii="宋体" w:hAnsi="宋体" w:hint="eastAsia"/>
          <w:sz w:val="28"/>
          <w:szCs w:val="28"/>
        </w:rPr>
        <w:t>委员会转发省发展</w:t>
      </w:r>
      <w:r>
        <w:rPr>
          <w:rFonts w:ascii="宋体" w:hAnsi="宋体" w:hint="eastAsia"/>
          <w:sz w:val="28"/>
          <w:szCs w:val="28"/>
          <w:lang w:eastAsia="zh-CN"/>
        </w:rPr>
        <w:t>相关计划</w:t>
      </w:r>
      <w:r>
        <w:rPr>
          <w:rFonts w:ascii="宋体" w:hAnsi="宋体" w:hint="eastAsia"/>
          <w:sz w:val="28"/>
          <w:szCs w:val="28"/>
        </w:rPr>
        <w:t>委员会《关于湖南XX国际物流园一期工程</w:t>
      </w:r>
      <w:r>
        <w:rPr>
          <w:rFonts w:ascii="宋体" w:hAnsi="宋体" w:hint="eastAsia"/>
          <w:sz w:val="28"/>
          <w:szCs w:val="28"/>
          <w:lang w:eastAsia="zh-CN"/>
        </w:rPr>
        <w:t>相关项目</w:t>
      </w:r>
      <w:r>
        <w:rPr>
          <w:rFonts w:ascii="宋体" w:hAnsi="宋体" w:hint="eastAsia"/>
          <w:sz w:val="28"/>
          <w:szCs w:val="28"/>
        </w:rPr>
        <w:t>建议书的批复》的通知；</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湖南省XX实业发展有限公司XX实业[2002]021号“关于申请湖南XX国际物流园一期工程</w:t>
      </w:r>
      <w:r>
        <w:rPr>
          <w:rFonts w:ascii="宋体" w:hAnsi="宋体" w:hint="eastAsia"/>
          <w:sz w:val="28"/>
          <w:szCs w:val="28"/>
          <w:lang w:eastAsia="zh-CN"/>
        </w:rPr>
        <w:t>相关项目</w:t>
      </w:r>
      <w:r>
        <w:rPr>
          <w:rFonts w:ascii="宋体" w:hAnsi="宋体" w:hint="eastAsia"/>
          <w:sz w:val="28"/>
          <w:szCs w:val="28"/>
        </w:rPr>
        <w:t>立项的报告”；</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国家、湖南省、长沙市国民经济和社会发展第十个五年</w:t>
      </w:r>
      <w:r>
        <w:rPr>
          <w:rFonts w:ascii="宋体" w:hAnsi="宋体" w:hint="eastAsia"/>
          <w:sz w:val="28"/>
          <w:szCs w:val="28"/>
          <w:lang w:eastAsia="zh-CN"/>
        </w:rPr>
        <w:t>相关计划</w:t>
      </w:r>
      <w:r>
        <w:rPr>
          <w:rFonts w:ascii="宋体" w:hAnsi="宋体" w:hint="eastAsia"/>
          <w:sz w:val="28"/>
          <w:szCs w:val="28"/>
        </w:rPr>
        <w:t>；</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长沙市商贸流通业发展“十五”</w:t>
      </w:r>
      <w:r>
        <w:rPr>
          <w:rFonts w:ascii="宋体" w:hAnsi="宋体" w:hint="eastAsia"/>
          <w:sz w:val="28"/>
          <w:szCs w:val="28"/>
          <w:lang w:eastAsia="zh-CN"/>
        </w:rPr>
        <w:t>相关计划</w:t>
      </w:r>
      <w:r>
        <w:rPr>
          <w:rFonts w:ascii="宋体" w:hAnsi="宋体" w:hint="eastAsia"/>
          <w:sz w:val="28"/>
          <w:szCs w:val="28"/>
        </w:rPr>
        <w:t>；</w:t>
      </w:r>
    </w:p>
    <w:p>
      <w:pPr>
        <w:pStyle w:val="BodyText2"/>
        <w:numPr>
          <w:ilvl w:val="0"/>
          <w:numId w:val="2"/>
        </w:numPr>
        <w:tabs>
          <w:tab w:val="clear" w:pos="525"/>
          <w:tab w:val="left" w:pos="900"/>
        </w:tabs>
        <w:spacing w:line="520" w:lineRule="exact"/>
        <w:ind w:left="900"/>
        <w:rPr>
          <w:rFonts w:ascii="宋体" w:hAnsi="宋体" w:hint="eastAsia"/>
          <w:sz w:val="28"/>
          <w:szCs w:val="28"/>
        </w:rPr>
        <w:sectPr>
          <w:headerReference w:type="default" r:id="rId16"/>
          <w:footerReference w:type="even" r:id="rId17"/>
          <w:footerReference w:type="default" r:id="rId18"/>
          <w:type w:val="nextPage"/>
          <w:pgSz w:w="11906" w:h="16838"/>
          <w:pgMar w:top="1440" w:right="1474" w:bottom="1440" w:left="1758" w:header="851" w:footer="992" w:gutter="0"/>
          <w:pgNumType w:start="2"/>
          <w:cols w:num="1" w:space="425"/>
          <w:titlePg w:val="0"/>
          <w:docGrid w:type="linesAndChars" w:linePitch="312" w:charSpace="-3532"/>
        </w:sectPr>
      </w:pPr>
    </w:p>
    <w:p>
      <w:pPr>
        <w:pStyle w:val="BodyText2"/>
        <w:numPr>
          <w:ilvl w:val="0"/>
          <w:numId w:val="0"/>
        </w:numPr>
        <w:tabs>
          <w:tab w:val="clear" w:pos="525"/>
          <w:tab w:val="left" w:pos="900"/>
        </w:tabs>
        <w:spacing w:line="520" w:lineRule="exact"/>
        <w:ind w:left="525"/>
        <w:rPr>
          <w:rFonts w:ascii="宋体" w:hAnsi="宋体" w:hint="eastAsia"/>
          <w:sz w:val="28"/>
          <w:szCs w:val="28"/>
        </w:rPr>
      </w:pPr>
      <w:r>
        <w:rPr>
          <w:rFonts w:ascii="宋体" w:hAnsi="宋体" w:hint="eastAsia"/>
          <w:sz w:val="28"/>
          <w:szCs w:val="28"/>
        </w:rPr>
        <w:t>《长沙经济技术开发区“十五”期间产业发展规划及2010年产业发展纲要》；</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国家计委、建设部颁布的《建设工程</w:t>
      </w:r>
      <w:r>
        <w:rPr>
          <w:rFonts w:ascii="宋体" w:hAnsi="宋体" w:hint="eastAsia"/>
          <w:sz w:val="28"/>
          <w:szCs w:val="28"/>
          <w:lang w:eastAsia="zh-CN"/>
        </w:rPr>
        <w:t>相关项目</w:t>
      </w:r>
      <w:r>
        <w:rPr>
          <w:rFonts w:ascii="宋体" w:hAnsi="宋体" w:hint="eastAsia"/>
          <w:sz w:val="28"/>
          <w:szCs w:val="28"/>
        </w:rPr>
        <w:t>经济评价方法与参数》；</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 xml:space="preserve">国家经贸委中小企业对外合作协调中心〔2001〕6号《关于在长沙市开展中小企业社会化物流服务体系试点工作的通知》； </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长沙经济技术开发区管委会长管经贸〔2002〕3号《关于将“湖南XX国际物流园”列为开发区重点扶持</w:t>
      </w:r>
      <w:r>
        <w:rPr>
          <w:rFonts w:ascii="宋体" w:hAnsi="宋体" w:hint="eastAsia"/>
          <w:sz w:val="28"/>
          <w:szCs w:val="28"/>
          <w:lang w:eastAsia="zh-CN"/>
        </w:rPr>
        <w:t>相关项目</w:t>
      </w:r>
      <w:r>
        <w:rPr>
          <w:rFonts w:ascii="宋体" w:hAnsi="宋体" w:hint="eastAsia"/>
          <w:sz w:val="28"/>
          <w:szCs w:val="28"/>
        </w:rPr>
        <w:t>的批复》；</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国家经贸委中小企业对外合作协调中心〔2002〕11号《关于同意在长沙经济技术开发区（国家级）建立“湖南XX中小企业国际物流示范园”的复函》；</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土地使用意向书（长沙经济技术开发区与湖南省XX实业有限公司签订）；</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湖南XX国际物流园总体规划；</w:t>
      </w:r>
    </w:p>
    <w:p>
      <w:pPr>
        <w:pStyle w:val="BodyText2"/>
        <w:numPr>
          <w:ilvl w:val="0"/>
          <w:numId w:val="2"/>
        </w:numPr>
        <w:tabs>
          <w:tab w:val="clear" w:pos="525"/>
          <w:tab w:val="left" w:pos="900"/>
        </w:tabs>
        <w:spacing w:line="520" w:lineRule="exact"/>
        <w:ind w:left="900"/>
        <w:rPr>
          <w:rFonts w:ascii="宋体" w:hAnsi="宋体" w:hint="eastAsia"/>
          <w:sz w:val="28"/>
          <w:szCs w:val="28"/>
        </w:rPr>
      </w:pPr>
      <w:r>
        <w:rPr>
          <w:rFonts w:ascii="宋体" w:hAnsi="宋体" w:hint="eastAsia"/>
          <w:sz w:val="28"/>
          <w:szCs w:val="28"/>
        </w:rPr>
        <w:t>湖南XX国际物流园公共物流信息系统规划</w:t>
      </w:r>
      <w:r>
        <w:rPr>
          <w:rFonts w:ascii="宋体" w:hAnsi="宋体" w:hint="eastAsia"/>
          <w:sz w:val="28"/>
          <w:szCs w:val="28"/>
          <w:lang w:eastAsia="zh-CN"/>
        </w:rPr>
        <w:t>合适的方案</w:t>
      </w:r>
      <w:r>
        <w:rPr>
          <w:rFonts w:ascii="宋体" w:hAnsi="宋体" w:hint="eastAsia"/>
          <w:sz w:val="28"/>
          <w:szCs w:val="28"/>
        </w:rPr>
        <w:t>；</w:t>
      </w:r>
    </w:p>
    <w:p>
      <w:pPr>
        <w:pStyle w:val="BodyText2"/>
        <w:numPr>
          <w:ilvl w:val="0"/>
          <w:numId w:val="2"/>
        </w:numPr>
        <w:tabs>
          <w:tab w:val="clear" w:pos="525"/>
          <w:tab w:val="left" w:pos="900"/>
        </w:tabs>
        <w:spacing w:line="520" w:lineRule="exact"/>
        <w:ind w:left="900"/>
        <w:rPr>
          <w:rFonts w:ascii="宋体" w:hAnsi="宋体" w:hint="eastAsia"/>
          <w:bCs/>
          <w:sz w:val="28"/>
          <w:szCs w:val="28"/>
        </w:rPr>
      </w:pPr>
      <w:r>
        <w:rPr>
          <w:rFonts w:ascii="宋体" w:hAnsi="宋体" w:hint="eastAsia"/>
          <w:sz w:val="28"/>
          <w:szCs w:val="28"/>
        </w:rPr>
        <w:t>其它文件、协议等。</w:t>
      </w:r>
    </w:p>
    <w:p>
      <w:pPr>
        <w:pStyle w:val="Heading3"/>
        <w:spacing w:before="0" w:after="0" w:line="520" w:lineRule="exact"/>
        <w:rPr>
          <w:rFonts w:ascii="宋体" w:eastAsia="宋体" w:hAnsi="宋体" w:hint="eastAsia"/>
          <w:szCs w:val="28"/>
        </w:rPr>
      </w:pPr>
      <w:bookmarkStart w:id="37" w:name="_Toc9141249"/>
      <w:bookmarkStart w:id="38" w:name="_Toc8921417"/>
      <w:bookmarkStart w:id="39" w:name="_Toc20275453"/>
      <w:bookmarkStart w:id="40" w:name="_Toc19449421"/>
      <w:r>
        <w:rPr>
          <w:rFonts w:ascii="宋体" w:eastAsia="宋体" w:hAnsi="宋体"/>
          <w:szCs w:val="28"/>
        </w:rPr>
        <w:t>2.</w:t>
      </w:r>
      <w:r>
        <w:rPr>
          <w:rFonts w:ascii="宋体" w:eastAsia="宋体" w:hAnsi="宋体" w:hint="eastAsia"/>
          <w:szCs w:val="28"/>
        </w:rPr>
        <w:t>2、研究范围</w:t>
      </w:r>
      <w:bookmarkEnd w:id="37"/>
      <w:bookmarkEnd w:id="38"/>
      <w:bookmarkEnd w:id="39"/>
      <w:bookmarkEnd w:id="40"/>
    </w:p>
    <w:p>
      <w:pPr>
        <w:pStyle w:val="BodyTextIndent2"/>
        <w:numPr>
          <w:ilvl w:val="0"/>
          <w:numId w:val="3"/>
        </w:numPr>
        <w:tabs>
          <w:tab w:val="clear" w:pos="971"/>
        </w:tabs>
        <w:spacing w:line="520" w:lineRule="exact"/>
        <w:ind w:firstLineChars="0"/>
        <w:rPr>
          <w:rFonts w:hint="eastAsia"/>
          <w:color w:val="auto"/>
          <w:sz w:val="28"/>
          <w:szCs w:val="28"/>
        </w:rPr>
      </w:pPr>
      <w:r>
        <w:rPr>
          <w:rFonts w:hint="eastAsia"/>
          <w:color w:val="auto"/>
          <w:sz w:val="28"/>
          <w:szCs w:val="28"/>
          <w:lang w:eastAsia="zh-CN"/>
        </w:rPr>
        <w:t>相关项目</w:t>
      </w:r>
      <w:r>
        <w:rPr>
          <w:rFonts w:hint="eastAsia"/>
          <w:color w:val="auto"/>
          <w:sz w:val="28"/>
          <w:szCs w:val="28"/>
        </w:rPr>
        <w:t>建设的背景和必要性</w:t>
      </w:r>
    </w:p>
    <w:p>
      <w:pPr>
        <w:pStyle w:val="BodyTextIndent2"/>
        <w:numPr>
          <w:ilvl w:val="0"/>
          <w:numId w:val="3"/>
        </w:numPr>
        <w:spacing w:line="520" w:lineRule="exact"/>
        <w:ind w:firstLineChars="0"/>
        <w:rPr>
          <w:rFonts w:hint="eastAsia"/>
          <w:color w:val="auto"/>
          <w:sz w:val="28"/>
          <w:szCs w:val="28"/>
        </w:rPr>
      </w:pPr>
      <w:r>
        <w:rPr>
          <w:rFonts w:hint="eastAsia"/>
          <w:color w:val="auto"/>
          <w:sz w:val="28"/>
          <w:szCs w:val="28"/>
          <w:lang w:eastAsia="zh-CN"/>
        </w:rPr>
        <w:t>相关项目</w:t>
      </w:r>
      <w:r>
        <w:rPr>
          <w:rFonts w:hint="eastAsia"/>
          <w:color w:val="auto"/>
          <w:sz w:val="28"/>
          <w:szCs w:val="28"/>
        </w:rPr>
        <w:t>投资主体的情况</w:t>
      </w:r>
    </w:p>
    <w:p>
      <w:pPr>
        <w:pStyle w:val="BodyTextIndent2"/>
        <w:numPr>
          <w:ilvl w:val="0"/>
          <w:numId w:val="3"/>
        </w:numPr>
        <w:spacing w:line="520" w:lineRule="exact"/>
        <w:ind w:firstLineChars="0"/>
        <w:rPr>
          <w:rFonts w:hint="eastAsia"/>
          <w:color w:val="auto"/>
          <w:sz w:val="28"/>
          <w:szCs w:val="28"/>
        </w:rPr>
      </w:pPr>
      <w:r>
        <w:rPr>
          <w:rFonts w:hint="eastAsia"/>
          <w:color w:val="auto"/>
          <w:sz w:val="28"/>
          <w:szCs w:val="28"/>
        </w:rPr>
        <w:t>行业分析及市场预测</w:t>
      </w:r>
    </w:p>
    <w:p>
      <w:pPr>
        <w:pStyle w:val="BodyTextIndent2"/>
        <w:numPr>
          <w:ilvl w:val="0"/>
          <w:numId w:val="3"/>
        </w:numPr>
        <w:spacing w:line="520" w:lineRule="exact"/>
        <w:ind w:firstLineChars="0"/>
        <w:rPr>
          <w:rFonts w:hint="eastAsia"/>
          <w:color w:val="auto"/>
          <w:sz w:val="28"/>
          <w:szCs w:val="28"/>
        </w:rPr>
      </w:pPr>
      <w:r>
        <w:rPr>
          <w:rFonts w:hint="eastAsia"/>
          <w:color w:val="auto"/>
          <w:sz w:val="28"/>
          <w:szCs w:val="28"/>
          <w:lang w:eastAsia="zh-CN"/>
        </w:rPr>
        <w:t>相关项目</w:t>
      </w:r>
      <w:r>
        <w:rPr>
          <w:rFonts w:hint="eastAsia"/>
          <w:color w:val="auto"/>
          <w:sz w:val="28"/>
          <w:szCs w:val="28"/>
        </w:rPr>
        <w:t>选址及建设条件</w:t>
      </w:r>
    </w:p>
    <w:p>
      <w:pPr>
        <w:pStyle w:val="BodyTextIndent2"/>
        <w:numPr>
          <w:ilvl w:val="0"/>
          <w:numId w:val="3"/>
        </w:numPr>
        <w:spacing w:line="520" w:lineRule="exact"/>
        <w:ind w:firstLineChars="0"/>
        <w:rPr>
          <w:rFonts w:hint="eastAsia"/>
          <w:color w:val="auto"/>
          <w:sz w:val="28"/>
          <w:szCs w:val="28"/>
        </w:rPr>
      </w:pPr>
      <w:r>
        <w:rPr>
          <w:rFonts w:hint="eastAsia"/>
          <w:color w:val="auto"/>
          <w:sz w:val="28"/>
          <w:szCs w:val="28"/>
          <w:lang w:eastAsia="zh-CN"/>
        </w:rPr>
        <w:t>相关项目</w:t>
      </w:r>
      <w:r>
        <w:rPr>
          <w:rFonts w:hint="eastAsia"/>
          <w:color w:val="auto"/>
          <w:sz w:val="28"/>
          <w:szCs w:val="28"/>
        </w:rPr>
        <w:t>布局及及各部分功能定位</w:t>
      </w:r>
    </w:p>
    <w:p>
      <w:pPr>
        <w:pStyle w:val="BodyTextIndent2"/>
        <w:numPr>
          <w:ilvl w:val="0"/>
          <w:numId w:val="3"/>
        </w:numPr>
        <w:spacing w:line="520" w:lineRule="exact"/>
        <w:ind w:firstLineChars="0"/>
        <w:rPr>
          <w:color w:val="auto"/>
          <w:sz w:val="28"/>
          <w:szCs w:val="28"/>
        </w:rPr>
      </w:pPr>
      <w:r>
        <w:rPr>
          <w:rFonts w:hint="eastAsia"/>
          <w:color w:val="auto"/>
          <w:sz w:val="28"/>
          <w:szCs w:val="28"/>
          <w:lang w:eastAsia="zh-CN"/>
        </w:rPr>
        <w:t>相关项目</w:t>
      </w:r>
      <w:r>
        <w:rPr>
          <w:rFonts w:hint="eastAsia"/>
          <w:color w:val="auto"/>
          <w:sz w:val="28"/>
          <w:szCs w:val="28"/>
        </w:rPr>
        <w:t>组织及</w:t>
      </w:r>
      <w:r>
        <w:rPr>
          <w:rFonts w:hint="eastAsia"/>
          <w:color w:val="auto"/>
          <w:sz w:val="28"/>
          <w:szCs w:val="28"/>
          <w:lang w:eastAsia="zh-CN"/>
        </w:rPr>
        <w:t>管理管控</w:t>
      </w:r>
      <w:r>
        <w:rPr>
          <w:rFonts w:hint="eastAsia"/>
          <w:color w:val="auto"/>
          <w:sz w:val="28"/>
          <w:szCs w:val="28"/>
        </w:rPr>
        <w:t>系统</w:t>
      </w:r>
    </w:p>
    <w:p>
      <w:pPr>
        <w:pStyle w:val="BodyTextIndent2"/>
        <w:numPr>
          <w:ilvl w:val="0"/>
          <w:numId w:val="3"/>
        </w:numPr>
        <w:spacing w:line="520" w:lineRule="exact"/>
        <w:ind w:firstLineChars="0"/>
        <w:rPr>
          <w:rFonts w:hint="eastAsia"/>
          <w:color w:val="auto"/>
          <w:sz w:val="28"/>
          <w:szCs w:val="28"/>
        </w:rPr>
      </w:pPr>
      <w:r>
        <w:rPr>
          <w:rFonts w:hint="eastAsia"/>
          <w:color w:val="auto"/>
          <w:sz w:val="28"/>
          <w:szCs w:val="28"/>
          <w:lang w:eastAsia="zh-CN"/>
        </w:rPr>
        <w:t>相关项目</w:t>
      </w:r>
      <w:r>
        <w:rPr>
          <w:rFonts w:hint="eastAsia"/>
          <w:color w:val="auto"/>
          <w:sz w:val="28"/>
          <w:szCs w:val="28"/>
        </w:rPr>
        <w:t>效益评价及不确定性分析</w:t>
      </w:r>
    </w:p>
    <w:p>
      <w:pPr>
        <w:pStyle w:val="Heading2"/>
        <w:spacing w:line="520" w:lineRule="exact"/>
        <w:rPr>
          <w:rFonts w:hint="eastAsia"/>
          <w:color w:val="auto"/>
          <w:sz w:val="28"/>
          <w:szCs w:val="28"/>
        </w:rPr>
      </w:pPr>
      <w:bookmarkStart w:id="41" w:name="_Toc19449422"/>
      <w:bookmarkStart w:id="42" w:name="_Toc20275454"/>
      <w:bookmarkStart w:id="43" w:name="_Toc45100301"/>
      <w:bookmarkStart w:id="44" w:name="_Toc45100426"/>
      <w:bookmarkStart w:id="45" w:name="_Toc20275632"/>
      <w:bookmarkStart w:id="46" w:name="_Toc45100562"/>
      <w:bookmarkStart w:id="47" w:name="_Toc8921418"/>
      <w:bookmarkStart w:id="48" w:name="_Toc9141250"/>
      <w:r>
        <w:rPr>
          <w:rFonts w:hint="eastAsia"/>
          <w:color w:val="auto"/>
          <w:sz w:val="28"/>
          <w:szCs w:val="28"/>
        </w:rPr>
        <w:t>3、编制原则</w:t>
      </w:r>
      <w:bookmarkEnd w:id="41"/>
      <w:bookmarkEnd w:id="42"/>
      <w:bookmarkEnd w:id="43"/>
      <w:bookmarkEnd w:id="44"/>
      <w:bookmarkEnd w:id="45"/>
      <w:bookmarkEnd w:id="46"/>
      <w:bookmarkEnd w:id="47"/>
      <w:bookmarkEnd w:id="48"/>
    </w:p>
    <w:p>
      <w:pPr>
        <w:pStyle w:val="Normal0"/>
        <w:numPr>
          <w:ilvl w:val="0"/>
          <w:numId w:val="4"/>
        </w:numPr>
        <w:spacing w:line="520" w:lineRule="exact"/>
        <w:rPr>
          <w:rFonts w:ascii="宋体" w:hAnsi="宋体" w:hint="eastAsia"/>
          <w:sz w:val="28"/>
          <w:szCs w:val="28"/>
        </w:rPr>
        <w:sectPr>
          <w:headerReference w:type="default" r:id="rId19"/>
          <w:footerReference w:type="even" r:id="rId20"/>
          <w:footerReference w:type="default" r:id="rId21"/>
          <w:type w:val="nextPage"/>
          <w:pgSz w:w="11906" w:h="16838"/>
          <w:pgMar w:top="1440" w:right="1474" w:bottom="1440" w:left="1758" w:header="851" w:footer="992" w:gutter="0"/>
          <w:pgNumType w:start="3"/>
          <w:cols w:num="1" w:space="425"/>
          <w:titlePg w:val="0"/>
          <w:docGrid w:type="linesAndChars" w:linePitch="312" w:charSpace="-3532"/>
        </w:sectPr>
      </w:pPr>
      <w:r>
        <w:rPr>
          <w:rFonts w:ascii="宋体" w:hAnsi="宋体" w:hint="eastAsia"/>
          <w:sz w:val="28"/>
          <w:szCs w:val="28"/>
        </w:rPr>
        <w:t>遵照国民经济和社会发展第十个五年</w:t>
      </w:r>
      <w:r>
        <w:rPr>
          <w:rFonts w:ascii="宋体" w:hAnsi="宋体" w:hint="eastAsia"/>
          <w:sz w:val="28"/>
          <w:szCs w:val="28"/>
          <w:lang w:eastAsia="zh-CN"/>
        </w:rPr>
        <w:t>相关计划</w:t>
      </w:r>
    </w:p>
    <w:p>
      <w:pPr>
        <w:pStyle w:val="Normal0"/>
        <w:numPr>
          <w:ilvl w:val="0"/>
          <w:numId w:val="0"/>
        </w:numPr>
        <w:spacing w:line="520" w:lineRule="exact"/>
        <w:ind w:left="971"/>
        <w:rPr>
          <w:rFonts w:ascii="宋体" w:hAnsi="宋体" w:hint="eastAsia"/>
          <w:sz w:val="28"/>
          <w:szCs w:val="28"/>
        </w:rPr>
      </w:pPr>
      <w:r>
        <w:rPr>
          <w:rFonts w:ascii="宋体" w:hAnsi="宋体" w:hint="eastAsia"/>
          <w:sz w:val="28"/>
          <w:szCs w:val="28"/>
        </w:rPr>
        <w:t>关于“传统服务业要运用现代经营方式和服务技术进行改造，着重发展商贸流通、交通运输、市政服务等行业，推进连锁经营、物流配送、多式联运、网上销售等组织形式和服务方式”，做好</w:t>
      </w:r>
      <w:r>
        <w:rPr>
          <w:rFonts w:ascii="宋体" w:hAnsi="宋体" w:hint="eastAsia"/>
          <w:sz w:val="28"/>
          <w:szCs w:val="28"/>
          <w:lang w:eastAsia="zh-CN"/>
        </w:rPr>
        <w:t>相关项目</w:t>
      </w:r>
      <w:r>
        <w:rPr>
          <w:rFonts w:ascii="宋体" w:hAnsi="宋体" w:hint="eastAsia"/>
          <w:sz w:val="28"/>
          <w:szCs w:val="28"/>
        </w:rPr>
        <w:t>定位、搞好</w:t>
      </w:r>
      <w:r>
        <w:rPr>
          <w:rFonts w:ascii="宋体" w:hAnsi="宋体" w:hint="eastAsia"/>
          <w:sz w:val="28"/>
          <w:szCs w:val="28"/>
          <w:lang w:eastAsia="zh-CN"/>
        </w:rPr>
        <w:t>相关项目</w:t>
      </w:r>
      <w:r>
        <w:rPr>
          <w:rFonts w:ascii="宋体" w:hAnsi="宋体" w:hint="eastAsia"/>
          <w:sz w:val="28"/>
          <w:szCs w:val="28"/>
        </w:rPr>
        <w:t>设计。</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按照国家经贸委等六部委《关于加快我国现代物流发展的若干意见》的通知要求，明确</w:t>
      </w:r>
      <w:r>
        <w:rPr>
          <w:rFonts w:ascii="宋体" w:hAnsi="宋体" w:hint="eastAsia"/>
          <w:sz w:val="28"/>
          <w:szCs w:val="28"/>
          <w:lang w:eastAsia="zh-CN"/>
        </w:rPr>
        <w:t>相关项目</w:t>
      </w:r>
      <w:r>
        <w:rPr>
          <w:rFonts w:ascii="宋体" w:hAnsi="宋体" w:hint="eastAsia"/>
          <w:sz w:val="28"/>
          <w:szCs w:val="28"/>
        </w:rPr>
        <w:t>目标、搞好</w:t>
      </w:r>
      <w:r>
        <w:rPr>
          <w:rFonts w:ascii="宋体" w:hAnsi="宋体" w:hint="eastAsia"/>
          <w:sz w:val="28"/>
          <w:szCs w:val="28"/>
          <w:lang w:eastAsia="zh-CN"/>
        </w:rPr>
        <w:t>相关项目</w:t>
      </w:r>
      <w:r>
        <w:rPr>
          <w:rFonts w:ascii="宋体" w:hAnsi="宋体" w:hint="eastAsia"/>
          <w:sz w:val="28"/>
          <w:szCs w:val="28"/>
        </w:rPr>
        <w:t>规划。</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根据湖南省和长沙市“十五”</w:t>
      </w:r>
      <w:r>
        <w:rPr>
          <w:rFonts w:ascii="宋体" w:hAnsi="宋体" w:hint="eastAsia"/>
          <w:sz w:val="28"/>
          <w:szCs w:val="28"/>
          <w:lang w:eastAsia="zh-CN"/>
        </w:rPr>
        <w:t>相关计划</w:t>
      </w:r>
      <w:r>
        <w:rPr>
          <w:rFonts w:ascii="宋体" w:hAnsi="宋体" w:hint="eastAsia"/>
          <w:sz w:val="28"/>
          <w:szCs w:val="28"/>
        </w:rPr>
        <w:t>，融入区域经济、合理安排进度。</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结合我国加入WTO及对物流相关方面的承诺，搞好市场调研、起步与国际同步。</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按照国家有关产业政策及可行性研究报告编制工作的基本工作程序和要求，做到实事求是、客观公正。</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我国湖南省及长沙市目前国民经济水平，现代物流产业发展现状及前景为依据，借鉴国外物流行业发展经验，明确</w:t>
      </w:r>
      <w:r>
        <w:rPr>
          <w:rFonts w:ascii="宋体" w:hAnsi="宋体" w:hint="eastAsia"/>
          <w:sz w:val="28"/>
          <w:szCs w:val="28"/>
          <w:lang w:eastAsia="zh-CN"/>
        </w:rPr>
        <w:t>相关项目</w:t>
      </w:r>
      <w:r>
        <w:rPr>
          <w:rFonts w:ascii="宋体" w:hAnsi="宋体" w:hint="eastAsia"/>
          <w:sz w:val="28"/>
          <w:szCs w:val="28"/>
        </w:rPr>
        <w:t>建成以后的</w:t>
      </w:r>
      <w:r>
        <w:rPr>
          <w:rFonts w:ascii="宋体" w:hAnsi="宋体" w:hint="eastAsia"/>
          <w:sz w:val="28"/>
          <w:szCs w:val="28"/>
          <w:lang w:eastAsia="zh-CN"/>
        </w:rPr>
        <w:t>管理管控</w:t>
      </w:r>
      <w:r>
        <w:rPr>
          <w:rFonts w:ascii="宋体" w:hAnsi="宋体" w:hint="eastAsia"/>
          <w:sz w:val="28"/>
          <w:szCs w:val="28"/>
        </w:rPr>
        <w:t>模式、运营模式。</w:t>
      </w:r>
    </w:p>
    <w:p>
      <w:pPr>
        <w:pStyle w:val="Normal0"/>
        <w:numPr>
          <w:ilvl w:val="0"/>
          <w:numId w:val="4"/>
        </w:numPr>
        <w:spacing w:line="520" w:lineRule="exact"/>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建设以物流需求为依据，以现有设施及资源为基础，避免盲目投资和重复建设。</w:t>
      </w:r>
    </w:p>
    <w:p>
      <w:pPr>
        <w:pStyle w:val="Normal0"/>
        <w:numPr>
          <w:ilvl w:val="0"/>
          <w:numId w:val="4"/>
        </w:numPr>
        <w:spacing w:line="520" w:lineRule="exact"/>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建设积极采用国际国内先进技术和设备，采购工作实行招标采购及比质比价采购。</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消防、环保、安全设施建设符合国家和地方法规。</w:t>
      </w:r>
    </w:p>
    <w:p>
      <w:pPr>
        <w:pStyle w:val="Normal0"/>
        <w:numPr>
          <w:ilvl w:val="0"/>
          <w:numId w:val="4"/>
        </w:numPr>
        <w:spacing w:line="520" w:lineRule="exact"/>
        <w:rPr>
          <w:rFonts w:ascii="宋体" w:hAnsi="宋体" w:hint="eastAsia"/>
          <w:sz w:val="28"/>
          <w:szCs w:val="28"/>
        </w:rPr>
      </w:pPr>
      <w:r>
        <w:rPr>
          <w:rFonts w:ascii="宋体" w:hAnsi="宋体" w:hint="eastAsia"/>
          <w:sz w:val="28"/>
          <w:szCs w:val="28"/>
        </w:rPr>
        <w:t>其它规定及客户要求。</w:t>
      </w:r>
    </w:p>
    <w:p>
      <w:pPr>
        <w:pStyle w:val="Heading2"/>
        <w:spacing w:line="520" w:lineRule="exact"/>
        <w:rPr>
          <w:rFonts w:hint="eastAsia"/>
          <w:color w:val="auto"/>
          <w:sz w:val="28"/>
          <w:szCs w:val="28"/>
        </w:rPr>
      </w:pPr>
      <w:bookmarkStart w:id="49" w:name="_Toc9141251"/>
      <w:bookmarkStart w:id="50" w:name="_Toc45100427"/>
      <w:bookmarkStart w:id="51" w:name="_Toc20275633"/>
      <w:bookmarkStart w:id="52" w:name="_Toc8921419"/>
      <w:bookmarkStart w:id="53" w:name="_Toc19449423"/>
      <w:bookmarkStart w:id="54" w:name="_Toc45100563"/>
      <w:bookmarkStart w:id="55" w:name="_Toc20275455"/>
      <w:bookmarkStart w:id="56" w:name="_Toc45100302"/>
      <w:r>
        <w:rPr>
          <w:rFonts w:hint="eastAsia"/>
          <w:color w:val="auto"/>
          <w:sz w:val="28"/>
          <w:szCs w:val="28"/>
        </w:rPr>
        <w:t>4、主要经济技术指标</w:t>
      </w:r>
      <w:bookmarkEnd w:id="49"/>
      <w:bookmarkEnd w:id="50"/>
      <w:bookmarkEnd w:id="51"/>
      <w:bookmarkEnd w:id="52"/>
      <w:bookmarkEnd w:id="53"/>
      <w:bookmarkEnd w:id="54"/>
      <w:bookmarkEnd w:id="55"/>
      <w:bookmarkEnd w:id="56"/>
    </w:p>
    <w:p>
      <w:pPr>
        <w:pStyle w:val="BodyTextIndent2"/>
        <w:spacing w:line="520" w:lineRule="exact"/>
        <w:ind w:firstLine="560" w:firstLineChars="200"/>
        <w:rPr>
          <w:rFonts w:hint="eastAsia"/>
          <w:color w:val="auto"/>
          <w:sz w:val="28"/>
          <w:szCs w:val="28"/>
        </w:rPr>
      </w:pPr>
      <w:r>
        <w:rPr>
          <w:rFonts w:hint="eastAsia"/>
          <w:color w:val="auto"/>
          <w:sz w:val="28"/>
          <w:szCs w:val="28"/>
          <w:lang w:eastAsia="zh-CN"/>
        </w:rPr>
        <w:t>相关项目</w:t>
      </w:r>
      <w:r>
        <w:rPr>
          <w:rFonts w:hint="eastAsia"/>
          <w:color w:val="auto"/>
          <w:sz w:val="28"/>
          <w:szCs w:val="28"/>
        </w:rPr>
        <w:t>建设主要经济技术指标见表1-1。</w:t>
      </w:r>
    </w:p>
    <w:p>
      <w:pPr>
        <w:pStyle w:val="Normal0"/>
        <w:spacing w:line="520" w:lineRule="exact"/>
        <w:jc w:val="center"/>
        <w:rPr>
          <w:rFonts w:ascii="宋体" w:hAnsi="宋体" w:hint="eastAsia"/>
          <w:b/>
          <w:bCs/>
          <w:sz w:val="28"/>
          <w:szCs w:val="28"/>
        </w:rPr>
      </w:pPr>
      <w:r>
        <w:rPr>
          <w:rFonts w:ascii="宋体" w:hAnsi="宋体" w:hint="eastAsia"/>
          <w:b/>
          <w:bCs/>
          <w:sz w:val="28"/>
          <w:szCs w:val="28"/>
        </w:rPr>
        <w:t>表1-1　　一期工程主要经济技术指标</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8"/>
        <w:gridCol w:w="1800"/>
        <w:gridCol w:w="1080"/>
        <w:gridCol w:w="2106"/>
        <w:gridCol w:w="22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728" w:type="dxa"/>
            <w:vAlign w:val="center"/>
          </w:tcPr>
          <w:p>
            <w:pPr>
              <w:pStyle w:val="Date"/>
              <w:spacing w:after="0" w:line="520" w:lineRule="exact"/>
              <w:jc w:val="center"/>
              <w:rPr>
                <w:rFonts w:ascii="宋体" w:hAnsi="宋体" w:hint="eastAsia"/>
                <w:sz w:val="28"/>
                <w:szCs w:val="28"/>
              </w:rPr>
            </w:pPr>
          </w:p>
        </w:tc>
        <w:tc>
          <w:tcPr>
            <w:tcW w:w="180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lang w:eastAsia="zh-CN"/>
              </w:rPr>
              <w:t>相关项目</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单位</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指标</w:t>
            </w:r>
          </w:p>
        </w:tc>
        <w:tc>
          <w:tcPr>
            <w:tcW w:w="225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备注</w:t>
            </w:r>
          </w:p>
        </w:tc>
      </w:tr>
    </w:tbl>
    <w:p>
      <w:pPr>
        <w:sectPr>
          <w:headerReference w:type="default" r:id="rId22"/>
          <w:footerReference w:type="even" r:id="rId23"/>
          <w:footerReference w:type="default" r:id="rId24"/>
          <w:type w:val="nextPage"/>
          <w:pgSz w:w="11906" w:h="16838"/>
          <w:pgMar w:top="1440" w:right="1474" w:bottom="1440" w:left="1758" w:header="851" w:footer="992" w:gutter="0"/>
          <w:pgNumType w:start="4"/>
          <w:cols w:num="1" w:space="425"/>
          <w:titlePg w:val="0"/>
          <w:docGrid w:type="linesAndChars" w:linePitch="312" w:charSpace="-353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8"/>
        <w:gridCol w:w="1800"/>
        <w:gridCol w:w="1080"/>
        <w:gridCol w:w="2106"/>
        <w:gridCol w:w="22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728" w:type="dxa"/>
            <w:vAlign w:val="center"/>
          </w:tcPr>
          <w:p>
            <w:pPr>
              <w:pStyle w:val="Date"/>
              <w:spacing w:before="0" w:line="520" w:lineRule="exact"/>
              <w:jc w:val="center"/>
              <w:rPr>
                <w:rFonts w:ascii="宋体" w:hAnsi="宋体" w:hint="eastAsia"/>
                <w:sz w:val="28"/>
                <w:szCs w:val="28"/>
              </w:rPr>
            </w:pPr>
            <w:r>
              <w:rPr>
                <w:rFonts w:ascii="宋体" w:hAnsi="宋体" w:hint="eastAsia"/>
                <w:sz w:val="28"/>
                <w:szCs w:val="28"/>
              </w:rPr>
              <w:t>序号</w:t>
            </w:r>
          </w:p>
        </w:tc>
        <w:tc>
          <w:tcPr>
            <w:tcW w:w="1800" w:type="dxa"/>
            <w:vAlign w:val="center"/>
          </w:tcPr>
          <w:p/>
        </w:tc>
        <w:tc>
          <w:tcPr>
            <w:tcW w:w="1080" w:type="dxa"/>
            <w:vAlign w:val="center"/>
          </w:tcPr>
          <w:p/>
        </w:tc>
        <w:tc>
          <w:tcPr>
            <w:tcW w:w="2106" w:type="dxa"/>
            <w:vAlign w:val="center"/>
          </w:tcPr>
          <w:p/>
        </w:tc>
        <w:tc>
          <w:tcPr>
            <w:tcW w:w="2256" w:type="dxa"/>
            <w:vAlign w:val="center"/>
          </w:tc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占地面积</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亩</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930</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2</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xx面积</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平方米</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218000</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2.1</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仓储</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平方米</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140000</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2.2</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办公用房</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平方米</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28000</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2.3</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集装箱堆场</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平方米</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50000</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3</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货运吞吐量</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万吨</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8000</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4</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宏观物流产值</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亿元</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25</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5</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lang w:eastAsia="zh-CN"/>
              </w:rPr>
              <w:t>相关项目</w:t>
            </w:r>
            <w:r>
              <w:rPr>
                <w:rFonts w:ascii="宋体" w:hAnsi="宋体" w:hint="eastAsia"/>
                <w:sz w:val="28"/>
                <w:szCs w:val="28"/>
              </w:rPr>
              <w:t>总投资</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万元</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27604.60</w:t>
            </w:r>
          </w:p>
        </w:tc>
        <w:tc>
          <w:tcPr>
            <w:tcW w:w="2256" w:type="dxa"/>
            <w:vAlign w:val="center"/>
          </w:tcPr>
          <w:p>
            <w:pPr>
              <w:pStyle w:val="Normal0"/>
              <w:spacing w:line="520" w:lineRule="exact"/>
              <w:rPr>
                <w:rFonts w:ascii="宋体" w:hAnsi="宋体" w:hint="eastAsia"/>
                <w:sz w:val="28"/>
                <w:szCs w:val="28"/>
              </w:rPr>
            </w:pPr>
            <w:r>
              <w:rPr>
                <w:rFonts w:ascii="宋体" w:hAnsi="宋体" w:hint="eastAsia"/>
                <w:sz w:val="28"/>
                <w:szCs w:val="28"/>
              </w:rPr>
              <w:t>固定资产投资26804.60万元（建设期利息944.62万元，土地款4900万元）；流动资金800万元</w:t>
            </w: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6</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建设工期</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月</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24</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7</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年平均收入额</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万元</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10734.4</w:t>
            </w:r>
          </w:p>
        </w:tc>
        <w:tc>
          <w:tcPr>
            <w:tcW w:w="2256" w:type="dxa"/>
            <w:vAlign w:val="center"/>
          </w:tcPr>
          <w:p>
            <w:pPr>
              <w:pStyle w:val="Normal0"/>
              <w:spacing w:line="520" w:lineRule="exact"/>
              <w:rPr>
                <w:rFonts w:ascii="宋体" w:hAnsi="宋体" w:hint="eastAsia"/>
                <w:sz w:val="28"/>
                <w:szCs w:val="28"/>
              </w:rPr>
            </w:pPr>
            <w:r>
              <w:rPr>
                <w:rFonts w:ascii="宋体" w:hAnsi="宋体" w:hint="eastAsia"/>
                <w:sz w:val="28"/>
                <w:szCs w:val="28"/>
              </w:rPr>
              <w:t>正常年</w:t>
            </w: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8</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年净利润</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万元</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4378.78</w:t>
            </w:r>
          </w:p>
        </w:tc>
        <w:tc>
          <w:tcPr>
            <w:tcW w:w="2256" w:type="dxa"/>
            <w:vAlign w:val="center"/>
          </w:tcPr>
          <w:p>
            <w:pPr>
              <w:pStyle w:val="Normal0"/>
              <w:spacing w:line="520" w:lineRule="exact"/>
              <w:rPr>
                <w:rFonts w:ascii="宋体" w:hAnsi="宋体" w:hint="eastAsia"/>
                <w:sz w:val="28"/>
                <w:szCs w:val="28"/>
              </w:rPr>
            </w:pPr>
            <w:r>
              <w:rPr>
                <w:rFonts w:ascii="宋体" w:hAnsi="宋体" w:hint="eastAsia"/>
                <w:sz w:val="28"/>
                <w:szCs w:val="28"/>
              </w:rPr>
              <w:t>正常年</w:t>
            </w: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9</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投资回收期</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年</w:t>
            </w:r>
          </w:p>
        </w:tc>
        <w:tc>
          <w:tcPr>
            <w:tcW w:w="2106" w:type="dxa"/>
            <w:vAlign w:val="center"/>
          </w:tcPr>
          <w:p>
            <w:pPr>
              <w:pStyle w:val="Normal0"/>
              <w:spacing w:line="520" w:lineRule="exact"/>
              <w:rPr>
                <w:rFonts w:ascii="宋体" w:hAnsi="宋体" w:hint="eastAsia"/>
                <w:sz w:val="28"/>
                <w:szCs w:val="28"/>
              </w:rPr>
            </w:pPr>
            <w:r>
              <w:rPr>
                <w:rFonts w:ascii="宋体" w:hAnsi="宋体" w:hint="eastAsia"/>
                <w:sz w:val="28"/>
                <w:szCs w:val="28"/>
              </w:rPr>
              <w:t>所得税前6.28年；</w:t>
            </w:r>
          </w:p>
          <w:p>
            <w:pPr>
              <w:pStyle w:val="Normal0"/>
              <w:spacing w:line="520" w:lineRule="exact"/>
              <w:rPr>
                <w:rFonts w:ascii="宋体" w:hAnsi="宋体" w:hint="eastAsia"/>
                <w:sz w:val="28"/>
                <w:szCs w:val="28"/>
              </w:rPr>
            </w:pPr>
            <w:r>
              <w:rPr>
                <w:rFonts w:ascii="宋体" w:hAnsi="宋体" w:hint="eastAsia"/>
                <w:sz w:val="28"/>
                <w:szCs w:val="28"/>
              </w:rPr>
              <w:t>所得税后6.71年</w:t>
            </w:r>
          </w:p>
        </w:tc>
        <w:tc>
          <w:tcPr>
            <w:tcW w:w="2256" w:type="dxa"/>
            <w:vAlign w:val="center"/>
          </w:tcPr>
          <w:p>
            <w:pPr>
              <w:pStyle w:val="Normal0"/>
              <w:spacing w:line="520" w:lineRule="exact"/>
              <w:rPr>
                <w:rFonts w:ascii="宋体" w:hAnsi="宋体" w:hint="eastAsia"/>
                <w:sz w:val="28"/>
                <w:szCs w:val="28"/>
              </w:rPr>
            </w:pPr>
            <w:r>
              <w:rPr>
                <w:rFonts w:ascii="宋体" w:hAnsi="宋体" w:hint="eastAsia"/>
                <w:sz w:val="28"/>
                <w:szCs w:val="28"/>
              </w:rPr>
              <w:t>（含建设期2年）</w:t>
            </w: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10</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平均投资利润率</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22.23</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11</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平均投资利税率</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24.41</w:t>
            </w:r>
          </w:p>
        </w:tc>
        <w:tc>
          <w:tcPr>
            <w:tcW w:w="2256" w:type="dxa"/>
            <w:vAlign w:val="center"/>
          </w:tcPr>
          <w:p>
            <w:pPr>
              <w:pStyle w:val="Normal0"/>
              <w:spacing w:line="520" w:lineRule="exact"/>
              <w:rPr>
                <w:rFonts w:ascii="宋体" w:hAnsi="宋体" w:hint="eastAsia"/>
                <w:sz w:val="28"/>
                <w:szCs w:val="28"/>
              </w:rPr>
            </w:pPr>
          </w:p>
        </w:tc>
      </w:tr>
    </w:tbl>
    <w:p>
      <w:pPr>
        <w:sectPr>
          <w:headerReference w:type="default" r:id="rId25"/>
          <w:footerReference w:type="even" r:id="rId26"/>
          <w:footerReference w:type="default" r:id="rId27"/>
          <w:type w:val="nextPage"/>
          <w:pgSz w:w="11906" w:h="16838"/>
          <w:pgMar w:top="1440" w:right="1474" w:bottom="1440" w:left="1758" w:header="851" w:footer="992" w:gutter="0"/>
          <w:pgNumType w:start="5"/>
          <w:cols w:num="1" w:space="425"/>
          <w:titlePg w:val="0"/>
          <w:docGrid w:type="linesAndChars" w:linePitch="312" w:charSpace="-353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8"/>
        <w:gridCol w:w="1800"/>
        <w:gridCol w:w="1080"/>
        <w:gridCol w:w="2106"/>
        <w:gridCol w:w="22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12</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固定资产投资银行贷款偿还期</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年</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6.33</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13</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全部投资内部收益率</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所得税前：20.36</w:t>
            </w:r>
          </w:p>
          <w:p>
            <w:pPr>
              <w:pStyle w:val="Normal0"/>
              <w:spacing w:line="520" w:lineRule="exact"/>
              <w:jc w:val="center"/>
              <w:rPr>
                <w:rFonts w:ascii="宋体" w:hAnsi="宋体" w:hint="eastAsia"/>
                <w:sz w:val="28"/>
                <w:szCs w:val="28"/>
              </w:rPr>
            </w:pPr>
            <w:r>
              <w:rPr>
                <w:rFonts w:ascii="宋体" w:hAnsi="宋体" w:hint="eastAsia"/>
                <w:sz w:val="28"/>
                <w:szCs w:val="28"/>
              </w:rPr>
              <w:t>所得税后：15.97</w:t>
            </w:r>
          </w:p>
        </w:tc>
        <w:tc>
          <w:tcPr>
            <w:tcW w:w="2256" w:type="dxa"/>
            <w:vAlign w:val="center"/>
          </w:tcPr>
          <w:p>
            <w:pPr>
              <w:pStyle w:val="Normal0"/>
              <w:spacing w:line="520" w:lineRule="exact"/>
              <w:rPr>
                <w:rFonts w:ascii="宋体" w:hAnsi="宋体" w:hint="eastAsia"/>
                <w:sz w:val="28"/>
                <w:szCs w:val="28"/>
              </w:rPr>
            </w:pPr>
            <w:r>
              <w:rPr>
                <w:rFonts w:ascii="宋体" w:hAnsi="宋体" w:hint="eastAsia"/>
                <w:sz w:val="28"/>
                <w:szCs w:val="28"/>
              </w:rPr>
              <w:t>I=12%</w:t>
            </w: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14</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财务净现值</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万元</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所得税前：11091.81</w:t>
            </w:r>
          </w:p>
          <w:p>
            <w:pPr>
              <w:pStyle w:val="Normal0"/>
              <w:spacing w:line="520" w:lineRule="exact"/>
              <w:jc w:val="center"/>
              <w:rPr>
                <w:rFonts w:ascii="宋体" w:hAnsi="宋体" w:hint="eastAsia"/>
                <w:sz w:val="28"/>
                <w:szCs w:val="28"/>
              </w:rPr>
            </w:pPr>
            <w:r>
              <w:rPr>
                <w:rFonts w:ascii="宋体" w:hAnsi="宋体" w:hint="eastAsia"/>
                <w:sz w:val="28"/>
                <w:szCs w:val="28"/>
              </w:rPr>
              <w:t>所得税后：4653.38</w:t>
            </w:r>
          </w:p>
        </w:tc>
        <w:tc>
          <w:tcPr>
            <w:tcW w:w="2256" w:type="dxa"/>
            <w:vAlign w:val="center"/>
          </w:tcPr>
          <w:p>
            <w:pPr>
              <w:pStyle w:val="Normal0"/>
              <w:spacing w:line="520" w:lineRule="exact"/>
              <w:rPr>
                <w:rFonts w:ascii="宋体" w:hAnsi="宋体" w:hint="eastAsia"/>
                <w:sz w:val="28"/>
                <w:szCs w:val="28"/>
              </w:rPr>
            </w:pPr>
            <w:r>
              <w:rPr>
                <w:rFonts w:ascii="宋体" w:hAnsi="宋体" w:hint="eastAsia"/>
                <w:sz w:val="28"/>
                <w:szCs w:val="28"/>
              </w:rPr>
              <w:t>I=12%</w:t>
            </w: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15</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xx密度</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26</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16</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容积率</w:t>
            </w:r>
          </w:p>
        </w:tc>
        <w:tc>
          <w:tcPr>
            <w:tcW w:w="1080" w:type="dxa"/>
            <w:vAlign w:val="center"/>
          </w:tcPr>
          <w:p>
            <w:pPr>
              <w:pStyle w:val="Normal0"/>
              <w:spacing w:line="520" w:lineRule="exact"/>
              <w:jc w:val="center"/>
              <w:rPr>
                <w:rFonts w:ascii="宋体" w:hAnsi="宋体" w:hint="eastAsia"/>
                <w:sz w:val="28"/>
                <w:szCs w:val="28"/>
              </w:rPr>
            </w:pP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0.29</w:t>
            </w:r>
          </w:p>
        </w:tc>
        <w:tc>
          <w:tcPr>
            <w:tcW w:w="2256" w:type="dxa"/>
            <w:vAlign w:val="center"/>
          </w:tcPr>
          <w:p>
            <w:pPr>
              <w:pStyle w:val="Normal0"/>
              <w:spacing w:line="520" w:lineRule="exact"/>
              <w:rPr>
                <w:rFonts w:ascii="宋体" w:hAnsi="宋体" w:hint="eastAsia"/>
                <w:sz w:val="28"/>
                <w:szCs w:val="28"/>
              </w:rPr>
            </w:pPr>
          </w:p>
        </w:tc>
      </w:tr>
      <w:tr>
        <w:tblPrEx>
          <w:tblW w:w="0" w:type="auto"/>
          <w:jc w:val="center"/>
          <w:tblCellMar>
            <w:top w:w="0" w:type="dxa"/>
            <w:left w:w="108" w:type="dxa"/>
            <w:bottom w:w="0" w:type="dxa"/>
            <w:right w:w="108" w:type="dxa"/>
          </w:tblCellMar>
        </w:tblPrEx>
        <w:trPr>
          <w:jc w:val="center"/>
        </w:trPr>
        <w:tc>
          <w:tcPr>
            <w:tcW w:w="728" w:type="dxa"/>
            <w:vAlign w:val="center"/>
          </w:tcPr>
          <w:p>
            <w:pPr>
              <w:pStyle w:val="Normal0"/>
              <w:spacing w:line="520" w:lineRule="exact"/>
              <w:rPr>
                <w:rFonts w:ascii="宋体" w:hAnsi="宋体" w:hint="eastAsia"/>
                <w:sz w:val="28"/>
                <w:szCs w:val="28"/>
              </w:rPr>
            </w:pPr>
            <w:r>
              <w:rPr>
                <w:rFonts w:ascii="宋体" w:hAnsi="宋体" w:hint="eastAsia"/>
                <w:sz w:val="28"/>
                <w:szCs w:val="28"/>
              </w:rPr>
              <w:t>17</w:t>
            </w:r>
          </w:p>
        </w:tc>
        <w:tc>
          <w:tcPr>
            <w:tcW w:w="1800" w:type="dxa"/>
            <w:vAlign w:val="center"/>
          </w:tcPr>
          <w:p>
            <w:pPr>
              <w:pStyle w:val="Normal0"/>
              <w:spacing w:line="520" w:lineRule="exact"/>
              <w:rPr>
                <w:rFonts w:ascii="宋体" w:hAnsi="宋体" w:hint="eastAsia"/>
                <w:sz w:val="28"/>
                <w:szCs w:val="28"/>
              </w:rPr>
            </w:pPr>
            <w:r>
              <w:rPr>
                <w:rFonts w:ascii="宋体" w:hAnsi="宋体" w:hint="eastAsia"/>
                <w:sz w:val="28"/>
                <w:szCs w:val="28"/>
              </w:rPr>
              <w:t>绿地率</w:t>
            </w:r>
          </w:p>
        </w:tc>
        <w:tc>
          <w:tcPr>
            <w:tcW w:w="108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w:t>
            </w:r>
          </w:p>
        </w:tc>
        <w:tc>
          <w:tcPr>
            <w:tcW w:w="2106"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35</w:t>
            </w:r>
          </w:p>
        </w:tc>
        <w:tc>
          <w:tcPr>
            <w:tcW w:w="2256" w:type="dxa"/>
            <w:vAlign w:val="center"/>
          </w:tcPr>
          <w:p>
            <w:pPr>
              <w:pStyle w:val="Normal0"/>
              <w:spacing w:line="520" w:lineRule="exact"/>
              <w:rPr>
                <w:rFonts w:ascii="宋体" w:hAnsi="宋体" w:hint="eastAsia"/>
                <w:sz w:val="28"/>
                <w:szCs w:val="28"/>
              </w:rPr>
            </w:pPr>
          </w:p>
        </w:tc>
      </w:tr>
    </w:tbl>
    <w:p>
      <w:pPr>
        <w:pStyle w:val="Normal0"/>
        <w:spacing w:line="520" w:lineRule="exact"/>
        <w:ind w:left="840"/>
        <w:rPr>
          <w:rFonts w:ascii="宋体" w:hAnsi="宋体" w:hint="eastAsia"/>
          <w:b/>
          <w:bCs/>
          <w:sz w:val="28"/>
          <w:szCs w:val="28"/>
        </w:rPr>
      </w:pPr>
    </w:p>
    <w:p>
      <w:pPr>
        <w:pStyle w:val="Heading2"/>
        <w:spacing w:line="520" w:lineRule="exact"/>
        <w:rPr>
          <w:rFonts w:hint="eastAsia"/>
          <w:color w:val="auto"/>
          <w:sz w:val="28"/>
          <w:szCs w:val="28"/>
        </w:rPr>
      </w:pPr>
      <w:bookmarkStart w:id="57" w:name="_Toc45100303"/>
      <w:bookmarkStart w:id="58" w:name="_Toc45100428"/>
      <w:bookmarkStart w:id="59" w:name="_Toc45100564"/>
      <w:r>
        <w:rPr>
          <w:rFonts w:hint="eastAsia"/>
          <w:color w:val="auto"/>
          <w:sz w:val="28"/>
          <w:szCs w:val="28"/>
        </w:rPr>
        <w:t>5、可行性研究结论</w:t>
      </w:r>
      <w:bookmarkEnd w:id="57"/>
      <w:bookmarkEnd w:id="58"/>
      <w:bookmarkEnd w:id="59"/>
    </w:p>
    <w:p>
      <w:pPr>
        <w:pStyle w:val="BodyTextIndent"/>
        <w:spacing w:line="520" w:lineRule="exact"/>
        <w:ind w:firstLine="560" w:firstLineChars="200"/>
        <w:rPr>
          <w:rFonts w:hint="eastAsia"/>
          <w:sz w:val="28"/>
          <w:szCs w:val="28"/>
        </w:rPr>
      </w:pPr>
      <w:r>
        <w:rPr>
          <w:rFonts w:hint="eastAsia"/>
          <w:sz w:val="28"/>
          <w:szCs w:val="28"/>
        </w:rPr>
        <w:t>一、湖南XX国际物流园的建设，符合国家和省市有关促进现代物流产业发展的政策；符合产业发展方向和要求；</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二、湖南XX国际物流园</w:t>
      </w:r>
      <w:r>
        <w:rPr>
          <w:rFonts w:ascii="宋体" w:hAnsi="宋体" w:hint="eastAsia"/>
          <w:sz w:val="28"/>
          <w:szCs w:val="28"/>
          <w:lang w:eastAsia="zh-CN"/>
        </w:rPr>
        <w:t>相关项目</w:t>
      </w:r>
      <w:r>
        <w:rPr>
          <w:rFonts w:ascii="宋体" w:hAnsi="宋体" w:hint="eastAsia"/>
          <w:sz w:val="28"/>
          <w:szCs w:val="28"/>
        </w:rPr>
        <w:t>建设用地符合长沙经济技术开发区对该宗地的要求；</w:t>
      </w:r>
    </w:p>
    <w:p>
      <w:pPr>
        <w:pStyle w:val="NormalIndent"/>
        <w:spacing w:line="520" w:lineRule="exact"/>
        <w:ind w:firstLine="560" w:firstLineChars="200"/>
        <w:rPr>
          <w:rFonts w:ascii="宋体" w:hAnsi="宋体" w:hint="eastAsia"/>
          <w:sz w:val="28"/>
          <w:szCs w:val="28"/>
        </w:rPr>
        <w:sectPr>
          <w:headerReference w:type="default" r:id="rId28"/>
          <w:footerReference w:type="even" r:id="rId29"/>
          <w:footerReference w:type="default" r:id="rId30"/>
          <w:type w:val="nextPage"/>
          <w:pgSz w:w="11906" w:h="16838"/>
          <w:pgMar w:top="1440" w:right="1474" w:bottom="1440" w:left="1758" w:header="851" w:footer="992" w:gutter="0"/>
          <w:pgNumType w:start="6"/>
          <w:cols w:num="1" w:space="425"/>
          <w:titlePg w:val="0"/>
          <w:docGrid w:type="linesAndChars" w:linePitch="312" w:charSpace="-3532"/>
        </w:sectPr>
      </w:pPr>
      <w:r>
        <w:rPr>
          <w:rFonts w:ascii="宋体" w:hAnsi="宋体" w:hint="eastAsia"/>
          <w:sz w:val="28"/>
          <w:szCs w:val="28"/>
        </w:rPr>
        <w:t>三、湖南XX国际物流园总体规划占地3000亩，总投资10</w:t>
      </w:r>
      <w:r>
        <w:rPr>
          <w:rFonts w:ascii="宋体" w:hAnsi="宋体"/>
          <w:sz w:val="28"/>
          <w:szCs w:val="28"/>
        </w:rPr>
        <w:t>.8</w:t>
      </w:r>
      <w:r>
        <w:rPr>
          <w:rFonts w:ascii="宋体" w:hAnsi="宋体" w:hint="eastAsia"/>
          <w:sz w:val="28"/>
          <w:szCs w:val="28"/>
        </w:rPr>
        <w:t>亿元。</w:t>
      </w:r>
      <w:r>
        <w:rPr>
          <w:rFonts w:ascii="宋体" w:hAnsi="宋体" w:hint="eastAsia"/>
          <w:sz w:val="28"/>
          <w:szCs w:val="28"/>
          <w:lang w:eastAsia="zh-CN"/>
        </w:rPr>
        <w:t>相关项目</w:t>
      </w:r>
      <w:r>
        <w:rPr>
          <w:rFonts w:ascii="宋体" w:hAnsi="宋体" w:hint="eastAsia"/>
          <w:sz w:val="28"/>
          <w:szCs w:val="28"/>
        </w:rPr>
        <w:t>第一期工程总投资27604.60万元，总xx面积21.8万平方米，其中：仓储面积14万平方米，综合办公大楼2.8万平方米，集装箱堆场面积5万平方米，固定资产投资26804.6万元，建设工期2年。</w:t>
      </w:r>
      <w:r>
        <w:rPr>
          <w:rFonts w:ascii="宋体" w:hAnsi="宋体" w:hint="eastAsia"/>
          <w:sz w:val="28"/>
          <w:szCs w:val="28"/>
          <w:lang w:eastAsia="zh-CN"/>
        </w:rPr>
        <w:t>相关项目</w:t>
      </w:r>
      <w:r>
        <w:rPr>
          <w:rFonts w:ascii="宋体" w:hAnsi="宋体" w:hint="eastAsia"/>
          <w:sz w:val="28"/>
          <w:szCs w:val="28"/>
        </w:rPr>
        <w:t>第一期工程实施期内（12年，含2年建设期）实现营业收入107344万元，实现利润43788万元，上缴税收23583万元，安排就业150人，</w:t>
      </w:r>
      <w:r>
        <w:rPr>
          <w:rFonts w:ascii="宋体" w:hAnsi="宋体" w:hint="eastAsia"/>
          <w:sz w:val="28"/>
          <w:szCs w:val="28"/>
          <w:lang w:eastAsia="zh-CN"/>
        </w:rPr>
        <w:t>相关项目</w:t>
      </w:r>
      <w:r>
        <w:rPr>
          <w:rFonts w:ascii="宋体" w:hAnsi="宋体" w:hint="eastAsia"/>
          <w:sz w:val="28"/>
          <w:szCs w:val="28"/>
        </w:rPr>
        <w:t>具有良好的经济效益。</w:t>
      </w:r>
    </w:p>
    <w:p>
      <w:pPr>
        <w:pStyle w:val="Normal0"/>
        <w:spacing w:line="520" w:lineRule="exact"/>
        <w:ind w:firstLine="678" w:firstLineChars="242"/>
        <w:rPr>
          <w:rFonts w:ascii="宋体" w:hAnsi="宋体" w:hint="eastAsia"/>
          <w:sz w:val="28"/>
          <w:szCs w:val="28"/>
        </w:rPr>
      </w:pPr>
      <w:r>
        <w:rPr>
          <w:rFonts w:ascii="宋体" w:hAnsi="宋体" w:hint="eastAsia"/>
          <w:sz w:val="28"/>
          <w:szCs w:val="28"/>
        </w:rPr>
        <w:t>四、该</w:t>
      </w:r>
      <w:r>
        <w:rPr>
          <w:rFonts w:ascii="宋体" w:hAnsi="宋体" w:hint="eastAsia"/>
          <w:sz w:val="28"/>
          <w:szCs w:val="28"/>
          <w:lang w:eastAsia="zh-CN"/>
        </w:rPr>
        <w:t>相关项目</w:t>
      </w:r>
      <w:r>
        <w:rPr>
          <w:rFonts w:ascii="宋体" w:hAnsi="宋体" w:hint="eastAsia"/>
          <w:sz w:val="28"/>
          <w:szCs w:val="28"/>
        </w:rPr>
        <w:t>建设在长沙经济技术开发区内，背靠LG-曙光电子、长丰猎豹汽车、三一重工、华天铝业等开发区大型加工制造业，联系XX物流中心、长沙市水运码头、铁路编组站、黄花国际机场等物流结点，辐射长株潭地区，物流资源丰富，市场潜力巨大。</w:t>
      </w:r>
    </w:p>
    <w:p>
      <w:pPr>
        <w:pStyle w:val="Normal0"/>
        <w:spacing w:line="520" w:lineRule="exact"/>
        <w:ind w:firstLine="496" w:firstLineChars="177"/>
        <w:rPr>
          <w:rFonts w:ascii="宋体" w:hAnsi="宋体" w:hint="eastAsia"/>
          <w:sz w:val="28"/>
          <w:szCs w:val="28"/>
        </w:rPr>
      </w:pPr>
      <w:r>
        <w:rPr>
          <w:rFonts w:ascii="宋体" w:hAnsi="宋体" w:hint="eastAsia"/>
          <w:sz w:val="28"/>
          <w:szCs w:val="28"/>
        </w:rPr>
        <w:t>五、</w:t>
      </w:r>
      <w:r>
        <w:rPr>
          <w:rFonts w:ascii="宋体" w:hAnsi="宋体" w:hint="eastAsia"/>
          <w:sz w:val="28"/>
          <w:szCs w:val="28"/>
          <w:lang w:eastAsia="zh-CN"/>
        </w:rPr>
        <w:t>相关项目</w:t>
      </w:r>
      <w:r>
        <w:rPr>
          <w:rFonts w:ascii="宋体" w:hAnsi="宋体" w:hint="eastAsia"/>
          <w:sz w:val="28"/>
          <w:szCs w:val="28"/>
        </w:rPr>
        <w:t>建成后，园区建三大平台----物流设施平台、物流信息平台和物流政策平台，具备5大基本功能：海关功能、物流基地功能、金融结算功能、物流信息港功能、教学科研培训功能。提供多式联运、报关报检、货运代理、信息交易、金融结算、仓储中转、流通加工、品牌展示等物流服务。整合湖南及周边省份的物流资源，带动和提升相关产业及湖南工商企业的发展与竞争力，推动湖南工业化进程。</w:t>
      </w:r>
    </w:p>
    <w:p>
      <w:pPr>
        <w:pStyle w:val="Normal0"/>
        <w:spacing w:line="520" w:lineRule="exact"/>
        <w:ind w:firstLine="678" w:firstLineChars="242"/>
        <w:rPr>
          <w:rFonts w:ascii="宋体" w:hAnsi="宋体" w:hint="eastAsia"/>
          <w:sz w:val="28"/>
          <w:szCs w:val="28"/>
        </w:rPr>
        <w:sectPr>
          <w:headerReference w:type="default" r:id="rId31"/>
          <w:footerReference w:type="even" r:id="rId32"/>
          <w:footerReference w:type="default" r:id="rId33"/>
          <w:type w:val="nextPage"/>
          <w:pgSz w:w="11906" w:h="16838"/>
          <w:pgMar w:top="1440" w:right="1474" w:bottom="1440" w:left="1758" w:header="851" w:footer="992" w:gutter="0"/>
          <w:pgNumType w:start="7"/>
          <w:cols w:num="1" w:space="425"/>
          <w:titlePg w:val="0"/>
          <w:docGrid w:type="linesAndChars" w:linePitch="312" w:charSpace="-3532"/>
        </w:sectPr>
      </w:pPr>
      <w:r>
        <w:rPr>
          <w:rFonts w:ascii="宋体" w:hAnsi="宋体" w:hint="eastAsia"/>
          <w:sz w:val="28"/>
          <w:szCs w:val="28"/>
        </w:rPr>
        <w:t>综上所述，湖南XX国际物流园</w:t>
      </w:r>
      <w:r>
        <w:rPr>
          <w:rFonts w:ascii="宋体" w:hAnsi="宋体" w:hint="eastAsia"/>
          <w:sz w:val="28"/>
          <w:szCs w:val="28"/>
          <w:lang w:eastAsia="zh-CN"/>
        </w:rPr>
        <w:t>相关项目</w:t>
      </w:r>
      <w:r>
        <w:rPr>
          <w:rFonts w:ascii="宋体" w:hAnsi="宋体" w:hint="eastAsia"/>
          <w:sz w:val="28"/>
          <w:szCs w:val="28"/>
        </w:rPr>
        <w:t>建设各方面的条件都已具备，</w:t>
      </w:r>
      <w:r>
        <w:rPr>
          <w:rFonts w:ascii="宋体" w:hAnsi="宋体" w:hint="eastAsia"/>
          <w:sz w:val="28"/>
          <w:szCs w:val="28"/>
          <w:lang w:eastAsia="zh-CN"/>
        </w:rPr>
        <w:t>相关项目</w:t>
      </w:r>
      <w:r>
        <w:rPr>
          <w:rFonts w:ascii="宋体" w:hAnsi="宋体" w:hint="eastAsia"/>
          <w:sz w:val="28"/>
          <w:szCs w:val="28"/>
        </w:rPr>
        <w:t>实施后具有较好的经济和社会效益，诚请省、市、开发区和各职能部门以及银行大力支持，使该</w:t>
      </w:r>
      <w:r>
        <w:rPr>
          <w:rFonts w:ascii="宋体" w:hAnsi="宋体" w:hint="eastAsia"/>
          <w:sz w:val="28"/>
          <w:szCs w:val="28"/>
          <w:lang w:eastAsia="zh-CN"/>
        </w:rPr>
        <w:t>相关项目</w:t>
      </w:r>
      <w:r>
        <w:rPr>
          <w:rFonts w:ascii="宋体" w:hAnsi="宋体" w:hint="eastAsia"/>
          <w:sz w:val="28"/>
          <w:szCs w:val="28"/>
        </w:rPr>
        <w:t>早日建设，发挥效益。</w:t>
      </w:r>
    </w:p>
    <w:p>
      <w:pPr>
        <w:pStyle w:val="Heading1"/>
        <w:spacing w:before="0" w:after="0" w:line="520" w:lineRule="exact"/>
        <w:rPr>
          <w:rFonts w:ascii="宋体" w:eastAsia="宋体" w:hAnsi="宋体"/>
          <w:sz w:val="28"/>
          <w:szCs w:val="28"/>
        </w:rPr>
      </w:pPr>
      <w:bookmarkStart w:id="60" w:name="_Toc45100565"/>
      <w:bookmarkStart w:id="61" w:name="_Toc8921420"/>
      <w:bookmarkStart w:id="62" w:name="_Toc20275456"/>
      <w:bookmarkStart w:id="63" w:name="_Toc9141252"/>
      <w:bookmarkStart w:id="64" w:name="_Toc20275634"/>
      <w:bookmarkStart w:id="65" w:name="_Toc45100304"/>
      <w:bookmarkStart w:id="66" w:name="_Toc45100429"/>
      <w:bookmarkStart w:id="67" w:name="_Toc19449424"/>
      <w:r>
        <w:rPr>
          <w:rFonts w:ascii="宋体" w:eastAsia="宋体" w:hAnsi="宋体" w:hint="eastAsia"/>
          <w:sz w:val="28"/>
          <w:szCs w:val="28"/>
        </w:rPr>
        <w:t xml:space="preserve">第二章 </w:t>
      </w:r>
      <w:r>
        <w:rPr>
          <w:rFonts w:ascii="宋体" w:eastAsia="宋体" w:hAnsi="宋体" w:hint="eastAsia"/>
          <w:sz w:val="28"/>
          <w:szCs w:val="28"/>
          <w:lang w:eastAsia="zh-CN"/>
        </w:rPr>
        <w:t>相关项目</w:t>
      </w:r>
      <w:r>
        <w:rPr>
          <w:rFonts w:ascii="宋体" w:eastAsia="宋体" w:hAnsi="宋体" w:hint="eastAsia"/>
          <w:sz w:val="28"/>
          <w:szCs w:val="28"/>
        </w:rPr>
        <w:t>建设的背景及必要性</w:t>
      </w:r>
      <w:bookmarkEnd w:id="60"/>
      <w:bookmarkEnd w:id="61"/>
      <w:bookmarkEnd w:id="62"/>
      <w:bookmarkEnd w:id="63"/>
      <w:bookmarkEnd w:id="64"/>
      <w:bookmarkEnd w:id="65"/>
      <w:bookmarkEnd w:id="66"/>
      <w:bookmarkEnd w:id="67"/>
    </w:p>
    <w:p>
      <w:pPr>
        <w:pStyle w:val="Normal0"/>
        <w:spacing w:line="520" w:lineRule="exact"/>
        <w:ind w:firstLine="560" w:firstLineChars="200"/>
        <w:rPr>
          <w:rFonts w:ascii="宋体" w:hAnsi="宋体" w:hint="eastAsia"/>
          <w:b/>
          <w:sz w:val="28"/>
          <w:szCs w:val="28"/>
        </w:rPr>
      </w:pPr>
      <w:r>
        <w:rPr>
          <w:rFonts w:ascii="宋体" w:hAnsi="宋体" w:hint="eastAsia"/>
          <w:b/>
          <w:sz w:val="28"/>
          <w:szCs w:val="28"/>
        </w:rPr>
        <w:t>一、加入WTO对我国现代物流产业发展提出了新的要求</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加入世贸组织，对我国物流业来说，既蕴含着难得的发展机遇，也面临着严峻的挑战。我国对有关物流以及物流相关方面做出了郑重的承诺，在包装服务、通信服务、速递服务、分销服务、运输服务中，除佣金代理服务、批发服务、零售服务和特许经营有少量限制以外，这些领域的主要部分以及海运服务、集装箱堆场服务、内水运输、航空运输服务、铁路运输服务、货物运输代理服务等将全面对外开放。因此，这些领域也将在未来的三年之内面临外资大规模进入带来的巨大冲击。</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目前，湖南省正积极探索有利于支持工商企业参与国际竞争的现代物流服务系统，通过对现有物流基础设施进行更新改造和扩建，加快技术进步，以便尽快满足加入WTO对我国，特别是湖南省现代物流业提出的新的要求。</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通过物流园的建设，将各物流企业、港口、航空等服务机构和生产单位进行有序的整合，降低生产单位和物流企业的运营成本，使这些企业在未来的竞争中能够处于比较有利的地位。</w:t>
      </w:r>
    </w:p>
    <w:p>
      <w:pPr>
        <w:pStyle w:val="Normal0"/>
        <w:spacing w:line="520" w:lineRule="exact"/>
        <w:ind w:firstLine="560" w:firstLineChars="200"/>
        <w:rPr>
          <w:rFonts w:ascii="宋体" w:hAnsi="宋体" w:hint="eastAsia"/>
          <w:b/>
          <w:sz w:val="28"/>
          <w:szCs w:val="28"/>
        </w:rPr>
      </w:pPr>
      <w:r>
        <w:rPr>
          <w:rFonts w:ascii="宋体" w:hAnsi="宋体" w:hint="eastAsia"/>
          <w:b/>
          <w:sz w:val="28"/>
          <w:szCs w:val="28"/>
        </w:rPr>
        <w:t>二、现代物流产业在我国刚开始起步，但市场前景广阔</w:t>
      </w:r>
    </w:p>
    <w:p>
      <w:pPr>
        <w:pStyle w:val="Normal0"/>
        <w:spacing w:line="520" w:lineRule="exact"/>
        <w:ind w:firstLine="560" w:firstLineChars="200"/>
        <w:rPr>
          <w:rFonts w:ascii="宋体" w:hAnsi="宋体" w:hint="eastAsia"/>
          <w:sz w:val="28"/>
          <w:szCs w:val="28"/>
        </w:rPr>
        <w:sectPr>
          <w:headerReference w:type="default" r:id="rId34"/>
          <w:footerReference w:type="even" r:id="rId35"/>
          <w:footerReference w:type="default" r:id="rId36"/>
          <w:type w:val="nextPage"/>
          <w:pgSz w:w="11906" w:h="16838"/>
          <w:pgMar w:top="1440" w:right="1474" w:bottom="1440" w:left="1758" w:header="851" w:footer="992" w:gutter="0"/>
          <w:pgNumType w:start="8"/>
          <w:cols w:num="1" w:space="425"/>
          <w:titlePg w:val="0"/>
          <w:docGrid w:type="linesAndChars" w:linePitch="312" w:charSpace="-3532"/>
        </w:sectPr>
      </w:pPr>
    </w:p>
    <w:p>
      <w:pPr>
        <w:pStyle w:val="Normal0"/>
        <w:spacing w:line="520" w:lineRule="exact"/>
        <w:ind w:firstLine="560" w:firstLineChars="200"/>
        <w:rPr>
          <w:rFonts w:ascii="宋体" w:hAnsi="宋体" w:hint="eastAsia"/>
          <w:sz w:val="28"/>
          <w:szCs w:val="28"/>
        </w:rPr>
      </w:pPr>
      <w:r>
        <w:rPr>
          <w:rFonts w:ascii="宋体" w:hAnsi="宋体" w:hint="eastAsia"/>
          <w:sz w:val="28"/>
          <w:szCs w:val="28"/>
        </w:rPr>
        <w:t>随着经济全球化和信息技术的迅速发展，被普遍认为在降低物质消耗、提高劳动生产效率以外的“第三利润源”的现代物流业，已经成为我国新的经济增长点。（据《中国物流年鉴》）1999年，我国国有及国有控股工业企业流动资金占用达到31042.81亿元人民币，而资金周转速度年平均为1.2次，国有商业企业也只有2.3次。而日本制造业的年周转速度为7.5至8次，流通业为15次至18次。跨国连锁集团沃尔玛、麦德隆、家乐福的年周转次数为20至30次。这说明，我国工商企业目前依然是为库存而采购，而不是按订单采购，生产需要的原材料、半成品、外购件库存过大，占用了大量流动资金。美国、德国、日本制造业库存周期平均只有12天，库存总额只占销售总额的1.3%至1.5%。发达国家的库存商品只占国内生产总值的1%。而我国工业产成品库存一般达到45天，商业企业达到35天，库存商品占国内生产总值的6.8%，我国这些指标远落后于发达国家的根本原因，是由于缺少一个高效的社会化现代物流服务系统。应该按照社会分工要求，建设社会化现代物流服务体系，以支持工商企业的生产经营和市场营销。</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改革开放以来，我国对物流基础设施作了大量投入，到2000年已达到1.5万亿元人民币。但由于原有基础太落后，仍然不适应现代物流的总体发展要求。到2000年，我国运输网络密度分别为1344.48公里/平方公里和1043公里/万人，分别只相当于美国的19.6%和15.8%；德国的9%和15.8%；印度的24.9%和48.3%；巴西的71.3%和8.8%。物流基础设施落后，加上布局不合理，造成我国仓储效率与效益低下。据有关部门统计，我国每年因包装造成的损失就达到150亿元人民币，因装卸、运输造成的损失高达500亿元人民币，因保管不善造成的损失为30亿元人民币。因此，在社会化现代物流服务体系中，建设大型物流园区，将运输与仓储进行有效整合，是发挥运输和仓储效率和实现社会、经济效益的有效措施。</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国民经济和社会发展第十个五年</w:t>
      </w:r>
      <w:r>
        <w:rPr>
          <w:rFonts w:ascii="宋体" w:hAnsi="宋体" w:hint="eastAsia"/>
          <w:sz w:val="28"/>
          <w:szCs w:val="28"/>
          <w:lang w:eastAsia="zh-CN"/>
        </w:rPr>
        <w:t>相关计划</w:t>
      </w:r>
      <w:r>
        <w:rPr>
          <w:rFonts w:ascii="宋体" w:hAnsi="宋体" w:hint="eastAsia"/>
          <w:sz w:val="28"/>
          <w:szCs w:val="28"/>
        </w:rPr>
        <w:t>提出，传统服务业要运用现代经营方式和服务技术进行改造，着重发展商贸流通、交通运输、市政服务等行业，推行连锁经营、物流配送、多式联运、网上销售等组织形式和服务方式，提高服务质量和经营效益。国家经贸委等六部委发出的《关于加快我国现代物流发展的若干意见》的通知中也要求各地政府部门和有关企业要充分认识现代物流在经济发展中的重要作用，抓住有利时机，加快发展步伐，积极采用先进的物流</w:t>
      </w:r>
      <w:r>
        <w:rPr>
          <w:rFonts w:ascii="宋体" w:hAnsi="宋体" w:hint="eastAsia"/>
          <w:sz w:val="28"/>
          <w:szCs w:val="28"/>
          <w:lang w:eastAsia="zh-CN"/>
        </w:rPr>
        <w:t>管理管控</w:t>
      </w:r>
      <w:r>
        <w:rPr>
          <w:rFonts w:ascii="宋体" w:hAnsi="宋体" w:hint="eastAsia"/>
          <w:sz w:val="28"/>
          <w:szCs w:val="28"/>
        </w:rPr>
        <w:t>技术和装备，加快建立全国、区域、城镇、企业等多种层次的，符合市场经济规律、与国际通行规则接轨的，物畅其流、快捷准时、经济合理、用户满意的社会化、专业化现代物流服务网络体系。</w:t>
      </w:r>
    </w:p>
    <w:p>
      <w:pPr>
        <w:pStyle w:val="Normal0"/>
        <w:spacing w:line="520" w:lineRule="exact"/>
        <w:ind w:firstLine="560" w:firstLineChars="200"/>
        <w:rPr>
          <w:rFonts w:ascii="宋体" w:hAnsi="宋体" w:hint="eastAsia"/>
          <w:sz w:val="28"/>
          <w:szCs w:val="28"/>
        </w:rPr>
        <w:sectPr>
          <w:headerReference w:type="default" r:id="rId37"/>
          <w:footerReference w:type="even" r:id="rId38"/>
          <w:footerReference w:type="default" r:id="rId39"/>
          <w:type w:val="nextPage"/>
          <w:pgSz w:w="11906" w:h="16838"/>
          <w:pgMar w:top="1440" w:right="1474" w:bottom="1440" w:left="1758" w:header="851" w:footer="992" w:gutter="0"/>
          <w:pgNumType w:start="9"/>
          <w:cols w:num="1" w:space="425"/>
          <w:titlePg w:val="0"/>
          <w:docGrid w:type="linesAndChars" w:linePitch="312" w:charSpace="-3532"/>
        </w:sectPr>
      </w:pPr>
    </w:p>
    <w:p>
      <w:pPr>
        <w:pStyle w:val="Normal0"/>
        <w:spacing w:line="520" w:lineRule="exact"/>
        <w:ind w:firstLine="560" w:firstLineChars="200"/>
        <w:rPr>
          <w:rFonts w:ascii="宋体" w:hAnsi="宋体" w:hint="eastAsia"/>
          <w:sz w:val="28"/>
          <w:szCs w:val="28"/>
        </w:rPr>
      </w:pPr>
      <w:r>
        <w:rPr>
          <w:rFonts w:ascii="宋体" w:hAnsi="宋体" w:hint="eastAsia"/>
          <w:sz w:val="28"/>
          <w:szCs w:val="28"/>
        </w:rPr>
        <w:t>在我国现代物流产业起步发展的新形势下，有关省市开始重视现代物流产业的发展，国内一些优势生产和加工企业集团开始重视企业物流</w:t>
      </w:r>
      <w:r>
        <w:rPr>
          <w:rFonts w:ascii="宋体" w:hAnsi="宋体" w:hint="eastAsia"/>
          <w:sz w:val="28"/>
          <w:szCs w:val="28"/>
          <w:lang w:eastAsia="zh-CN"/>
        </w:rPr>
        <w:t>管理管控</w:t>
      </w:r>
      <w:r>
        <w:rPr>
          <w:rFonts w:ascii="宋体" w:hAnsi="宋体" w:hint="eastAsia"/>
          <w:sz w:val="28"/>
          <w:szCs w:val="28"/>
        </w:rPr>
        <w:t>，一批运输、仓储及货代等“类物流”企业逐步向现代第三方物流企业发展，涌现了一批民营专业化第三方物流企业，国际上一些老牌知名物流企业也开始进入我国。近年来，湖南省及相邻省份也开始认识到现代物流对于推动经济发展、改善投资环境、提高区域经济和工商企业在国内外市场竞争能力等方面的重要性。湖南省把发展现代物流产业作为一项涉及经济全局的战略问题，建设国际物流园区已经成为区域经济布局的战略重点，这项工作尽管刚开始起步，但市场发展前景十分广阔。</w:t>
      </w:r>
    </w:p>
    <w:p>
      <w:pPr>
        <w:pStyle w:val="Normal0"/>
        <w:spacing w:line="520" w:lineRule="exact"/>
        <w:ind w:firstLine="560" w:firstLineChars="200"/>
        <w:rPr>
          <w:rFonts w:ascii="宋体" w:hAnsi="宋体" w:hint="eastAsia"/>
          <w:b/>
          <w:sz w:val="28"/>
          <w:szCs w:val="28"/>
        </w:rPr>
      </w:pPr>
      <w:r>
        <w:rPr>
          <w:rFonts w:ascii="宋体" w:hAnsi="宋体" w:hint="eastAsia"/>
          <w:b/>
          <w:sz w:val="28"/>
          <w:szCs w:val="28"/>
        </w:rPr>
        <w:t>三、湖南省及长沙市“十五”</w:t>
      </w:r>
      <w:r>
        <w:rPr>
          <w:rFonts w:ascii="宋体" w:hAnsi="宋体" w:hint="eastAsia"/>
          <w:b/>
          <w:sz w:val="28"/>
          <w:szCs w:val="28"/>
          <w:lang w:eastAsia="zh-CN"/>
        </w:rPr>
        <w:t>相关计划</w:t>
      </w:r>
      <w:r>
        <w:rPr>
          <w:rFonts w:ascii="宋体" w:hAnsi="宋体" w:hint="eastAsia"/>
          <w:b/>
          <w:sz w:val="28"/>
          <w:szCs w:val="28"/>
        </w:rPr>
        <w:t>对发展现代物流产业提出了明确的要求</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在湖南省“十五”</w:t>
      </w:r>
      <w:r>
        <w:rPr>
          <w:rFonts w:ascii="宋体" w:hAnsi="宋体" w:hint="eastAsia"/>
          <w:sz w:val="28"/>
          <w:szCs w:val="28"/>
          <w:lang w:eastAsia="zh-CN"/>
        </w:rPr>
        <w:t>相关计划</w:t>
      </w:r>
      <w:r>
        <w:rPr>
          <w:rFonts w:ascii="宋体" w:hAnsi="宋体" w:hint="eastAsia"/>
          <w:sz w:val="28"/>
          <w:szCs w:val="28"/>
        </w:rPr>
        <w:t>纲要提出，加快建立以大商场、大市场、大网络为重点的现代高效市场流通体系，发展新型业态，创新经营手段，推行连锁经营、特许经营、代理配送、网上购物等现代营销方式，加快传统百货业向购物中心、超级市场、仓储式商场和专卖店、精品店发展。合理布局一批有产业优势的专业市场和边贸市场，在长株潭地带规划建设现代化的大型配送基地和物流中心。长沙市“十五”</w:t>
      </w:r>
      <w:r>
        <w:rPr>
          <w:rFonts w:ascii="宋体" w:hAnsi="宋体" w:hint="eastAsia"/>
          <w:sz w:val="28"/>
          <w:szCs w:val="28"/>
          <w:lang w:eastAsia="zh-CN"/>
        </w:rPr>
        <w:t>相关计划</w:t>
      </w:r>
      <w:r>
        <w:rPr>
          <w:rFonts w:ascii="宋体" w:hAnsi="宋体" w:hint="eastAsia"/>
          <w:sz w:val="28"/>
          <w:szCs w:val="28"/>
        </w:rPr>
        <w:t>纲要提出，按照大市场、大贸易、大流通格局发展现代流通业，使长沙形成区域性的物资集散中心、商业信息汇集发布中心、结算中心和会展中心。通过电子商务、网上交易等现代化营销方式以及超市、连锁、配送等新兴流通业态，形成多方位的流通格局和多功能的市场体系，建成不同辐射半径的商业批发体系和布局合理、层次分明的商业零售体系。大力发展物流产业，整合现有运输企业和仓储企业，引导市内大型储运公司向符合国际惯例的物流公司过渡，加快传统储运业向现代物流转变。</w:t>
      </w:r>
    </w:p>
    <w:p>
      <w:pPr>
        <w:pStyle w:val="Normal0"/>
        <w:spacing w:line="520" w:lineRule="exact"/>
        <w:ind w:firstLine="560" w:firstLineChars="200"/>
        <w:rPr>
          <w:rFonts w:ascii="宋体" w:hAnsi="宋体" w:hint="eastAsia"/>
          <w:sz w:val="28"/>
          <w:szCs w:val="28"/>
        </w:rPr>
        <w:sectPr>
          <w:headerReference w:type="default" r:id="rId40"/>
          <w:footerReference w:type="even" r:id="rId41"/>
          <w:footerReference w:type="default" r:id="rId42"/>
          <w:type w:val="nextPage"/>
          <w:pgSz w:w="11906" w:h="16838"/>
          <w:pgMar w:top="1440" w:right="1474" w:bottom="1440" w:left="1758" w:header="851" w:footer="992" w:gutter="0"/>
          <w:pgNumType w:start="10"/>
          <w:cols w:num="1" w:space="425"/>
          <w:titlePg w:val="0"/>
          <w:docGrid w:type="linesAndChars" w:linePitch="312" w:charSpace="-3532"/>
        </w:sectPr>
      </w:pPr>
    </w:p>
    <w:p>
      <w:pPr>
        <w:pStyle w:val="Normal0"/>
        <w:spacing w:line="520" w:lineRule="exact"/>
        <w:ind w:firstLine="560" w:firstLineChars="200"/>
        <w:rPr>
          <w:rFonts w:ascii="宋体" w:hAnsi="宋体" w:hint="eastAsia"/>
          <w:sz w:val="28"/>
          <w:szCs w:val="28"/>
        </w:rPr>
      </w:pPr>
      <w:r>
        <w:rPr>
          <w:rFonts w:ascii="宋体" w:hAnsi="宋体" w:hint="eastAsia"/>
          <w:sz w:val="28"/>
          <w:szCs w:val="28"/>
        </w:rPr>
        <w:t>随着我国加入WTO，沃尔玛、万客隆、麦德龙、家乐福等世界级的商业企业已经进入长沙，在对现有零售业产生强大冲击的同时，必然带动湖南省及长沙市现代物流产业的产生和发展。与此同时，国家对西部地区实行大开发战略，长沙作为连接东西部地区的重要桥梁和纽带，发展现代物流产业将面临极大的发展机遇。长株潭区域经济一体化，必然要求区域物流组织的一体化和系统化，省、市“十五”</w:t>
      </w:r>
      <w:r>
        <w:rPr>
          <w:rFonts w:ascii="宋体" w:hAnsi="宋体" w:hint="eastAsia"/>
          <w:sz w:val="28"/>
          <w:szCs w:val="28"/>
          <w:lang w:eastAsia="zh-CN"/>
        </w:rPr>
        <w:t>相关计划</w:t>
      </w:r>
      <w:r>
        <w:rPr>
          <w:rFonts w:ascii="宋体" w:hAnsi="宋体" w:hint="eastAsia"/>
          <w:sz w:val="28"/>
          <w:szCs w:val="28"/>
        </w:rPr>
        <w:t>为本地区现代物流产业的发展提供了重要的政策依据和明确的发展要求。</w:t>
      </w:r>
    </w:p>
    <w:p>
      <w:pPr>
        <w:pStyle w:val="Normal0"/>
        <w:spacing w:line="520" w:lineRule="exact"/>
        <w:ind w:firstLine="560" w:firstLineChars="200"/>
        <w:rPr>
          <w:rFonts w:ascii="宋体" w:hAnsi="宋体" w:hint="eastAsia"/>
          <w:b/>
          <w:sz w:val="28"/>
          <w:szCs w:val="28"/>
        </w:rPr>
      </w:pPr>
      <w:r>
        <w:rPr>
          <w:rFonts w:ascii="宋体" w:hAnsi="宋体" w:hint="eastAsia"/>
          <w:b/>
          <w:sz w:val="28"/>
          <w:szCs w:val="28"/>
        </w:rPr>
        <w:t>四、湖南省、长沙市的经济现状和地理位置对能够提供综合性、专业化物流服务社会化现代物流服务体系提出了现实需求</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湖南省位于我国中部，京广铁路、湘赣铁路、湘黔铁路、京珠高速、319国道、107国道穿境而过，省会长沙为区内政治、经济、文化、科技中心和交通枢纽。湖南省内目前共有各类企业64万家以上，其中99%以上是中小企业。以长沙市为中心，沿319国道线向东西拓展、沿京珠大动脉向南北拓展，在半径为50公里的范围内，有长沙高新区、株洲高新区、长沙经济技术开发区、浏阳国际生物医药园、湘潭经济技术开发区、望城食品工业园、远大工业园等十几个园区（其中国家级园区3个），形成了一个以长沙为中心、以319国道和京珠大动脉为轴线的高科技产业带，聚集了长株潭地区（长沙、株洲、湘潭）乃至湖南省的主要企业。</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而目前湖南省的80%以上的企业的物流执行主体以自办物流为主，第三方物流代理比例较低，且以物流分包形式为主；企业自办物流的作业表现情况是，单据准确率低，配送不及时，货物缺损率高；企业自办物流设施利用率低，物流费用支出高，库存不合理。这些情况说明，湖南省、长株潭地区需要专门服务于生产企业、物流企业和相关服务机构的公共社会化的物流基地，构成一个社会化的物流服务体系，以提高本地区参与国际国内市场竞争的能力。</w:t>
      </w:r>
    </w:p>
    <w:p>
      <w:pPr>
        <w:pStyle w:val="Normal0"/>
        <w:spacing w:line="520" w:lineRule="exact"/>
        <w:ind w:firstLine="560" w:firstLineChars="200"/>
        <w:rPr>
          <w:rFonts w:ascii="宋体" w:hAnsi="宋体" w:hint="eastAsia"/>
          <w:sz w:val="28"/>
          <w:szCs w:val="28"/>
        </w:rPr>
        <w:sectPr>
          <w:headerReference w:type="default" r:id="rId43"/>
          <w:footerReference w:type="even" r:id="rId44"/>
          <w:footerReference w:type="default" r:id="rId45"/>
          <w:type w:val="nextPage"/>
          <w:pgSz w:w="11906" w:h="16838"/>
          <w:pgMar w:top="1440" w:right="1474" w:bottom="1440" w:left="1758" w:header="851" w:footer="992" w:gutter="0"/>
          <w:pgNumType w:start="11"/>
          <w:cols w:num="1" w:space="425"/>
          <w:titlePg w:val="0"/>
          <w:docGrid w:type="linesAndChars" w:linePitch="312" w:charSpace="-3532"/>
        </w:sectPr>
      </w:pPr>
      <w:r>
        <w:rPr>
          <w:rFonts w:ascii="宋体" w:hAnsi="宋体" w:hint="eastAsia"/>
          <w:sz w:val="28"/>
          <w:szCs w:val="28"/>
          <w:lang w:eastAsia="zh-CN"/>
        </w:rPr>
        <w:t>相关项目</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建设单位湖南省XX实业发展有限公司目前已经建立了XX物流中心，并产生了良好的社会效益和经济效益，但是，随着区域经济的发展、产业园区的建设、入驻企业的增加，已满足不了企业的现代物流需求。目前，入驻XX物流中心的国外企业有LG、伊莱克斯、摩托罗拉等国际知名企业，及中外运集团、天津大田国际货运、西安万方、石家庄三友、青岛祥运通、内蒙古巴运集团、北京柳林等国内比较大第三方物流企业，受基础条件的制约，物流中心只能提供配载、仓储、装卸、住宿、加油、汽车维修等比较简单的传统物流服务，远不能适应未来区域经济发展对现代物流的要求。</w:t>
      </w:r>
    </w:p>
    <w:p>
      <w:pPr>
        <w:pStyle w:val="Normal0"/>
        <w:spacing w:line="520" w:lineRule="exact"/>
        <w:ind w:firstLine="560" w:firstLineChars="200"/>
        <w:rPr>
          <w:rFonts w:ascii="宋体" w:hAnsi="宋体" w:hint="eastAsia"/>
          <w:b/>
          <w:sz w:val="28"/>
          <w:szCs w:val="28"/>
        </w:rPr>
      </w:pPr>
      <w:r>
        <w:rPr>
          <w:rFonts w:ascii="宋体" w:hAnsi="宋体" w:hint="eastAsia"/>
          <w:b/>
          <w:sz w:val="28"/>
          <w:szCs w:val="28"/>
        </w:rPr>
        <w:t>五、开发建设“湖南XX国际物流园”有利于参与国际国内物流市场的竞争</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物流园区是现代物流发展的产物，是由设施齐备、功能齐全的物流基础设施及服务完善的第三方物流企业在空间上的组合。“湖南XX国际物流园”的开发建设，将商流、物流、信息流、资金流融为一体，将市场功能、海关功能、物流基地功能、金融结算功能融于一区，服务于长沙高新区、长沙经开区、浏阳生物医药园等产业园区企业和出口加工基地，服务于以长沙为中心的高科技产业带，为长沙市乃至湖南省区域经济的发展提供有力的支撑。</w:t>
      </w:r>
    </w:p>
    <w:p>
      <w:pPr>
        <w:pStyle w:val="NormalWeb"/>
        <w:spacing w:before="0" w:beforeAutospacing="0" w:after="0" w:afterAutospacing="0" w:line="520" w:lineRule="exact"/>
        <w:ind w:firstLine="560" w:firstLineChars="200"/>
        <w:rPr>
          <w:rFonts w:ascii="宋体" w:eastAsia="宋体" w:hAnsi="宋体" w:hint="eastAsia"/>
          <w:sz w:val="28"/>
          <w:szCs w:val="28"/>
        </w:rPr>
        <w:sectPr>
          <w:headerReference w:type="default" r:id="rId46"/>
          <w:footerReference w:type="even" r:id="rId47"/>
          <w:footerReference w:type="default" r:id="rId48"/>
          <w:type w:val="nextPage"/>
          <w:pgSz w:w="11906" w:h="16838"/>
          <w:pgMar w:top="1440" w:right="1474" w:bottom="1440" w:left="1758" w:header="851" w:footer="992" w:gutter="0"/>
          <w:pgNumType w:start="12"/>
          <w:cols w:num="1" w:space="425"/>
          <w:titlePg w:val="0"/>
          <w:docGrid w:type="linesAndChars" w:linePitch="312" w:charSpace="-3532"/>
        </w:sectPr>
      </w:pPr>
    </w:p>
    <w:p>
      <w:pPr>
        <w:pStyle w:val="Heading1"/>
        <w:spacing w:before="0" w:after="0" w:line="520" w:lineRule="exact"/>
        <w:rPr>
          <w:rFonts w:ascii="宋体" w:eastAsia="宋体" w:hAnsi="宋体" w:hint="eastAsia"/>
          <w:sz w:val="28"/>
          <w:szCs w:val="28"/>
        </w:rPr>
      </w:pPr>
      <w:bookmarkStart w:id="68" w:name="_Toc8921432"/>
      <w:bookmarkStart w:id="69" w:name="_Toc9141266"/>
      <w:bookmarkStart w:id="70" w:name="_Toc19449437"/>
      <w:bookmarkStart w:id="71" w:name="_Toc20275457"/>
      <w:bookmarkStart w:id="72" w:name="_Toc20275635"/>
      <w:bookmarkStart w:id="73" w:name="_Toc45100305"/>
      <w:bookmarkStart w:id="74" w:name="_Toc45100566"/>
      <w:bookmarkStart w:id="75" w:name="_Toc45100430"/>
      <w:r>
        <w:rPr>
          <w:rFonts w:ascii="宋体" w:eastAsia="宋体" w:hAnsi="宋体" w:hint="eastAsia"/>
          <w:sz w:val="28"/>
          <w:szCs w:val="28"/>
        </w:rPr>
        <w:t xml:space="preserve">第三章 </w:t>
      </w:r>
      <w:bookmarkEnd w:id="68"/>
      <w:bookmarkEnd w:id="69"/>
      <w:r>
        <w:rPr>
          <w:rFonts w:ascii="宋体" w:eastAsia="宋体" w:hAnsi="宋体" w:hint="eastAsia"/>
          <w:sz w:val="28"/>
          <w:szCs w:val="28"/>
          <w:lang w:eastAsia="zh-CN"/>
        </w:rPr>
        <w:t>相关项目</w:t>
      </w:r>
      <w:r>
        <w:rPr>
          <w:rFonts w:ascii="宋体" w:eastAsia="宋体" w:hAnsi="宋体" w:hint="eastAsia"/>
          <w:sz w:val="28"/>
          <w:szCs w:val="28"/>
        </w:rPr>
        <w:t>建设单位</w:t>
      </w:r>
      <w:bookmarkEnd w:id="70"/>
      <w:bookmarkEnd w:id="71"/>
      <w:bookmarkEnd w:id="72"/>
      <w:r>
        <w:rPr>
          <w:rFonts w:ascii="宋体" w:eastAsia="宋体" w:hAnsi="宋体" w:hint="eastAsia"/>
          <w:sz w:val="28"/>
          <w:szCs w:val="28"/>
        </w:rPr>
        <w:t>概况</w:t>
      </w:r>
      <w:bookmarkEnd w:id="73"/>
      <w:bookmarkEnd w:id="74"/>
      <w:bookmarkEnd w:id="75"/>
    </w:p>
    <w:p>
      <w:pPr>
        <w:pStyle w:val="Heading2"/>
        <w:spacing w:line="520" w:lineRule="exact"/>
        <w:rPr>
          <w:rFonts w:hint="eastAsia"/>
          <w:color w:val="auto"/>
          <w:sz w:val="28"/>
          <w:szCs w:val="28"/>
        </w:rPr>
      </w:pPr>
      <w:bookmarkStart w:id="76" w:name="_Toc45100306"/>
      <w:bookmarkStart w:id="77" w:name="_Toc19449438"/>
      <w:bookmarkStart w:id="78" w:name="_Toc20275458"/>
      <w:bookmarkStart w:id="79" w:name="_Toc17091094"/>
      <w:bookmarkStart w:id="80" w:name="_Toc45100567"/>
      <w:bookmarkStart w:id="81" w:name="_Toc20275636"/>
      <w:bookmarkStart w:id="82" w:name="_Toc45100431"/>
      <w:r>
        <w:rPr>
          <w:rFonts w:hint="eastAsia"/>
          <w:color w:val="auto"/>
          <w:sz w:val="28"/>
          <w:szCs w:val="28"/>
        </w:rPr>
        <w:t>1、公司基本情况</w:t>
      </w:r>
      <w:bookmarkEnd w:id="76"/>
      <w:bookmarkEnd w:id="77"/>
      <w:bookmarkEnd w:id="78"/>
      <w:bookmarkEnd w:id="79"/>
      <w:bookmarkEnd w:id="80"/>
      <w:bookmarkEnd w:id="81"/>
      <w:bookmarkEnd w:id="82"/>
    </w:p>
    <w:p>
      <w:pPr>
        <w:pStyle w:val="NormalWeb"/>
        <w:spacing w:before="0" w:beforeAutospacing="0" w:after="0" w:afterAutospacing="0" w:line="520" w:lineRule="exact"/>
        <w:ind w:firstLine="560" w:firstLineChars="200"/>
        <w:rPr>
          <w:rFonts w:ascii="宋体" w:eastAsia="宋体" w:hAnsi="宋体" w:hint="eastAsia"/>
          <w:sz w:val="28"/>
          <w:szCs w:val="28"/>
        </w:rPr>
      </w:pPr>
      <w:r>
        <w:rPr>
          <w:rFonts w:ascii="宋体" w:eastAsia="宋体" w:hAnsi="宋体" w:hint="eastAsia"/>
          <w:sz w:val="28"/>
          <w:szCs w:val="28"/>
        </w:rPr>
        <w:t>公司名称： 湖南省XX实业发展有限公司</w:t>
      </w:r>
    </w:p>
    <w:p>
      <w:pPr>
        <w:pStyle w:val="NormalWeb"/>
        <w:spacing w:before="0" w:beforeAutospacing="0" w:after="0" w:afterAutospacing="0" w:line="520" w:lineRule="exact"/>
        <w:ind w:firstLine="560" w:firstLineChars="200"/>
        <w:rPr>
          <w:rFonts w:ascii="宋体" w:eastAsia="宋体" w:hAnsi="宋体" w:hint="eastAsia"/>
          <w:sz w:val="28"/>
          <w:szCs w:val="28"/>
        </w:rPr>
      </w:pPr>
      <w:r>
        <w:rPr>
          <w:rFonts w:ascii="宋体" w:eastAsia="宋体" w:hAnsi="宋体" w:hint="eastAsia"/>
          <w:sz w:val="28"/>
          <w:szCs w:val="28"/>
        </w:rPr>
        <w:t>成立时间：1999年9月</w:t>
      </w:r>
    </w:p>
    <w:p>
      <w:pPr>
        <w:pStyle w:val="NormalWeb"/>
        <w:spacing w:before="0" w:beforeAutospacing="0" w:after="0" w:afterAutospacing="0" w:line="520" w:lineRule="exact"/>
        <w:ind w:firstLine="560" w:firstLineChars="200"/>
        <w:rPr>
          <w:rFonts w:ascii="宋体" w:eastAsia="宋体" w:hAnsi="宋体" w:hint="eastAsia"/>
          <w:sz w:val="28"/>
          <w:szCs w:val="28"/>
        </w:rPr>
      </w:pPr>
      <w:r>
        <w:rPr>
          <w:rFonts w:ascii="宋体" w:eastAsia="宋体" w:hAnsi="宋体" w:hint="eastAsia"/>
          <w:sz w:val="28"/>
          <w:szCs w:val="28"/>
        </w:rPr>
        <w:t>注册资本：人民币3000万</w:t>
      </w:r>
    </w:p>
    <w:p>
      <w:pPr>
        <w:pStyle w:val="NormalWeb"/>
        <w:spacing w:before="0" w:beforeAutospacing="0" w:after="0" w:afterAutospacing="0" w:line="520" w:lineRule="exact"/>
        <w:ind w:firstLine="560" w:firstLineChars="200"/>
        <w:rPr>
          <w:rFonts w:ascii="宋体" w:eastAsia="宋体" w:hAnsi="宋体" w:hint="eastAsia"/>
          <w:sz w:val="28"/>
          <w:szCs w:val="28"/>
        </w:rPr>
      </w:pPr>
      <w:r>
        <w:rPr>
          <w:rFonts w:ascii="宋体" w:eastAsia="宋体" w:hAnsi="宋体" w:hint="eastAsia"/>
          <w:sz w:val="28"/>
          <w:szCs w:val="28"/>
        </w:rPr>
        <w:t>注册地址</w:t>
      </w:r>
      <w:r>
        <w:rPr>
          <w:rFonts w:ascii="宋体" w:eastAsia="宋体" w:hAnsi="宋体"/>
          <w:sz w:val="28"/>
          <w:szCs w:val="28"/>
        </w:rPr>
        <w:t>：</w:t>
      </w:r>
      <w:r>
        <w:rPr>
          <w:rFonts w:ascii="宋体" w:eastAsia="宋体" w:hAnsi="宋体" w:hint="eastAsia"/>
          <w:sz w:val="28"/>
          <w:szCs w:val="28"/>
        </w:rPr>
        <w:t>长沙经济技术开发区XX纸业大市场</w:t>
      </w:r>
    </w:p>
    <w:p>
      <w:pPr>
        <w:pStyle w:val="NormalWeb"/>
        <w:spacing w:before="0" w:beforeAutospacing="0" w:after="0" w:afterAutospacing="0" w:line="520" w:lineRule="exact"/>
        <w:ind w:firstLine="560" w:firstLineChars="200"/>
        <w:rPr>
          <w:rFonts w:ascii="宋体" w:eastAsia="宋体" w:hAnsi="宋体" w:hint="eastAsia"/>
          <w:sz w:val="28"/>
          <w:szCs w:val="28"/>
          <w:lang w:eastAsia="zh-CN"/>
        </w:rPr>
      </w:pPr>
      <w:r>
        <w:rPr>
          <w:rFonts w:ascii="宋体" w:eastAsia="宋体" w:hAnsi="宋体" w:hint="eastAsia"/>
          <w:sz w:val="28"/>
          <w:szCs w:val="28"/>
        </w:rPr>
        <w:t>企业登记注册类型：</w:t>
      </w:r>
      <w:r>
        <w:rPr>
          <w:rFonts w:ascii="宋体" w:eastAsia="宋体" w:hAnsi="宋体" w:hint="eastAsia"/>
          <w:sz w:val="28"/>
          <w:szCs w:val="28"/>
          <w:lang w:eastAsia="zh-CN"/>
        </w:rPr>
        <w:t>XX</w:t>
      </w:r>
    </w:p>
    <w:p>
      <w:pPr>
        <w:pStyle w:val="NormalWeb"/>
        <w:spacing w:before="0" w:beforeAutospacing="0" w:after="0" w:afterAutospacing="0" w:line="520" w:lineRule="exact"/>
        <w:ind w:firstLine="560" w:firstLineChars="200"/>
        <w:rPr>
          <w:rFonts w:ascii="宋体" w:eastAsia="宋体" w:hAnsi="宋体" w:hint="eastAsia"/>
          <w:sz w:val="28"/>
          <w:szCs w:val="28"/>
        </w:rPr>
      </w:pPr>
      <w:r>
        <w:rPr>
          <w:rFonts w:ascii="宋体" w:eastAsia="宋体" w:hAnsi="宋体" w:hint="eastAsia"/>
          <w:sz w:val="28"/>
          <w:szCs w:val="28"/>
        </w:rPr>
        <w:t xml:space="preserve">法定代表人：刘珍如 </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湖南省XX实业发展有限公司是开发区一家民营企业，公司注册资金3000万元，总资产3.27亿元，员工1000余人。</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2000年8月，公司兴建了湖南省目前最大的物流中心，即湖南省XX物流中心。XX物流中心地理位置优势，交通十分便利，距黄花国际机场、长沙火车站、湘江码头均约十公里。物流中心占地面积100亩，拥有商业门面100个，仓储1.5万多平方米，停车场4万平方米，可容纳300多人的客房。经过一年多的运作，XX物流中心已经产生效益，目前可以提供配载、仓储、装卸、住宿、加油、汽车维修等一系列物流及配套服务，吸引了中外运集团、天津大田国际货运、西安万方、石家庄三友、青岛祥运通、内蒙古巴运集团、北京柳林及广州、南昌和省内近百家涵盖航空、公路、铁路、快递等业务的物流企业入驻加盟，形成了一个面向全国的物流输运网络。LG、伊莱克斯、摩托罗拉等一批国际知名企业已选择XX物流中心作为仓储基地，长沙市港务局也选择XX物流中心作为集装箱停放中心。2001年，XX物流中心年交易额达到2亿元，上缴税收逾300万元。</w:t>
      </w:r>
    </w:p>
    <w:p>
      <w:pPr>
        <w:pStyle w:val="Normal0"/>
        <w:spacing w:line="520" w:lineRule="exact"/>
        <w:ind w:firstLine="560" w:firstLineChars="200"/>
        <w:rPr>
          <w:rFonts w:ascii="宋体" w:hAnsi="宋体" w:hint="eastAsia"/>
          <w:sz w:val="28"/>
          <w:szCs w:val="28"/>
        </w:rPr>
        <w:sectPr>
          <w:headerReference w:type="default" r:id="rId49"/>
          <w:footerReference w:type="even" r:id="rId50"/>
          <w:footerReference w:type="default" r:id="rId51"/>
          <w:type w:val="nextPage"/>
          <w:pgSz w:w="11906" w:h="16838"/>
          <w:pgMar w:top="1440" w:right="1474" w:bottom="1440" w:left="1758" w:header="851" w:footer="992" w:gutter="0"/>
          <w:pgNumType w:start="13"/>
          <w:cols w:num="1" w:space="425"/>
          <w:titlePg w:val="0"/>
          <w:docGrid w:type="linesAndChars" w:linePitch="312" w:charSpace="-3532"/>
        </w:sectPr>
      </w:pPr>
      <w:r>
        <w:rPr>
          <w:rFonts w:ascii="宋体" w:hAnsi="宋体" w:hint="eastAsia"/>
          <w:sz w:val="28"/>
          <w:szCs w:val="28"/>
        </w:rPr>
        <w:t>湖南省XX实业发展有限公司目前正在积极筹备“湖南XX国际物流园”</w:t>
      </w:r>
      <w:r>
        <w:rPr>
          <w:rFonts w:ascii="宋体" w:hAnsi="宋体" w:hint="eastAsia"/>
          <w:sz w:val="28"/>
          <w:szCs w:val="28"/>
          <w:lang w:eastAsia="zh-CN"/>
        </w:rPr>
        <w:t>相关项目</w:t>
      </w:r>
      <w:r>
        <w:rPr>
          <w:rFonts w:ascii="宋体" w:hAnsi="宋体" w:hint="eastAsia"/>
          <w:sz w:val="28"/>
          <w:szCs w:val="28"/>
        </w:rPr>
        <w:t>，同时加紧开发面向客户的电子交易网络系统、物流中心内部</w:t>
      </w:r>
      <w:r>
        <w:rPr>
          <w:rFonts w:ascii="宋体" w:hAnsi="宋体" w:hint="eastAsia"/>
          <w:sz w:val="28"/>
          <w:szCs w:val="28"/>
          <w:lang w:eastAsia="zh-CN"/>
        </w:rPr>
        <w:t>管理管控</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智能化系统，并积极投资建设现代化仓储等物流设施，使物流中心由停车、住宿、配载等传统物流及配套服务企业转型为物流信息、区域配送、仓储、流通加工及园区物业</w:t>
      </w:r>
      <w:r>
        <w:rPr>
          <w:rFonts w:ascii="宋体" w:hAnsi="宋体" w:hint="eastAsia"/>
          <w:sz w:val="28"/>
          <w:szCs w:val="28"/>
          <w:lang w:eastAsia="zh-CN"/>
        </w:rPr>
        <w:t>管理管控</w:t>
      </w:r>
      <w:r>
        <w:rPr>
          <w:rFonts w:ascii="宋体" w:hAnsi="宋体" w:hint="eastAsia"/>
          <w:sz w:val="28"/>
          <w:szCs w:val="28"/>
        </w:rPr>
        <w:t>等现代第三方物流及配套服务企业。</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湖南省XX实业发展有限公司具有良好的市场网络，到目前为止，公司已经组织了2000年、2002年全国纸张订货交易会、首届中国（XX）皮革博览交易会等大型全国性交易会，表现出了良好的组织能力和市场号召能力。</w:t>
      </w:r>
    </w:p>
    <w:p>
      <w:pPr>
        <w:pStyle w:val="Normal0"/>
        <w:spacing w:line="520" w:lineRule="exact"/>
        <w:ind w:firstLine="560" w:firstLineChars="200"/>
        <w:rPr>
          <w:rFonts w:ascii="宋体" w:hAnsi="宋体" w:hint="eastAsia"/>
          <w:sz w:val="28"/>
          <w:szCs w:val="28"/>
        </w:rPr>
        <w:sectPr>
          <w:headerReference w:type="default" r:id="rId52"/>
          <w:footerReference w:type="even" r:id="rId53"/>
          <w:footerReference w:type="default" r:id="rId54"/>
          <w:type w:val="nextPage"/>
          <w:pgSz w:w="11906" w:h="16838"/>
          <w:pgMar w:top="1440" w:right="1474" w:bottom="1440" w:left="1758" w:header="851" w:footer="992" w:gutter="0"/>
          <w:pgNumType w:start="14"/>
          <w:cols w:num="1" w:space="425"/>
          <w:titlePg w:val="0"/>
          <w:docGrid w:type="linesAndChars" w:linePitch="312" w:charSpace="-3532"/>
        </w:sectPr>
      </w:pPr>
      <w:r>
        <w:rPr>
          <w:rFonts w:ascii="宋体" w:hAnsi="宋体" w:hint="eastAsia"/>
          <w:sz w:val="28"/>
          <w:szCs w:val="28"/>
        </w:rPr>
        <w:t>湖南省XX实业发展有限公司2001年已被国家经贸委中小企业对外合作协调中心列为长沙市中小企业社会化物流服务体系建设工作试点企业，被中国物流与采购联合会吸收为会员单位，物流信息化</w:t>
      </w:r>
      <w:r>
        <w:rPr>
          <w:rFonts w:ascii="宋体" w:hAnsi="宋体" w:hint="eastAsia"/>
          <w:sz w:val="28"/>
          <w:szCs w:val="28"/>
          <w:lang w:eastAsia="zh-CN"/>
        </w:rPr>
        <w:t>相关项目</w:t>
      </w:r>
      <w:r>
        <w:rPr>
          <w:rFonts w:ascii="宋体" w:hAnsi="宋体" w:hint="eastAsia"/>
          <w:sz w:val="28"/>
          <w:szCs w:val="28"/>
        </w:rPr>
        <w:t>被长沙市经委列为2002年重点技术创新</w:t>
      </w:r>
      <w:r>
        <w:rPr>
          <w:rFonts w:ascii="宋体" w:hAnsi="宋体" w:hint="eastAsia"/>
          <w:sz w:val="28"/>
          <w:szCs w:val="28"/>
          <w:lang w:eastAsia="zh-CN"/>
        </w:rPr>
        <w:t>相关项目</w:t>
      </w:r>
      <w:r>
        <w:rPr>
          <w:rFonts w:ascii="宋体" w:hAnsi="宋体" w:hint="eastAsia"/>
          <w:sz w:val="28"/>
          <w:szCs w:val="28"/>
        </w:rPr>
        <w:t>，“湖南XX国际物流园”</w:t>
      </w:r>
      <w:r>
        <w:rPr>
          <w:rFonts w:ascii="宋体" w:hAnsi="宋体" w:hint="eastAsia"/>
          <w:sz w:val="28"/>
          <w:szCs w:val="28"/>
          <w:lang w:eastAsia="zh-CN"/>
        </w:rPr>
        <w:t>相关项目</w:t>
      </w:r>
      <w:r>
        <w:rPr>
          <w:rFonts w:ascii="宋体" w:hAnsi="宋体" w:hint="eastAsia"/>
          <w:sz w:val="28"/>
          <w:szCs w:val="28"/>
        </w:rPr>
        <w:t>被长沙经济技术开发区列为2002年重点扶持</w:t>
      </w:r>
      <w:r>
        <w:rPr>
          <w:rFonts w:ascii="宋体" w:hAnsi="宋体" w:hint="eastAsia"/>
          <w:sz w:val="28"/>
          <w:szCs w:val="28"/>
          <w:lang w:eastAsia="zh-CN"/>
        </w:rPr>
        <w:t>相关项目</w:t>
      </w:r>
      <w:r>
        <w:rPr>
          <w:rFonts w:ascii="宋体" w:hAnsi="宋体" w:hint="eastAsia"/>
          <w:sz w:val="28"/>
          <w:szCs w:val="28"/>
        </w:rPr>
        <w:t>，并获得国家经贸委中小企业对外合作协调中心同意，作为全国中小企业社会化物流服务体系示范</w:t>
      </w:r>
      <w:r>
        <w:rPr>
          <w:rFonts w:ascii="宋体" w:hAnsi="宋体" w:hint="eastAsia"/>
          <w:sz w:val="28"/>
          <w:szCs w:val="28"/>
          <w:lang w:eastAsia="zh-CN"/>
        </w:rPr>
        <w:t>相关项目</w:t>
      </w:r>
      <w:r>
        <w:rPr>
          <w:rFonts w:ascii="宋体" w:hAnsi="宋体" w:hint="eastAsia"/>
          <w:sz w:val="28"/>
          <w:szCs w:val="28"/>
        </w:rPr>
        <w:t>。</w:t>
      </w:r>
    </w:p>
    <w:p>
      <w:pPr>
        <w:pStyle w:val="Heading1"/>
        <w:spacing w:before="0" w:after="0" w:line="520" w:lineRule="exact"/>
        <w:rPr>
          <w:rFonts w:ascii="宋体" w:eastAsia="宋体" w:hAnsi="宋体" w:hint="eastAsia"/>
          <w:sz w:val="28"/>
          <w:szCs w:val="28"/>
        </w:rPr>
      </w:pPr>
      <w:bookmarkStart w:id="83" w:name="_Toc19449446"/>
      <w:bookmarkStart w:id="84" w:name="_Toc45100307"/>
      <w:bookmarkStart w:id="85" w:name="_Toc45100432"/>
      <w:bookmarkStart w:id="86" w:name="_Toc20275460"/>
      <w:bookmarkStart w:id="87" w:name="_Toc20275638"/>
      <w:bookmarkStart w:id="88" w:name="_Toc45100568"/>
      <w:r>
        <w:rPr>
          <w:rFonts w:ascii="宋体" w:eastAsia="宋体" w:hAnsi="宋体" w:hint="eastAsia"/>
          <w:sz w:val="28"/>
          <w:szCs w:val="28"/>
        </w:rPr>
        <w:t>第四章 行业分析及市场</w:t>
      </w:r>
      <w:bookmarkEnd w:id="83"/>
      <w:r>
        <w:rPr>
          <w:rFonts w:ascii="宋体" w:eastAsia="宋体" w:hAnsi="宋体" w:hint="eastAsia"/>
          <w:sz w:val="28"/>
          <w:szCs w:val="28"/>
        </w:rPr>
        <w:t>预测</w:t>
      </w:r>
      <w:bookmarkEnd w:id="84"/>
      <w:bookmarkEnd w:id="85"/>
      <w:bookmarkEnd w:id="86"/>
      <w:bookmarkEnd w:id="87"/>
      <w:bookmarkEnd w:id="88"/>
    </w:p>
    <w:p>
      <w:pPr>
        <w:pStyle w:val="Heading2"/>
        <w:spacing w:line="520" w:lineRule="exact"/>
        <w:rPr>
          <w:rFonts w:hint="eastAsia"/>
          <w:color w:val="auto"/>
          <w:sz w:val="28"/>
          <w:szCs w:val="28"/>
        </w:rPr>
      </w:pPr>
      <w:bookmarkStart w:id="89" w:name="_Toc45100308"/>
      <w:bookmarkStart w:id="90" w:name="_Toc45100433"/>
      <w:bookmarkStart w:id="91" w:name="_Toc45100569"/>
      <w:bookmarkStart w:id="92" w:name="_Toc20275461"/>
      <w:bookmarkStart w:id="93" w:name="_Toc20275639"/>
      <w:r>
        <w:rPr>
          <w:rFonts w:hint="eastAsia"/>
          <w:color w:val="auto"/>
          <w:sz w:val="28"/>
          <w:szCs w:val="28"/>
        </w:rPr>
        <w:t>1、市场现状</w:t>
      </w:r>
      <w:bookmarkEnd w:id="89"/>
      <w:bookmarkEnd w:id="90"/>
      <w:bookmarkEnd w:id="91"/>
      <w:bookmarkEnd w:id="92"/>
      <w:bookmarkEnd w:id="93"/>
    </w:p>
    <w:p>
      <w:pPr>
        <w:pStyle w:val="Heading3"/>
        <w:spacing w:before="0" w:after="0" w:line="520" w:lineRule="exact"/>
        <w:rPr>
          <w:rFonts w:ascii="宋体" w:eastAsia="宋体" w:hAnsi="宋体" w:hint="eastAsia"/>
          <w:szCs w:val="28"/>
        </w:rPr>
      </w:pPr>
      <w:bookmarkStart w:id="94" w:name="_Toc20275462"/>
      <w:r>
        <w:rPr>
          <w:rFonts w:ascii="宋体" w:eastAsia="宋体" w:hAnsi="宋体" w:hint="eastAsia"/>
          <w:szCs w:val="28"/>
        </w:rPr>
        <w:t>1</w:t>
      </w:r>
      <w:r>
        <w:rPr>
          <w:rFonts w:ascii="宋体" w:eastAsia="宋体" w:hAnsi="宋体"/>
          <w:szCs w:val="28"/>
        </w:rPr>
        <w:t>.1</w:t>
      </w:r>
      <w:r>
        <w:rPr>
          <w:rFonts w:ascii="宋体" w:eastAsia="宋体" w:hAnsi="宋体" w:hint="eastAsia"/>
          <w:szCs w:val="28"/>
        </w:rPr>
        <w:t>、国际情况</w:t>
      </w:r>
      <w:bookmarkEnd w:id="94"/>
    </w:p>
    <w:p>
      <w:pPr>
        <w:pStyle w:val="Normal0"/>
        <w:spacing w:line="520" w:lineRule="exact"/>
        <w:ind w:firstLine="560" w:firstLineChars="200"/>
        <w:rPr>
          <w:rFonts w:ascii="宋体" w:hAnsi="宋体" w:hint="eastAsia"/>
          <w:sz w:val="28"/>
          <w:szCs w:val="28"/>
        </w:rPr>
      </w:pPr>
      <w:r>
        <w:rPr>
          <w:rFonts w:ascii="宋体" w:hAnsi="宋体" w:hint="eastAsia"/>
          <w:sz w:val="28"/>
          <w:szCs w:val="28"/>
        </w:rPr>
        <w:t>随着经济全球化步伐的加快和信息技术、通讯技术的发展,全球制造、采购、销售趋势的加强，现代物流产业的发展呈现出新的特点,一是电子物流的兴起,据预测,到2002年底电子商务交易额将达到8400亿美元;二是物流规模进一步扩大,主要表现在物流园区建设方面;三是物流服务的优质化,定制服务、供应链</w:t>
      </w:r>
      <w:r>
        <w:rPr>
          <w:rFonts w:ascii="宋体" w:hAnsi="宋体" w:hint="eastAsia"/>
          <w:sz w:val="28"/>
          <w:szCs w:val="28"/>
          <w:lang w:eastAsia="zh-CN"/>
        </w:rPr>
        <w:t>管理管控</w:t>
      </w:r>
      <w:r>
        <w:rPr>
          <w:rFonts w:ascii="宋体" w:hAnsi="宋体" w:hint="eastAsia"/>
          <w:sz w:val="28"/>
          <w:szCs w:val="28"/>
        </w:rPr>
        <w:t>成为代表性特征;四是第三方物流企业发展迅速,目前美国和欧洲的企业有60%至70%以上全部采用第三方物流服务;五是绿色物流的发展,使物流产业更加注重物流过程的环境保护和再生利用工作。</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物流园区是多种物流设施和不同类型第三方物流企业在空间上集中布局的场所,是具有一定规模和综合服务的物流集结点。日本是最早建立物流园区的国家,至今已建立20个大规模物流园区,平均占地约74万平方米,荷兰设计的14个物流园区,平均占地4至5平方公里,德国不莱梅货运中心占地在100万平方米以上,纽伦堡物流园区占地已达7平方公里。物流园区的建设，有利于实现物流企业的专业化和规模化,发挥其整体优势和互补优势。目前,美国、日本和欧洲等先进国家的物流园区已发展得十分完善,形成了以物流园区为基础的、以物流信息平台为依托的、以第三方物流服务为主导的规模化、专业化、网络化的社会化现代物流服务体系。</w:t>
      </w:r>
    </w:p>
    <w:p>
      <w:pPr>
        <w:pStyle w:val="Normal0"/>
        <w:spacing w:line="520" w:lineRule="exact"/>
        <w:ind w:firstLine="560" w:firstLineChars="200"/>
        <w:rPr>
          <w:rFonts w:ascii="宋体" w:hAnsi="宋体" w:hint="eastAsia"/>
          <w:b/>
          <w:bCs/>
          <w:sz w:val="28"/>
          <w:szCs w:val="28"/>
        </w:rPr>
      </w:pPr>
      <w:r>
        <w:rPr>
          <w:rFonts w:ascii="宋体" w:hAnsi="宋体"/>
          <w:b/>
          <w:bCs/>
          <w:sz w:val="28"/>
          <w:szCs w:val="28"/>
        </w:rPr>
        <w:t>(1)</w:t>
      </w:r>
      <w:r>
        <w:rPr>
          <w:rFonts w:ascii="宋体" w:hAnsi="宋体" w:hint="eastAsia"/>
          <w:b/>
          <w:bCs/>
          <w:sz w:val="28"/>
          <w:szCs w:val="28"/>
        </w:rPr>
        <w:t>仓储基地化</w:t>
      </w:r>
    </w:p>
    <w:p>
      <w:pPr>
        <w:pStyle w:val="Normal0"/>
        <w:spacing w:line="520" w:lineRule="exact"/>
        <w:ind w:firstLine="560" w:firstLineChars="200"/>
        <w:rPr>
          <w:rFonts w:ascii="宋体" w:hAnsi="宋体" w:hint="eastAsia"/>
          <w:sz w:val="28"/>
          <w:szCs w:val="28"/>
        </w:rPr>
        <w:sectPr>
          <w:headerReference w:type="default" r:id="rId55"/>
          <w:footerReference w:type="even" r:id="rId56"/>
          <w:footerReference w:type="default" r:id="rId57"/>
          <w:type w:val="nextPage"/>
          <w:pgSz w:w="11906" w:h="16838"/>
          <w:pgMar w:top="1440" w:right="1474" w:bottom="1440" w:left="1758" w:header="851" w:footer="992" w:gutter="0"/>
          <w:pgNumType w:start="15"/>
          <w:cols w:num="1" w:space="425"/>
          <w:titlePg w:val="0"/>
          <w:docGrid w:type="linesAndChars" w:linePitch="312" w:charSpace="-3532"/>
        </w:sectPr>
      </w:pPr>
      <w:r>
        <w:rPr>
          <w:rFonts w:ascii="宋体" w:hAnsi="宋体" w:hint="eastAsia"/>
          <w:sz w:val="28"/>
          <w:szCs w:val="28"/>
        </w:rPr>
        <w:t>在发达国家,绝大多数企业的生产原料和产成品都由物流园区负责仓储。物流园区内专门从事仓库</w:t>
      </w:r>
      <w:r>
        <w:rPr>
          <w:rFonts w:ascii="宋体" w:hAnsi="宋体" w:hint="eastAsia"/>
          <w:sz w:val="28"/>
          <w:szCs w:val="28"/>
          <w:lang w:eastAsia="zh-CN"/>
        </w:rPr>
        <w:t>管理管控</w:t>
      </w:r>
      <w:r>
        <w:rPr>
          <w:rFonts w:ascii="宋体" w:hAnsi="宋体" w:hint="eastAsia"/>
          <w:sz w:val="28"/>
          <w:szCs w:val="28"/>
        </w:rPr>
        <w:t>的第三方物流企业,通过先进的库存</w:t>
      </w:r>
      <w:r>
        <w:rPr>
          <w:rFonts w:ascii="宋体" w:hAnsi="宋体" w:hint="eastAsia"/>
          <w:sz w:val="28"/>
          <w:szCs w:val="28"/>
          <w:lang w:eastAsia="zh-CN"/>
        </w:rPr>
        <w:t>管理管控</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技术,可以高效地进行订单处理、进货作业、搬运作业、储存作业、盘点作业、拣货作业、补货作业，物流园区仓储设施的规模化和仓储功能的效率化,为企业提供了公共社会化的仓储基地。据报道，意大利的一个物流园区可同时为6000多家企业提供仓储及配送服务。</w:t>
      </w:r>
    </w:p>
    <w:p>
      <w:pPr>
        <w:pStyle w:val="Normal0"/>
        <w:spacing w:line="520" w:lineRule="exact"/>
        <w:ind w:firstLine="560" w:firstLineChars="200"/>
        <w:rPr>
          <w:rFonts w:ascii="宋体" w:hAnsi="宋体" w:hint="eastAsia"/>
          <w:b/>
          <w:bCs/>
          <w:sz w:val="28"/>
          <w:szCs w:val="28"/>
        </w:rPr>
      </w:pPr>
      <w:r>
        <w:rPr>
          <w:rFonts w:ascii="宋体" w:hAnsi="宋体"/>
          <w:b/>
          <w:bCs/>
          <w:sz w:val="28"/>
          <w:szCs w:val="28"/>
        </w:rPr>
        <w:t>(2)</w:t>
      </w:r>
      <w:r>
        <w:rPr>
          <w:rFonts w:ascii="宋体" w:hAnsi="宋体" w:hint="eastAsia"/>
          <w:b/>
          <w:bCs/>
          <w:sz w:val="28"/>
          <w:szCs w:val="28"/>
        </w:rPr>
        <w:t>运输配送社会化</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发达国家的物流园区一般均建在公路、铁路、港口、机场货运枢纽附近,以及靠近生产加工区或消费集中区货物集散地附近。由于物流园区能够通过集装箱运输将各种运输方式贯通,因而可以承担长距离干线货物运输物流。与此同时，物流园区与物流中心、配送中心、运输公司等整合形成了社会化配送系统,因而可以承担终端客户的配送物流。</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由于物流园区可以有效的整合利用社会闲置物流资源，因此不仅提高了社会资源的有效使用,同时也带来了巨大的经济、社会效益。据专家预测，国外这种以物流园区为核心的社会化运输、配送形式将以每年5%至10%的速度增长。</w:t>
      </w:r>
    </w:p>
    <w:p>
      <w:pPr>
        <w:pStyle w:val="Normal0"/>
        <w:spacing w:line="520" w:lineRule="exact"/>
        <w:ind w:firstLine="560" w:firstLineChars="200"/>
        <w:rPr>
          <w:rFonts w:ascii="宋体" w:hAnsi="宋体" w:hint="eastAsia"/>
          <w:b/>
          <w:bCs/>
          <w:sz w:val="28"/>
          <w:szCs w:val="28"/>
        </w:rPr>
      </w:pPr>
      <w:r>
        <w:rPr>
          <w:rFonts w:ascii="宋体" w:hAnsi="宋体"/>
          <w:b/>
          <w:bCs/>
          <w:sz w:val="28"/>
          <w:szCs w:val="28"/>
        </w:rPr>
        <w:t>(3)</w:t>
      </w:r>
      <w:r>
        <w:rPr>
          <w:rFonts w:ascii="宋体" w:hAnsi="宋体" w:hint="eastAsia"/>
          <w:b/>
          <w:bCs/>
          <w:sz w:val="28"/>
          <w:szCs w:val="28"/>
        </w:rPr>
        <w:t>物流分工专业化</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随着物流园区规模的不断扩大,发达国家物流园区内部的分工日趋专业化。一般来说,有专门从事物流园区物业</w:t>
      </w:r>
      <w:r>
        <w:rPr>
          <w:rFonts w:ascii="宋体" w:hAnsi="宋体" w:hint="eastAsia"/>
          <w:sz w:val="28"/>
          <w:szCs w:val="28"/>
          <w:lang w:eastAsia="zh-CN"/>
        </w:rPr>
        <w:t>管理管控</w:t>
      </w:r>
      <w:r>
        <w:rPr>
          <w:rFonts w:ascii="宋体" w:hAnsi="宋体" w:hint="eastAsia"/>
          <w:sz w:val="28"/>
          <w:szCs w:val="28"/>
        </w:rPr>
        <w:t>的圆区运营商、从事仓库</w:t>
      </w:r>
      <w:r>
        <w:rPr>
          <w:rFonts w:ascii="宋体" w:hAnsi="宋体" w:hint="eastAsia"/>
          <w:sz w:val="28"/>
          <w:szCs w:val="28"/>
          <w:lang w:eastAsia="zh-CN"/>
        </w:rPr>
        <w:t>管理管控</w:t>
      </w:r>
      <w:r>
        <w:rPr>
          <w:rFonts w:ascii="宋体" w:hAnsi="宋体" w:hint="eastAsia"/>
          <w:sz w:val="28"/>
          <w:szCs w:val="28"/>
        </w:rPr>
        <w:t>的仓库运营商、从事倒货及搬运业务的搬运公司、从事流通加工业务的加工企业、从事物流园区内部物流信息</w:t>
      </w:r>
      <w:r>
        <w:rPr>
          <w:rFonts w:ascii="宋体" w:hAnsi="宋体" w:hint="eastAsia"/>
          <w:sz w:val="28"/>
          <w:szCs w:val="28"/>
          <w:lang w:eastAsia="zh-CN"/>
        </w:rPr>
        <w:t>管理管控</w:t>
      </w:r>
      <w:r>
        <w:rPr>
          <w:rFonts w:ascii="宋体" w:hAnsi="宋体" w:hint="eastAsia"/>
          <w:sz w:val="28"/>
          <w:szCs w:val="28"/>
        </w:rPr>
        <w:t>的IT企业以及入区的运输、配送企业。其中最为重要的是能够依托物流信息，为用户提供全面解决</w:t>
      </w:r>
      <w:r>
        <w:rPr>
          <w:rFonts w:ascii="宋体" w:hAnsi="宋体" w:hint="eastAsia"/>
          <w:sz w:val="28"/>
          <w:szCs w:val="28"/>
          <w:lang w:eastAsia="zh-CN"/>
        </w:rPr>
        <w:t>合适的方案</w:t>
      </w:r>
      <w:r>
        <w:rPr>
          <w:rFonts w:ascii="宋体" w:hAnsi="宋体" w:hint="eastAsia"/>
          <w:sz w:val="28"/>
          <w:szCs w:val="28"/>
        </w:rPr>
        <w:t>的第三方物流企业。例如，美国的i2公司,世界500强中有三分之二是在其客户名单上。i2公司通过供应链</w:t>
      </w:r>
      <w:r>
        <w:rPr>
          <w:rFonts w:ascii="宋体" w:hAnsi="宋体" w:hint="eastAsia"/>
          <w:sz w:val="28"/>
          <w:szCs w:val="28"/>
          <w:lang w:eastAsia="zh-CN"/>
        </w:rPr>
        <w:t>管理管控</w:t>
      </w:r>
      <w:r>
        <w:rPr>
          <w:rFonts w:ascii="宋体" w:hAnsi="宋体" w:hint="eastAsia"/>
          <w:sz w:val="28"/>
          <w:szCs w:val="28"/>
        </w:rPr>
        <w:t>，每年可为其客户提供1600亿美元的增值空间。</w:t>
      </w:r>
    </w:p>
    <w:p>
      <w:pPr>
        <w:pStyle w:val="Normal0"/>
        <w:spacing w:line="520" w:lineRule="exact"/>
        <w:ind w:firstLine="560" w:firstLineChars="200"/>
        <w:rPr>
          <w:rFonts w:ascii="宋体" w:hAnsi="宋体" w:hint="eastAsia"/>
          <w:b/>
          <w:bCs/>
          <w:sz w:val="28"/>
          <w:szCs w:val="28"/>
        </w:rPr>
      </w:pPr>
      <w:r>
        <w:rPr>
          <w:rFonts w:ascii="宋体" w:hAnsi="宋体"/>
          <w:b/>
          <w:bCs/>
          <w:sz w:val="28"/>
          <w:szCs w:val="28"/>
        </w:rPr>
        <w:t>(4)</w:t>
      </w:r>
      <w:r>
        <w:rPr>
          <w:rFonts w:ascii="宋体" w:hAnsi="宋体" w:hint="eastAsia"/>
          <w:b/>
          <w:bCs/>
          <w:sz w:val="28"/>
          <w:szCs w:val="28"/>
        </w:rPr>
        <w:t>运输与仓储协同化</w:t>
      </w:r>
    </w:p>
    <w:p>
      <w:pPr>
        <w:pStyle w:val="Normal0"/>
        <w:spacing w:line="520" w:lineRule="exact"/>
        <w:ind w:firstLine="560" w:firstLineChars="200"/>
        <w:rPr>
          <w:rFonts w:ascii="宋体" w:hAnsi="宋体" w:hint="eastAsia"/>
          <w:sz w:val="28"/>
          <w:szCs w:val="28"/>
        </w:rPr>
        <w:sectPr>
          <w:headerReference w:type="default" r:id="rId58"/>
          <w:footerReference w:type="even" r:id="rId59"/>
          <w:footerReference w:type="default" r:id="rId60"/>
          <w:type w:val="nextPage"/>
          <w:pgSz w:w="11906" w:h="16838"/>
          <w:pgMar w:top="1440" w:right="1474" w:bottom="1440" w:left="1758" w:header="851" w:footer="992" w:gutter="0"/>
          <w:pgNumType w:start="16"/>
          <w:cols w:num="1" w:space="425"/>
          <w:titlePg w:val="0"/>
          <w:docGrid w:type="linesAndChars" w:linePitch="312" w:charSpace="-3532"/>
        </w:sectPr>
      </w:pPr>
    </w:p>
    <w:p>
      <w:pPr>
        <w:pStyle w:val="Normal0"/>
        <w:spacing w:line="520" w:lineRule="exact"/>
        <w:ind w:firstLine="560" w:firstLineChars="200"/>
        <w:rPr>
          <w:rFonts w:ascii="宋体" w:hAnsi="宋体" w:hint="eastAsia"/>
          <w:sz w:val="28"/>
          <w:szCs w:val="28"/>
        </w:rPr>
      </w:pPr>
      <w:r>
        <w:rPr>
          <w:rFonts w:ascii="宋体" w:hAnsi="宋体" w:hint="eastAsia"/>
          <w:sz w:val="28"/>
          <w:szCs w:val="28"/>
        </w:rPr>
        <w:t>在发达国家，分布在各个物流集结点上的物流园区都与运输企业有着很好的协调关系。运输企业通过全球卫星定位系统、货物跟踪系统和车辆调度系统，将货物在途信息及时传递给物流园区。物流园区根据库存变化情况,将补货信息、配送信息及时传递给运输企业。例如，加拿大迪斯卡尔特公司协同化物流运输平台,不但整合了世界排名前60名的运输企业,而且对运输路线、配送路线上的仓储分布也非常了解,使运输与仓储业务达到了很好的协同。</w:t>
      </w:r>
    </w:p>
    <w:p>
      <w:pPr>
        <w:pStyle w:val="Heading3"/>
        <w:spacing w:before="0" w:after="0" w:line="520" w:lineRule="exact"/>
        <w:rPr>
          <w:rFonts w:ascii="宋体" w:eastAsia="宋体" w:hAnsi="宋体" w:hint="eastAsia"/>
          <w:szCs w:val="28"/>
        </w:rPr>
      </w:pPr>
      <w:bookmarkStart w:id="95" w:name="_Toc20275463"/>
      <w:r>
        <w:rPr>
          <w:rFonts w:ascii="宋体" w:eastAsia="宋体" w:hAnsi="宋体"/>
          <w:szCs w:val="28"/>
        </w:rPr>
        <w:t>1.</w:t>
      </w:r>
      <w:r>
        <w:rPr>
          <w:rFonts w:ascii="宋体" w:eastAsia="宋体" w:hAnsi="宋体" w:hint="eastAsia"/>
          <w:szCs w:val="28"/>
        </w:rPr>
        <w:t>2、国内情况</w:t>
      </w:r>
      <w:bookmarkEnd w:id="95"/>
    </w:p>
    <w:p>
      <w:pPr>
        <w:pStyle w:val="Normal0"/>
        <w:spacing w:line="520" w:lineRule="exact"/>
        <w:ind w:firstLine="560" w:firstLineChars="200"/>
        <w:rPr>
          <w:rFonts w:ascii="宋体" w:hAnsi="宋体" w:hint="eastAsia"/>
          <w:b/>
          <w:bCs/>
          <w:sz w:val="28"/>
          <w:szCs w:val="28"/>
        </w:rPr>
      </w:pPr>
      <w:bookmarkStart w:id="96" w:name="_Toc16816023"/>
      <w:r>
        <w:rPr>
          <w:rFonts w:ascii="宋体" w:hAnsi="宋体"/>
          <w:b/>
          <w:bCs/>
          <w:sz w:val="28"/>
          <w:szCs w:val="28"/>
        </w:rPr>
        <w:t>(1)</w:t>
      </w:r>
      <w:r>
        <w:rPr>
          <w:rFonts w:ascii="宋体" w:hAnsi="宋体" w:hint="eastAsia"/>
          <w:b/>
          <w:bCs/>
          <w:sz w:val="28"/>
          <w:szCs w:val="28"/>
        </w:rPr>
        <w:t>我国物流发展阶段分析</w:t>
      </w:r>
      <w:bookmarkEnd w:id="96"/>
    </w:p>
    <w:p>
      <w:pPr>
        <w:pStyle w:val="Normal0"/>
        <w:spacing w:line="520" w:lineRule="exact"/>
        <w:ind w:firstLine="560" w:firstLineChars="200"/>
        <w:rPr>
          <w:rFonts w:ascii="宋体" w:hAnsi="宋体"/>
          <w:sz w:val="28"/>
          <w:szCs w:val="28"/>
        </w:rPr>
      </w:pPr>
      <w:r>
        <w:rPr>
          <w:rFonts w:ascii="宋体" w:hAnsi="宋体" w:hint="eastAsia"/>
          <w:sz w:val="28"/>
          <w:szCs w:val="28"/>
        </w:rPr>
        <w:t>自1979年引入物流概念以来，经过二十年左右时间观念认识与实践的发展，我国现代物流业正处于起步快速发展时期，其间大致可分为三个发展阶段：</w:t>
      </w:r>
      <w:r>
        <w:rPr>
          <w:rFonts w:ascii="宋体" w:hAnsi="宋体"/>
          <w:sz w:val="28"/>
          <w:szCs w:val="28"/>
        </w:rPr>
        <w:t xml:space="preserve"> </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第一阶段：</w:t>
      </w:r>
      <w:r>
        <w:rPr>
          <w:rFonts w:ascii="宋体" w:hAnsi="宋体"/>
          <w:sz w:val="28"/>
          <w:szCs w:val="28"/>
        </w:rPr>
        <w:t>1979</w:t>
      </w:r>
      <w:r>
        <w:rPr>
          <w:rFonts w:ascii="宋体" w:hAnsi="宋体" w:hint="eastAsia"/>
          <w:sz w:val="28"/>
          <w:szCs w:val="28"/>
        </w:rPr>
        <w:t>年之前，即</w:t>
      </w:r>
      <w:r>
        <w:rPr>
          <w:rFonts w:ascii="宋体" w:hAnsi="宋体" w:hint="eastAsia"/>
          <w:sz w:val="28"/>
          <w:szCs w:val="28"/>
          <w:lang w:eastAsia="zh-CN"/>
        </w:rPr>
        <w:t>相关计划</w:t>
      </w:r>
      <w:r>
        <w:rPr>
          <w:rFonts w:ascii="宋体" w:hAnsi="宋体" w:hint="eastAsia"/>
          <w:sz w:val="28"/>
          <w:szCs w:val="28"/>
        </w:rPr>
        <w:t>经济时期。尚没有物流概念与认识，只有分割的运输、仓储、批发、零售等。</w:t>
      </w:r>
      <w:r>
        <w:rPr>
          <w:rFonts w:ascii="宋体" w:hAnsi="宋体"/>
          <w:sz w:val="28"/>
          <w:szCs w:val="28"/>
        </w:rPr>
        <w:t xml:space="preserve"> </w:t>
      </w:r>
    </w:p>
    <w:p>
      <w:pPr>
        <w:pStyle w:val="Normal0"/>
        <w:spacing w:line="520" w:lineRule="exact"/>
        <w:ind w:firstLine="560" w:firstLineChars="200"/>
        <w:rPr>
          <w:rFonts w:ascii="宋体" w:hAnsi="宋体"/>
          <w:sz w:val="28"/>
          <w:szCs w:val="28"/>
        </w:rPr>
      </w:pPr>
      <w:r>
        <w:rPr>
          <w:rFonts w:ascii="宋体" w:hAnsi="宋体" w:hint="eastAsia"/>
          <w:sz w:val="28"/>
          <w:szCs w:val="28"/>
        </w:rPr>
        <w:t>第二阶段：</w:t>
      </w:r>
      <w:r>
        <w:rPr>
          <w:rFonts w:ascii="宋体" w:hAnsi="宋体"/>
          <w:sz w:val="28"/>
          <w:szCs w:val="28"/>
        </w:rPr>
        <w:t>80</w:t>
      </w:r>
      <w:r>
        <w:rPr>
          <w:rFonts w:ascii="宋体" w:hAnsi="宋体" w:hint="eastAsia"/>
          <w:sz w:val="28"/>
          <w:szCs w:val="28"/>
        </w:rPr>
        <w:t>年代至</w:t>
      </w:r>
      <w:r>
        <w:rPr>
          <w:rFonts w:ascii="宋体" w:hAnsi="宋体"/>
          <w:sz w:val="28"/>
          <w:szCs w:val="28"/>
        </w:rPr>
        <w:t>90</w:t>
      </w:r>
      <w:r>
        <w:rPr>
          <w:rFonts w:ascii="宋体" w:hAnsi="宋体" w:hint="eastAsia"/>
          <w:sz w:val="28"/>
          <w:szCs w:val="28"/>
        </w:rPr>
        <w:t>年代中期，我国商业流通体制发生重大变革， 我国物流处于传统物流为主，逐步探索现代物流运作规律的阶段。</w:t>
      </w:r>
      <w:r>
        <w:rPr>
          <w:rFonts w:ascii="宋体" w:hAnsi="宋体"/>
          <w:sz w:val="28"/>
          <w:szCs w:val="28"/>
        </w:rPr>
        <w:t xml:space="preserve"> </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第三阶段：</w:t>
      </w:r>
      <w:r>
        <w:rPr>
          <w:rFonts w:ascii="宋体" w:hAnsi="宋体"/>
          <w:sz w:val="28"/>
          <w:szCs w:val="28"/>
        </w:rPr>
        <w:t xml:space="preserve"> 90</w:t>
      </w:r>
      <w:r>
        <w:rPr>
          <w:rFonts w:ascii="宋体" w:hAnsi="宋体" w:hint="eastAsia"/>
          <w:sz w:val="28"/>
          <w:szCs w:val="28"/>
        </w:rPr>
        <w:t>年代中期以来，社会主义市场经济体制初步形成。 至此， 我国现代物流业进入起步发展阶段。</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近几年，随着中国加入WTO， 我国现代物流业已处于快速发展时期。</w:t>
      </w:r>
    </w:p>
    <w:p>
      <w:pPr>
        <w:pStyle w:val="Normal0"/>
        <w:spacing w:line="520" w:lineRule="exact"/>
        <w:ind w:firstLine="560" w:firstLineChars="200"/>
        <w:rPr>
          <w:rFonts w:ascii="宋体" w:hAnsi="宋体" w:hint="eastAsia"/>
          <w:b/>
          <w:bCs/>
          <w:sz w:val="28"/>
          <w:szCs w:val="28"/>
        </w:rPr>
      </w:pPr>
      <w:bookmarkStart w:id="97" w:name="_Toc16816025"/>
      <w:r>
        <w:rPr>
          <w:rFonts w:ascii="宋体" w:hAnsi="宋体"/>
          <w:b/>
          <w:bCs/>
          <w:sz w:val="28"/>
          <w:szCs w:val="28"/>
        </w:rPr>
        <w:t>(2)</w:t>
      </w:r>
      <w:r>
        <w:rPr>
          <w:rFonts w:ascii="宋体" w:hAnsi="宋体" w:hint="eastAsia"/>
          <w:b/>
          <w:bCs/>
          <w:sz w:val="28"/>
          <w:szCs w:val="28"/>
        </w:rPr>
        <w:t>我国物流发展存在的问题</w:t>
      </w:r>
      <w:bookmarkEnd w:id="97"/>
    </w:p>
    <w:p>
      <w:pPr>
        <w:pStyle w:val="Normal0"/>
        <w:spacing w:line="520" w:lineRule="exact"/>
        <w:ind w:firstLine="560" w:firstLineChars="200"/>
        <w:rPr>
          <w:rFonts w:ascii="宋体" w:hAnsi="宋体" w:hint="eastAsia"/>
          <w:sz w:val="28"/>
          <w:szCs w:val="28"/>
        </w:rPr>
      </w:pPr>
      <w:r>
        <w:rPr>
          <w:rFonts w:ascii="宋体" w:hAnsi="宋体" w:hint="eastAsia"/>
          <w:sz w:val="28"/>
          <w:szCs w:val="28"/>
        </w:rPr>
        <w:t>我国现代物流发展存在的问题主要表现为“三大矛盾”：</w:t>
      </w:r>
    </w:p>
    <w:p>
      <w:pPr>
        <w:pStyle w:val="Normal0"/>
        <w:spacing w:line="520" w:lineRule="exact"/>
        <w:ind w:firstLine="480"/>
        <w:rPr>
          <w:rFonts w:ascii="宋体" w:hAnsi="宋体" w:hint="eastAsia"/>
          <w:sz w:val="28"/>
          <w:szCs w:val="28"/>
        </w:rPr>
      </w:pPr>
      <w:r>
        <w:rPr>
          <w:rFonts w:ascii="宋体" w:hAnsi="宋体" w:hint="eastAsia"/>
          <w:sz w:val="28"/>
          <w:szCs w:val="28"/>
        </w:rPr>
        <w:t>①体制方面，条块分割，</w:t>
      </w:r>
      <w:r>
        <w:rPr>
          <w:rFonts w:ascii="宋体" w:hAnsi="宋体" w:hint="eastAsia"/>
          <w:sz w:val="28"/>
          <w:szCs w:val="28"/>
          <w:lang w:eastAsia="zh-CN"/>
        </w:rPr>
        <w:t>相关计划</w:t>
      </w:r>
      <w:r>
        <w:rPr>
          <w:rFonts w:ascii="宋体" w:hAnsi="宋体" w:hint="eastAsia"/>
          <w:sz w:val="28"/>
          <w:szCs w:val="28"/>
        </w:rPr>
        <w:t>经济影响下的多头</w:t>
      </w:r>
      <w:r>
        <w:rPr>
          <w:rFonts w:ascii="宋体" w:hAnsi="宋体" w:hint="eastAsia"/>
          <w:sz w:val="28"/>
          <w:szCs w:val="28"/>
          <w:lang w:eastAsia="zh-CN"/>
        </w:rPr>
        <w:t>管理管控</w:t>
      </w:r>
      <w:r>
        <w:rPr>
          <w:rFonts w:ascii="宋体" w:hAnsi="宋体" w:hint="eastAsia"/>
          <w:sz w:val="28"/>
          <w:szCs w:val="28"/>
        </w:rPr>
        <w:t>现状与现代物流业发展必需的系统协调要求相矛盾</w:t>
      </w:r>
    </w:p>
    <w:p>
      <w:pPr>
        <w:pStyle w:val="Normal0"/>
        <w:spacing w:line="520" w:lineRule="exact"/>
        <w:rPr>
          <w:rFonts w:ascii="宋体" w:hAnsi="宋体" w:hint="eastAsia"/>
          <w:sz w:val="28"/>
          <w:szCs w:val="28"/>
        </w:rPr>
      </w:pPr>
      <w:r>
        <w:rPr>
          <w:rFonts w:ascii="宋体" w:hAnsi="宋体"/>
          <w:sz w:val="28"/>
          <w:szCs w:val="28"/>
        </w:rPr>
        <w:t xml:space="preserve">    </w:t>
      </w:r>
      <w:r>
        <w:rPr>
          <w:rFonts w:ascii="宋体" w:hAnsi="宋体" w:hint="eastAsia"/>
          <w:sz w:val="28"/>
          <w:szCs w:val="28"/>
        </w:rPr>
        <w:t xml:space="preserve">②市场供需方面，短期实际需求不足和远期潜在需求巨大相矛盾，低水平供应能力过剩与高水平供应能力不足相矛盾。  </w:t>
      </w:r>
    </w:p>
    <w:p>
      <w:pPr>
        <w:pStyle w:val="Normal0"/>
        <w:spacing w:line="520" w:lineRule="exact"/>
        <w:ind w:firstLine="390"/>
        <w:rPr>
          <w:rFonts w:ascii="宋体" w:hAnsi="宋体" w:hint="eastAsia"/>
          <w:sz w:val="28"/>
          <w:szCs w:val="28"/>
        </w:rPr>
      </w:pPr>
      <w:r>
        <w:rPr>
          <w:rFonts w:ascii="宋体" w:hAnsi="宋体" w:hint="eastAsia"/>
          <w:sz w:val="28"/>
          <w:szCs w:val="28"/>
        </w:rPr>
        <w:t xml:space="preserve">③技术与人才方面，物流技术与设备水平低下现状与现代物流业对技术的高要求相矛盾。低层次传统物流人才过剩与高层次现代物流人才紧缺相矛盾。 </w:t>
      </w:r>
    </w:p>
    <w:p>
      <w:pPr>
        <w:pStyle w:val="Normal0"/>
        <w:spacing w:line="520" w:lineRule="exact"/>
        <w:ind w:firstLine="560" w:firstLineChars="200"/>
        <w:rPr>
          <w:rFonts w:ascii="宋体" w:hAnsi="宋体" w:hint="eastAsia"/>
          <w:sz w:val="28"/>
          <w:szCs w:val="28"/>
        </w:rPr>
        <w:sectPr>
          <w:headerReference w:type="default" r:id="rId61"/>
          <w:footerReference w:type="even" r:id="rId62"/>
          <w:footerReference w:type="default" r:id="rId63"/>
          <w:type w:val="nextPage"/>
          <w:pgSz w:w="11906" w:h="16838"/>
          <w:pgMar w:top="1440" w:right="1474" w:bottom="1440" w:left="1758" w:header="851" w:footer="992" w:gutter="0"/>
          <w:pgNumType w:start="17"/>
          <w:cols w:num="1" w:space="425"/>
          <w:titlePg w:val="0"/>
          <w:docGrid w:type="linesAndChars" w:linePitch="312" w:charSpace="-3532"/>
        </w:sectPr>
      </w:pPr>
      <w:r>
        <w:rPr>
          <w:rFonts w:ascii="宋体" w:hAnsi="宋体"/>
          <w:sz w:val="28"/>
          <w:szCs w:val="28"/>
        </w:rPr>
        <w:t>从</w:t>
      </w:r>
      <w:r>
        <w:rPr>
          <w:rFonts w:ascii="宋体" w:hAnsi="宋体" w:hint="eastAsia"/>
          <w:sz w:val="28"/>
          <w:szCs w:val="28"/>
        </w:rPr>
        <w:t>我</w:t>
      </w:r>
      <w:r>
        <w:rPr>
          <w:rFonts w:ascii="宋体" w:hAnsi="宋体"/>
          <w:sz w:val="28"/>
          <w:szCs w:val="28"/>
        </w:rPr>
        <w:t>国现状来看，我国物流企业数量少、规模小，物流服务的准确性与及时性差，物流的社会化、市场化程度也</w:t>
      </w:r>
      <w:r>
        <w:rPr>
          <w:rFonts w:ascii="宋体" w:hAnsi="宋体" w:hint="eastAsia"/>
          <w:sz w:val="28"/>
          <w:szCs w:val="28"/>
        </w:rPr>
        <w:t>较</w:t>
      </w:r>
      <w:r>
        <w:rPr>
          <w:rFonts w:ascii="宋体" w:hAnsi="宋体"/>
          <w:sz w:val="28"/>
          <w:szCs w:val="28"/>
        </w:rPr>
        <w:t>低。因而大力发展和建设物流</w:t>
      </w:r>
      <w:r>
        <w:rPr>
          <w:rFonts w:ascii="宋体" w:hAnsi="宋体" w:hint="eastAsia"/>
          <w:sz w:val="28"/>
          <w:szCs w:val="28"/>
        </w:rPr>
        <w:t>园区</w:t>
      </w:r>
      <w:r>
        <w:rPr>
          <w:rFonts w:ascii="宋体" w:hAnsi="宋体"/>
          <w:sz w:val="28"/>
          <w:szCs w:val="28"/>
        </w:rPr>
        <w:t>对促进经济增长，实现流通产业现代化转变有重要意义。</w:t>
      </w:r>
      <w:r>
        <w:rPr>
          <w:rFonts w:ascii="宋体" w:hAnsi="宋体" w:hint="eastAsia"/>
          <w:sz w:val="28"/>
          <w:szCs w:val="28"/>
        </w:rPr>
        <w:t>我国</w:t>
      </w:r>
    </w:p>
    <w:p>
      <w:pPr>
        <w:pStyle w:val="Normal0"/>
        <w:spacing w:line="520" w:lineRule="exact"/>
        <w:ind w:firstLine="560" w:firstLineChars="200"/>
        <w:rPr>
          <w:rFonts w:ascii="宋体" w:hAnsi="宋体" w:hint="eastAsia"/>
          <w:sz w:val="28"/>
          <w:szCs w:val="28"/>
        </w:rPr>
      </w:pPr>
      <w:r>
        <w:rPr>
          <w:rFonts w:ascii="宋体" w:hAnsi="宋体"/>
          <w:sz w:val="28"/>
          <w:szCs w:val="28"/>
        </w:rPr>
        <w:t>现代物流的发展趋势将是以大型综合物流</w:t>
      </w:r>
      <w:r>
        <w:rPr>
          <w:rFonts w:ascii="宋体" w:hAnsi="宋体" w:hint="eastAsia"/>
          <w:sz w:val="28"/>
          <w:szCs w:val="28"/>
        </w:rPr>
        <w:t>园区</w:t>
      </w:r>
      <w:r>
        <w:rPr>
          <w:rFonts w:ascii="宋体" w:hAnsi="宋体"/>
          <w:sz w:val="28"/>
          <w:szCs w:val="28"/>
        </w:rPr>
        <w:t>或物流基地</w:t>
      </w:r>
      <w:r>
        <w:rPr>
          <w:rFonts w:ascii="宋体" w:hAnsi="宋体" w:hint="eastAsia"/>
          <w:sz w:val="28"/>
          <w:szCs w:val="28"/>
        </w:rPr>
        <w:t>、物流中心</w:t>
      </w:r>
      <w:r>
        <w:rPr>
          <w:rFonts w:ascii="宋体" w:hAnsi="宋体"/>
          <w:sz w:val="28"/>
          <w:szCs w:val="28"/>
        </w:rPr>
        <w:t>为主</w:t>
      </w:r>
      <w:r>
        <w:rPr>
          <w:rFonts w:ascii="宋体" w:hAnsi="宋体" w:hint="eastAsia"/>
          <w:sz w:val="28"/>
          <w:szCs w:val="28"/>
        </w:rPr>
        <w:t>枢纽</w:t>
      </w:r>
      <w:r>
        <w:rPr>
          <w:rFonts w:ascii="宋体" w:hAnsi="宋体"/>
          <w:sz w:val="28"/>
          <w:szCs w:val="28"/>
        </w:rPr>
        <w:t>，以一大批中小物流企业为子</w:t>
      </w:r>
      <w:r>
        <w:rPr>
          <w:rFonts w:ascii="宋体" w:hAnsi="宋体" w:hint="eastAsia"/>
          <w:sz w:val="28"/>
          <w:szCs w:val="28"/>
        </w:rPr>
        <w:t>节点</w:t>
      </w:r>
      <w:r>
        <w:rPr>
          <w:rFonts w:ascii="宋体" w:hAnsi="宋体"/>
          <w:sz w:val="28"/>
          <w:szCs w:val="28"/>
        </w:rPr>
        <w:t>的物流网络体系，以形成高效、快捷、优质、安全、优化的社会物流总供应链</w:t>
      </w:r>
      <w:r>
        <w:rPr>
          <w:rFonts w:ascii="宋体" w:hAnsi="宋体" w:hint="eastAsia"/>
          <w:sz w:val="28"/>
          <w:szCs w:val="28"/>
        </w:rPr>
        <w:t>。</w:t>
      </w:r>
    </w:p>
    <w:p>
      <w:pPr>
        <w:pStyle w:val="Normal0"/>
        <w:spacing w:line="520" w:lineRule="exact"/>
        <w:ind w:firstLine="560" w:firstLineChars="200"/>
        <w:rPr>
          <w:rFonts w:ascii="宋体" w:hAnsi="宋体" w:hint="eastAsia"/>
          <w:b/>
          <w:bCs/>
          <w:sz w:val="28"/>
          <w:szCs w:val="28"/>
        </w:rPr>
      </w:pPr>
      <w:bookmarkStart w:id="98" w:name="_Toc16816027"/>
      <w:r>
        <w:rPr>
          <w:rFonts w:ascii="宋体" w:hAnsi="宋体"/>
          <w:b/>
          <w:bCs/>
          <w:sz w:val="28"/>
          <w:szCs w:val="28"/>
        </w:rPr>
        <w:t>(3)</w:t>
      </w:r>
      <w:r>
        <w:rPr>
          <w:rFonts w:ascii="宋体" w:hAnsi="宋体" w:hint="eastAsia"/>
          <w:b/>
          <w:bCs/>
          <w:sz w:val="28"/>
          <w:szCs w:val="28"/>
        </w:rPr>
        <w:t>我国物流市场总量估测</w:t>
      </w:r>
      <w:bookmarkEnd w:id="98"/>
    </w:p>
    <w:p>
      <w:pPr>
        <w:pStyle w:val="Normal0"/>
        <w:spacing w:line="520" w:lineRule="exact"/>
        <w:ind w:firstLine="560" w:firstLineChars="200"/>
        <w:rPr>
          <w:rFonts w:ascii="宋体" w:hAnsi="宋体" w:hint="eastAsia"/>
          <w:sz w:val="28"/>
          <w:szCs w:val="28"/>
        </w:rPr>
      </w:pPr>
      <w:r>
        <w:rPr>
          <w:rFonts w:ascii="宋体" w:hAnsi="宋体" w:hint="eastAsia"/>
          <w:sz w:val="28"/>
          <w:szCs w:val="28"/>
        </w:rPr>
        <w:t>资料显示，我国全社会物流费用支出约占GDP总值的20％。2000年我国实现GDP总值为89404亿元，按照上述比例，全社会物流费用支出高达17880.8亿元。这个巨大的市场总额将成为我国物流企业竞争瓜分的“大蛋糕”。可以认为，众多物流企业均将有望分享这个“市场总量大蛋糕”。（据《经济参考报》）</w:t>
      </w:r>
    </w:p>
    <w:p>
      <w:pPr>
        <w:pStyle w:val="Normal0"/>
        <w:spacing w:line="520" w:lineRule="exact"/>
        <w:ind w:firstLine="560" w:firstLineChars="200"/>
        <w:rPr>
          <w:rFonts w:ascii="宋体" w:hAnsi="宋体" w:hint="eastAsia"/>
          <w:b/>
          <w:bCs/>
          <w:sz w:val="28"/>
          <w:szCs w:val="28"/>
        </w:rPr>
      </w:pPr>
      <w:bookmarkStart w:id="99" w:name="_Toc16816028"/>
      <w:r>
        <w:rPr>
          <w:rFonts w:ascii="宋体" w:hAnsi="宋体"/>
          <w:b/>
          <w:bCs/>
          <w:sz w:val="28"/>
          <w:szCs w:val="28"/>
        </w:rPr>
        <w:t>(4)</w:t>
      </w:r>
      <w:r>
        <w:rPr>
          <w:rFonts w:ascii="宋体" w:hAnsi="宋体" w:hint="eastAsia"/>
          <w:b/>
          <w:bCs/>
          <w:sz w:val="28"/>
          <w:szCs w:val="28"/>
        </w:rPr>
        <w:t>我国物流市场发展空间分析</w:t>
      </w:r>
      <w:bookmarkEnd w:id="99"/>
    </w:p>
    <w:p>
      <w:pPr>
        <w:pStyle w:val="Normal0"/>
        <w:spacing w:line="520" w:lineRule="exact"/>
        <w:ind w:firstLine="560" w:firstLineChars="200"/>
        <w:rPr>
          <w:rFonts w:ascii="宋体" w:hAnsi="宋体" w:hint="eastAsia"/>
          <w:sz w:val="28"/>
          <w:szCs w:val="28"/>
        </w:rPr>
      </w:pPr>
      <w:r>
        <w:rPr>
          <w:rFonts w:ascii="宋体" w:hAnsi="宋体" w:hint="eastAsia"/>
          <w:sz w:val="28"/>
          <w:szCs w:val="28"/>
        </w:rPr>
        <w:t>1991年，发达国家社会物流业产值占GDP总值的比例如表4-1所示，美国2000年全社会物流费用支出不足GDP总值的10%。因此，如果我国能达到同一水平，按照2000年的GDP水平，将可以为全社会节约8940.4亿元的物流成本，或者说可以多产生近9000亿元的利润。“十五”期间，如果我国物流费用降低到占GDP总值的15％，每年将为全社会直接节约4500亿元左右的物流成本。</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这个巨大的由传统物流向现代物流发展带来的社会物流费用下降值，恰恰是物流企业竞争分享的另一“大蛋糕”。只是较之市场“总量大蛋糕”，市场“空间大蛋糕”更强调物流企业的竞争实力。</w:t>
      </w:r>
    </w:p>
    <w:p>
      <w:pPr>
        <w:pStyle w:val="Normal0"/>
        <w:spacing w:line="520" w:lineRule="exact"/>
        <w:ind w:firstLine="560" w:firstLineChars="200"/>
        <w:rPr>
          <w:rFonts w:ascii="宋体" w:hAnsi="宋体" w:hint="eastAsia"/>
          <w:sz w:val="28"/>
          <w:szCs w:val="28"/>
        </w:rPr>
      </w:pPr>
    </w:p>
    <w:p>
      <w:pPr>
        <w:pStyle w:val="Normal0"/>
        <w:spacing w:line="520" w:lineRule="exact"/>
        <w:ind w:firstLine="560" w:firstLineChars="200"/>
        <w:rPr>
          <w:rFonts w:ascii="宋体" w:hAnsi="宋体" w:hint="eastAsia"/>
          <w:sz w:val="28"/>
          <w:szCs w:val="28"/>
        </w:rPr>
      </w:pPr>
    </w:p>
    <w:p>
      <w:pPr>
        <w:pStyle w:val="Normal0"/>
        <w:spacing w:line="520" w:lineRule="exact"/>
        <w:jc w:val="center"/>
        <w:rPr>
          <w:rFonts w:ascii="宋体" w:hAnsi="宋体"/>
          <w:b/>
          <w:bCs/>
          <w:sz w:val="28"/>
          <w:szCs w:val="28"/>
        </w:rPr>
      </w:pPr>
      <w:r>
        <w:rPr>
          <w:rFonts w:ascii="宋体" w:hAnsi="宋体" w:hint="eastAsia"/>
          <w:b/>
          <w:bCs/>
          <w:sz w:val="28"/>
          <w:szCs w:val="28"/>
        </w:rPr>
        <w:t>表4-1</w:t>
      </w:r>
      <w:r>
        <w:rPr>
          <w:rFonts w:ascii="宋体" w:hAnsi="宋体"/>
          <w:b/>
          <w:bCs/>
          <w:sz w:val="28"/>
          <w:szCs w:val="28"/>
        </w:rPr>
        <w:t xml:space="preserve"> </w:t>
      </w:r>
      <w:r>
        <w:rPr>
          <w:rFonts w:ascii="宋体" w:hAnsi="宋体" w:hint="eastAsia"/>
          <w:b/>
          <w:bCs/>
          <w:sz w:val="28"/>
          <w:szCs w:val="28"/>
        </w:rPr>
        <w:t xml:space="preserve"> 发达国家社会物流业产值在</w:t>
      </w:r>
      <w:r>
        <w:rPr>
          <w:rFonts w:ascii="宋体" w:hAnsi="宋体"/>
          <w:b/>
          <w:bCs/>
          <w:sz w:val="28"/>
          <w:szCs w:val="28"/>
        </w:rPr>
        <w:t>G</w:t>
      </w:r>
      <w:r>
        <w:rPr>
          <w:rFonts w:ascii="宋体" w:hAnsi="宋体" w:hint="eastAsia"/>
          <w:b/>
          <w:bCs/>
          <w:sz w:val="28"/>
          <w:szCs w:val="28"/>
        </w:rPr>
        <w:t>D</w:t>
      </w:r>
      <w:r>
        <w:rPr>
          <w:rFonts w:ascii="宋体" w:hAnsi="宋体"/>
          <w:b/>
          <w:bCs/>
          <w:sz w:val="28"/>
          <w:szCs w:val="28"/>
        </w:rPr>
        <w:t>P</w:t>
      </w:r>
      <w:r>
        <w:rPr>
          <w:rFonts w:ascii="宋体" w:hAnsi="宋体" w:hint="eastAsia"/>
          <w:b/>
          <w:bCs/>
          <w:sz w:val="28"/>
          <w:szCs w:val="28"/>
        </w:rPr>
        <w:t>中的比例（</w:t>
      </w:r>
      <w:r>
        <w:rPr>
          <w:rFonts w:ascii="宋体" w:hAnsi="宋体"/>
          <w:b/>
          <w:bCs/>
          <w:sz w:val="28"/>
          <w:szCs w:val="28"/>
        </w:rPr>
        <w:t>1991</w:t>
      </w:r>
      <w:r>
        <w:rPr>
          <w:rFonts w:ascii="宋体" w:hAnsi="宋体" w:hint="eastAsia"/>
          <w:b/>
          <w:bCs/>
          <w:sz w:val="28"/>
          <w:szCs w:val="28"/>
        </w:rPr>
        <w:t>年）</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54"/>
        <w:gridCol w:w="1666"/>
        <w:gridCol w:w="2160"/>
        <w:gridCol w:w="198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754"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国</w:t>
            </w:r>
            <w:r>
              <w:rPr>
                <w:rFonts w:ascii="宋体" w:hAnsi="宋体"/>
                <w:sz w:val="28"/>
                <w:szCs w:val="28"/>
              </w:rPr>
              <w:t xml:space="preserve">  </w:t>
            </w:r>
            <w:r>
              <w:rPr>
                <w:rFonts w:ascii="宋体" w:hAnsi="宋体" w:hint="eastAsia"/>
                <w:sz w:val="28"/>
                <w:szCs w:val="28"/>
              </w:rPr>
              <w:t>别</w:t>
            </w:r>
          </w:p>
        </w:tc>
        <w:tc>
          <w:tcPr>
            <w:tcW w:w="1666" w:type="dxa"/>
          </w:tcPr>
          <w:p>
            <w:pPr>
              <w:pStyle w:val="Normal0"/>
              <w:spacing w:line="520" w:lineRule="exact"/>
              <w:jc w:val="center"/>
              <w:rPr>
                <w:rFonts w:ascii="宋体" w:hAnsi="宋体" w:hint="eastAsia"/>
                <w:sz w:val="28"/>
                <w:szCs w:val="28"/>
              </w:rPr>
            </w:pPr>
            <w:r>
              <w:rPr>
                <w:rFonts w:ascii="宋体" w:hAnsi="宋体"/>
                <w:sz w:val="28"/>
                <w:szCs w:val="28"/>
              </w:rPr>
              <w:t>GDP</w:t>
            </w:r>
            <w:r>
              <w:rPr>
                <w:rFonts w:ascii="宋体" w:hAnsi="宋体" w:hint="eastAsia"/>
                <w:sz w:val="28"/>
                <w:szCs w:val="28"/>
              </w:rPr>
              <w:t>（亿美元）</w:t>
            </w:r>
          </w:p>
        </w:tc>
        <w:tc>
          <w:tcPr>
            <w:tcW w:w="2160" w:type="dxa"/>
          </w:tcPr>
          <w:p>
            <w:pPr>
              <w:pStyle w:val="Normal0"/>
              <w:spacing w:line="520" w:lineRule="exact"/>
              <w:jc w:val="center"/>
              <w:rPr>
                <w:rFonts w:ascii="宋体" w:hAnsi="宋体" w:hint="eastAsia"/>
                <w:sz w:val="28"/>
                <w:szCs w:val="28"/>
              </w:rPr>
            </w:pPr>
            <w:r>
              <w:rPr>
                <w:rFonts w:ascii="宋体" w:hAnsi="宋体" w:hint="eastAsia"/>
                <w:sz w:val="28"/>
                <w:szCs w:val="28"/>
              </w:rPr>
              <w:t>物流产值（亿美元）</w:t>
            </w:r>
          </w:p>
        </w:tc>
        <w:tc>
          <w:tcPr>
            <w:tcW w:w="1980" w:type="dxa"/>
          </w:tcPr>
          <w:p>
            <w:pPr>
              <w:pStyle w:val="Normal0"/>
              <w:spacing w:line="520" w:lineRule="exact"/>
              <w:jc w:val="center"/>
              <w:rPr>
                <w:rFonts w:ascii="宋体" w:hAnsi="宋体" w:hint="eastAsia"/>
                <w:sz w:val="28"/>
                <w:szCs w:val="28"/>
              </w:rPr>
            </w:pPr>
            <w:r>
              <w:rPr>
                <w:rFonts w:ascii="宋体" w:hAnsi="宋体" w:hint="eastAsia"/>
                <w:sz w:val="28"/>
                <w:szCs w:val="28"/>
              </w:rPr>
              <w:t>物流业比例（％）</w:t>
            </w:r>
          </w:p>
        </w:tc>
      </w:tr>
      <w:tr>
        <w:tblPrEx>
          <w:tblW w:w="0" w:type="auto"/>
          <w:jc w:val="center"/>
          <w:tblCellMar>
            <w:top w:w="0" w:type="dxa"/>
            <w:left w:w="108" w:type="dxa"/>
            <w:bottom w:w="0" w:type="dxa"/>
            <w:right w:w="108" w:type="dxa"/>
          </w:tblCellMar>
        </w:tblPrEx>
        <w:trPr>
          <w:jc w:val="center"/>
        </w:trPr>
        <w:tc>
          <w:tcPr>
            <w:tcW w:w="1754" w:type="dxa"/>
          </w:tcPr>
          <w:p>
            <w:pPr>
              <w:pStyle w:val="Normal0"/>
              <w:spacing w:line="520" w:lineRule="exact"/>
              <w:jc w:val="center"/>
              <w:rPr>
                <w:rFonts w:ascii="宋体" w:hAnsi="宋体" w:hint="eastAsia"/>
                <w:sz w:val="28"/>
                <w:szCs w:val="28"/>
              </w:rPr>
            </w:pPr>
            <w:r>
              <w:rPr>
                <w:rFonts w:ascii="宋体" w:hAnsi="宋体" w:hint="eastAsia"/>
                <w:sz w:val="28"/>
                <w:szCs w:val="28"/>
              </w:rPr>
              <w:t>日本</w:t>
            </w:r>
          </w:p>
        </w:tc>
        <w:tc>
          <w:tcPr>
            <w:tcW w:w="1666" w:type="dxa"/>
          </w:tcPr>
          <w:p>
            <w:pPr>
              <w:pStyle w:val="Normal0"/>
              <w:spacing w:line="520" w:lineRule="exact"/>
              <w:jc w:val="center"/>
              <w:rPr>
                <w:rFonts w:ascii="宋体" w:hAnsi="宋体" w:hint="eastAsia"/>
                <w:sz w:val="28"/>
                <w:szCs w:val="28"/>
              </w:rPr>
            </w:pPr>
            <w:r>
              <w:rPr>
                <w:rFonts w:ascii="宋体" w:hAnsi="宋体"/>
                <w:sz w:val="28"/>
                <w:szCs w:val="28"/>
              </w:rPr>
              <w:t>3363</w:t>
            </w:r>
          </w:p>
        </w:tc>
        <w:tc>
          <w:tcPr>
            <w:tcW w:w="2160" w:type="dxa"/>
          </w:tcPr>
          <w:p>
            <w:pPr>
              <w:pStyle w:val="Normal0"/>
              <w:spacing w:line="520" w:lineRule="exact"/>
              <w:jc w:val="center"/>
              <w:rPr>
                <w:rFonts w:ascii="宋体" w:hAnsi="宋体" w:hint="eastAsia"/>
                <w:sz w:val="28"/>
                <w:szCs w:val="28"/>
              </w:rPr>
            </w:pPr>
            <w:r>
              <w:rPr>
                <w:rFonts w:ascii="宋体" w:hAnsi="宋体"/>
                <w:sz w:val="28"/>
                <w:szCs w:val="28"/>
              </w:rPr>
              <w:t>366.57</w:t>
            </w:r>
          </w:p>
        </w:tc>
        <w:tc>
          <w:tcPr>
            <w:tcW w:w="1980" w:type="dxa"/>
          </w:tcPr>
          <w:p>
            <w:pPr>
              <w:pStyle w:val="Normal0"/>
              <w:spacing w:line="520" w:lineRule="exact"/>
              <w:jc w:val="center"/>
              <w:rPr>
                <w:rFonts w:ascii="宋体" w:hAnsi="宋体" w:hint="eastAsia"/>
                <w:sz w:val="28"/>
                <w:szCs w:val="28"/>
              </w:rPr>
            </w:pPr>
            <w:r>
              <w:rPr>
                <w:rFonts w:ascii="宋体" w:hAnsi="宋体"/>
                <w:sz w:val="28"/>
                <w:szCs w:val="28"/>
              </w:rPr>
              <w:t>10.9</w:t>
            </w:r>
          </w:p>
        </w:tc>
      </w:tr>
    </w:tbl>
    <w:p>
      <w:pPr>
        <w:sectPr>
          <w:headerReference w:type="default" r:id="rId64"/>
          <w:footerReference w:type="even" r:id="rId65"/>
          <w:footerReference w:type="default" r:id="rId66"/>
          <w:type w:val="nextPage"/>
          <w:pgSz w:w="11906" w:h="16838"/>
          <w:pgMar w:top="1440" w:right="1474" w:bottom="1440" w:left="1758" w:header="851" w:footer="992" w:gutter="0"/>
          <w:pgNumType w:start="18"/>
          <w:cols w:num="1" w:space="425"/>
          <w:titlePg w:val="0"/>
          <w:docGrid w:type="linesAndChars" w:linePitch="312" w:charSpace="-353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54"/>
        <w:gridCol w:w="1666"/>
        <w:gridCol w:w="2160"/>
        <w:gridCol w:w="198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754" w:type="dxa"/>
          </w:tcPr>
          <w:p>
            <w:pPr>
              <w:pStyle w:val="Normal0"/>
              <w:spacing w:line="520" w:lineRule="exact"/>
              <w:jc w:val="center"/>
              <w:rPr>
                <w:rFonts w:ascii="宋体" w:hAnsi="宋体" w:hint="eastAsia"/>
                <w:sz w:val="28"/>
                <w:szCs w:val="28"/>
              </w:rPr>
            </w:pPr>
            <w:r>
              <w:rPr>
                <w:rFonts w:ascii="宋体" w:hAnsi="宋体" w:hint="eastAsia"/>
                <w:sz w:val="28"/>
                <w:szCs w:val="28"/>
              </w:rPr>
              <w:t>美国</w:t>
            </w:r>
          </w:p>
        </w:tc>
        <w:tc>
          <w:tcPr>
            <w:tcW w:w="1666" w:type="dxa"/>
          </w:tcPr>
          <w:p>
            <w:pPr>
              <w:pStyle w:val="Normal0"/>
              <w:spacing w:line="520" w:lineRule="exact"/>
              <w:jc w:val="center"/>
              <w:rPr>
                <w:rFonts w:ascii="宋体" w:hAnsi="宋体" w:hint="eastAsia"/>
                <w:sz w:val="28"/>
                <w:szCs w:val="28"/>
              </w:rPr>
            </w:pPr>
            <w:r>
              <w:rPr>
                <w:rFonts w:ascii="宋体" w:hAnsi="宋体"/>
                <w:sz w:val="28"/>
                <w:szCs w:val="28"/>
              </w:rPr>
              <w:t>5673</w:t>
            </w:r>
          </w:p>
        </w:tc>
        <w:tc>
          <w:tcPr>
            <w:tcW w:w="2160" w:type="dxa"/>
          </w:tcPr>
          <w:p>
            <w:pPr>
              <w:pStyle w:val="Normal0"/>
              <w:spacing w:line="520" w:lineRule="exact"/>
              <w:jc w:val="center"/>
              <w:rPr>
                <w:rFonts w:ascii="宋体" w:hAnsi="宋体" w:hint="eastAsia"/>
                <w:sz w:val="28"/>
                <w:szCs w:val="28"/>
              </w:rPr>
            </w:pPr>
            <w:r>
              <w:rPr>
                <w:rFonts w:ascii="宋体" w:hAnsi="宋体"/>
                <w:sz w:val="28"/>
                <w:szCs w:val="28"/>
              </w:rPr>
              <w:t>658.07</w:t>
            </w:r>
          </w:p>
        </w:tc>
        <w:tc>
          <w:tcPr>
            <w:tcW w:w="1980" w:type="dxa"/>
          </w:tcPr>
          <w:p>
            <w:pPr>
              <w:pStyle w:val="Normal0"/>
              <w:spacing w:line="520" w:lineRule="exact"/>
              <w:jc w:val="center"/>
              <w:rPr>
                <w:rFonts w:ascii="宋体" w:hAnsi="宋体" w:hint="eastAsia"/>
                <w:sz w:val="28"/>
                <w:szCs w:val="28"/>
              </w:rPr>
            </w:pPr>
            <w:r>
              <w:rPr>
                <w:rFonts w:ascii="宋体" w:hAnsi="宋体"/>
                <w:sz w:val="28"/>
                <w:szCs w:val="28"/>
              </w:rPr>
              <w:t>11.6</w:t>
            </w:r>
          </w:p>
        </w:tc>
      </w:tr>
      <w:tr>
        <w:tblPrEx>
          <w:tblW w:w="0" w:type="auto"/>
          <w:jc w:val="center"/>
          <w:tblCellMar>
            <w:top w:w="0" w:type="dxa"/>
            <w:left w:w="108" w:type="dxa"/>
            <w:bottom w:w="0" w:type="dxa"/>
            <w:right w:w="108" w:type="dxa"/>
          </w:tblCellMar>
        </w:tblPrEx>
        <w:trPr>
          <w:jc w:val="center"/>
        </w:trPr>
        <w:tc>
          <w:tcPr>
            <w:tcW w:w="1754" w:type="dxa"/>
          </w:tcPr>
          <w:p>
            <w:pPr>
              <w:pStyle w:val="Normal0"/>
              <w:spacing w:line="520" w:lineRule="exact"/>
              <w:jc w:val="center"/>
              <w:rPr>
                <w:rFonts w:ascii="宋体" w:hAnsi="宋体" w:hint="eastAsia"/>
                <w:sz w:val="28"/>
                <w:szCs w:val="28"/>
              </w:rPr>
            </w:pPr>
            <w:r>
              <w:rPr>
                <w:rFonts w:ascii="宋体" w:hAnsi="宋体" w:hint="eastAsia"/>
                <w:sz w:val="28"/>
                <w:szCs w:val="28"/>
              </w:rPr>
              <w:t>英国</w:t>
            </w:r>
          </w:p>
        </w:tc>
        <w:tc>
          <w:tcPr>
            <w:tcW w:w="1666" w:type="dxa"/>
          </w:tcPr>
          <w:p>
            <w:pPr>
              <w:pStyle w:val="Normal0"/>
              <w:spacing w:line="520" w:lineRule="exact"/>
              <w:jc w:val="center"/>
              <w:rPr>
                <w:rFonts w:ascii="宋体" w:hAnsi="宋体" w:hint="eastAsia"/>
                <w:sz w:val="28"/>
                <w:szCs w:val="28"/>
              </w:rPr>
            </w:pPr>
            <w:r>
              <w:rPr>
                <w:rFonts w:ascii="宋体" w:hAnsi="宋体"/>
                <w:sz w:val="28"/>
                <w:szCs w:val="28"/>
              </w:rPr>
              <w:t>1015</w:t>
            </w:r>
          </w:p>
        </w:tc>
        <w:tc>
          <w:tcPr>
            <w:tcW w:w="2160" w:type="dxa"/>
          </w:tcPr>
          <w:p>
            <w:pPr>
              <w:pStyle w:val="Normal0"/>
              <w:spacing w:line="520" w:lineRule="exact"/>
              <w:jc w:val="center"/>
              <w:rPr>
                <w:rFonts w:ascii="宋体" w:hAnsi="宋体" w:hint="eastAsia"/>
                <w:sz w:val="28"/>
                <w:szCs w:val="28"/>
              </w:rPr>
            </w:pPr>
            <w:r>
              <w:rPr>
                <w:rFonts w:ascii="宋体" w:hAnsi="宋体"/>
                <w:sz w:val="28"/>
                <w:szCs w:val="28"/>
              </w:rPr>
              <w:t>123.83</w:t>
            </w:r>
          </w:p>
        </w:tc>
        <w:tc>
          <w:tcPr>
            <w:tcW w:w="1980" w:type="dxa"/>
          </w:tcPr>
          <w:p>
            <w:pPr>
              <w:pStyle w:val="Normal0"/>
              <w:spacing w:line="520" w:lineRule="exact"/>
              <w:jc w:val="center"/>
              <w:rPr>
                <w:rFonts w:ascii="宋体" w:hAnsi="宋体" w:hint="eastAsia"/>
                <w:sz w:val="28"/>
                <w:szCs w:val="28"/>
              </w:rPr>
            </w:pPr>
            <w:r>
              <w:rPr>
                <w:rFonts w:ascii="宋体" w:hAnsi="宋体"/>
                <w:sz w:val="28"/>
                <w:szCs w:val="28"/>
              </w:rPr>
              <w:t>12.2</w:t>
            </w:r>
          </w:p>
        </w:tc>
      </w:tr>
      <w:tr>
        <w:tblPrEx>
          <w:tblW w:w="0" w:type="auto"/>
          <w:jc w:val="center"/>
          <w:tblCellMar>
            <w:top w:w="0" w:type="dxa"/>
            <w:left w:w="108" w:type="dxa"/>
            <w:bottom w:w="0" w:type="dxa"/>
            <w:right w:w="108" w:type="dxa"/>
          </w:tblCellMar>
        </w:tblPrEx>
        <w:trPr>
          <w:jc w:val="center"/>
        </w:trPr>
        <w:tc>
          <w:tcPr>
            <w:tcW w:w="1754" w:type="dxa"/>
          </w:tcPr>
          <w:p>
            <w:pPr>
              <w:pStyle w:val="Normal0"/>
              <w:spacing w:line="520" w:lineRule="exact"/>
              <w:jc w:val="center"/>
              <w:rPr>
                <w:rFonts w:ascii="宋体" w:hAnsi="宋体" w:hint="eastAsia"/>
                <w:sz w:val="28"/>
                <w:szCs w:val="28"/>
              </w:rPr>
            </w:pPr>
            <w:r>
              <w:rPr>
                <w:rFonts w:ascii="宋体" w:hAnsi="宋体" w:hint="eastAsia"/>
                <w:sz w:val="28"/>
                <w:szCs w:val="28"/>
              </w:rPr>
              <w:t>法国</w:t>
            </w:r>
          </w:p>
        </w:tc>
        <w:tc>
          <w:tcPr>
            <w:tcW w:w="1666" w:type="dxa"/>
          </w:tcPr>
          <w:p>
            <w:pPr>
              <w:pStyle w:val="Normal0"/>
              <w:spacing w:line="520" w:lineRule="exact"/>
              <w:jc w:val="center"/>
              <w:rPr>
                <w:rFonts w:ascii="宋体" w:hAnsi="宋体" w:hint="eastAsia"/>
                <w:sz w:val="28"/>
                <w:szCs w:val="28"/>
              </w:rPr>
            </w:pPr>
            <w:r>
              <w:rPr>
                <w:rFonts w:ascii="宋体" w:hAnsi="宋体"/>
                <w:sz w:val="28"/>
                <w:szCs w:val="28"/>
              </w:rPr>
              <w:t>1200</w:t>
            </w:r>
          </w:p>
        </w:tc>
        <w:tc>
          <w:tcPr>
            <w:tcW w:w="2160" w:type="dxa"/>
          </w:tcPr>
          <w:p>
            <w:pPr>
              <w:pStyle w:val="Normal0"/>
              <w:spacing w:line="520" w:lineRule="exact"/>
              <w:jc w:val="center"/>
              <w:rPr>
                <w:rFonts w:ascii="宋体" w:hAnsi="宋体" w:hint="eastAsia"/>
                <w:sz w:val="28"/>
                <w:szCs w:val="28"/>
              </w:rPr>
            </w:pPr>
            <w:r>
              <w:rPr>
                <w:rFonts w:ascii="宋体" w:hAnsi="宋体"/>
                <w:sz w:val="28"/>
                <w:szCs w:val="28"/>
              </w:rPr>
              <w:t>140.4</w:t>
            </w:r>
          </w:p>
        </w:tc>
        <w:tc>
          <w:tcPr>
            <w:tcW w:w="1980" w:type="dxa"/>
          </w:tcPr>
          <w:p>
            <w:pPr>
              <w:pStyle w:val="Normal0"/>
              <w:spacing w:line="520" w:lineRule="exact"/>
              <w:jc w:val="center"/>
              <w:rPr>
                <w:rFonts w:ascii="宋体" w:hAnsi="宋体" w:hint="eastAsia"/>
                <w:sz w:val="28"/>
                <w:szCs w:val="28"/>
              </w:rPr>
            </w:pPr>
            <w:r>
              <w:rPr>
                <w:rFonts w:ascii="宋体" w:hAnsi="宋体"/>
                <w:sz w:val="28"/>
                <w:szCs w:val="28"/>
              </w:rPr>
              <w:t>11.7</w:t>
            </w:r>
          </w:p>
        </w:tc>
      </w:tr>
      <w:tr>
        <w:tblPrEx>
          <w:tblW w:w="0" w:type="auto"/>
          <w:jc w:val="center"/>
          <w:tblCellMar>
            <w:top w:w="0" w:type="dxa"/>
            <w:left w:w="108" w:type="dxa"/>
            <w:bottom w:w="0" w:type="dxa"/>
            <w:right w:w="108" w:type="dxa"/>
          </w:tblCellMar>
        </w:tblPrEx>
        <w:trPr>
          <w:jc w:val="center"/>
        </w:trPr>
        <w:tc>
          <w:tcPr>
            <w:tcW w:w="1754" w:type="dxa"/>
          </w:tcPr>
          <w:p>
            <w:pPr>
              <w:pStyle w:val="Normal0"/>
              <w:spacing w:line="520" w:lineRule="exact"/>
              <w:jc w:val="center"/>
              <w:rPr>
                <w:rFonts w:ascii="宋体" w:hAnsi="宋体" w:hint="eastAsia"/>
                <w:sz w:val="28"/>
                <w:szCs w:val="28"/>
              </w:rPr>
            </w:pPr>
            <w:r>
              <w:rPr>
                <w:rFonts w:ascii="宋体" w:hAnsi="宋体" w:hint="eastAsia"/>
                <w:sz w:val="28"/>
                <w:szCs w:val="28"/>
              </w:rPr>
              <w:t>德国</w:t>
            </w:r>
          </w:p>
        </w:tc>
        <w:tc>
          <w:tcPr>
            <w:tcW w:w="1666" w:type="dxa"/>
          </w:tcPr>
          <w:p>
            <w:pPr>
              <w:pStyle w:val="Normal0"/>
              <w:spacing w:line="520" w:lineRule="exact"/>
              <w:jc w:val="center"/>
              <w:rPr>
                <w:rFonts w:ascii="宋体" w:hAnsi="宋体" w:hint="eastAsia"/>
                <w:sz w:val="28"/>
                <w:szCs w:val="28"/>
              </w:rPr>
            </w:pPr>
            <w:r>
              <w:rPr>
                <w:rFonts w:ascii="宋体" w:hAnsi="宋体"/>
                <w:sz w:val="28"/>
                <w:szCs w:val="28"/>
              </w:rPr>
              <w:t>1566</w:t>
            </w:r>
          </w:p>
        </w:tc>
        <w:tc>
          <w:tcPr>
            <w:tcW w:w="2160" w:type="dxa"/>
          </w:tcPr>
          <w:p>
            <w:pPr>
              <w:pStyle w:val="Normal0"/>
              <w:spacing w:line="520" w:lineRule="exact"/>
              <w:jc w:val="center"/>
              <w:rPr>
                <w:rFonts w:ascii="宋体" w:hAnsi="宋体" w:hint="eastAsia"/>
                <w:sz w:val="28"/>
                <w:szCs w:val="28"/>
              </w:rPr>
            </w:pPr>
            <w:r>
              <w:rPr>
                <w:rFonts w:ascii="宋体" w:hAnsi="宋体"/>
                <w:sz w:val="28"/>
                <w:szCs w:val="28"/>
              </w:rPr>
              <w:t>184.78</w:t>
            </w:r>
          </w:p>
        </w:tc>
        <w:tc>
          <w:tcPr>
            <w:tcW w:w="1980" w:type="dxa"/>
          </w:tcPr>
          <w:p>
            <w:pPr>
              <w:pStyle w:val="Normal0"/>
              <w:spacing w:line="520" w:lineRule="exact"/>
              <w:jc w:val="center"/>
              <w:rPr>
                <w:rFonts w:ascii="宋体" w:hAnsi="宋体" w:hint="eastAsia"/>
                <w:sz w:val="28"/>
                <w:szCs w:val="28"/>
              </w:rPr>
            </w:pPr>
            <w:r>
              <w:rPr>
                <w:rFonts w:ascii="宋体" w:hAnsi="宋体"/>
                <w:sz w:val="28"/>
                <w:szCs w:val="28"/>
              </w:rPr>
              <w:t>11.8</w:t>
            </w:r>
          </w:p>
        </w:tc>
      </w:tr>
      <w:tr>
        <w:tblPrEx>
          <w:tblW w:w="0" w:type="auto"/>
          <w:jc w:val="center"/>
          <w:tblCellMar>
            <w:top w:w="0" w:type="dxa"/>
            <w:left w:w="108" w:type="dxa"/>
            <w:bottom w:w="0" w:type="dxa"/>
            <w:right w:w="108" w:type="dxa"/>
          </w:tblCellMar>
        </w:tblPrEx>
        <w:trPr>
          <w:jc w:val="center"/>
        </w:trPr>
        <w:tc>
          <w:tcPr>
            <w:tcW w:w="1754" w:type="dxa"/>
          </w:tcPr>
          <w:p>
            <w:pPr>
              <w:pStyle w:val="Normal0"/>
              <w:spacing w:line="520" w:lineRule="exact"/>
              <w:jc w:val="center"/>
              <w:rPr>
                <w:rFonts w:ascii="宋体" w:hAnsi="宋体" w:hint="eastAsia"/>
                <w:sz w:val="28"/>
                <w:szCs w:val="28"/>
              </w:rPr>
            </w:pPr>
            <w:r>
              <w:rPr>
                <w:rFonts w:ascii="宋体" w:hAnsi="宋体" w:hint="eastAsia"/>
                <w:sz w:val="28"/>
                <w:szCs w:val="28"/>
              </w:rPr>
              <w:t>加拿大</w:t>
            </w:r>
          </w:p>
        </w:tc>
        <w:tc>
          <w:tcPr>
            <w:tcW w:w="1666" w:type="dxa"/>
          </w:tcPr>
          <w:p>
            <w:pPr>
              <w:pStyle w:val="Normal0"/>
              <w:spacing w:line="520" w:lineRule="exact"/>
              <w:jc w:val="center"/>
              <w:rPr>
                <w:rFonts w:ascii="宋体" w:hAnsi="宋体" w:hint="eastAsia"/>
                <w:sz w:val="28"/>
                <w:szCs w:val="28"/>
              </w:rPr>
            </w:pPr>
            <w:r>
              <w:rPr>
                <w:rFonts w:ascii="宋体" w:hAnsi="宋体" w:hint="eastAsia"/>
                <w:sz w:val="28"/>
                <w:szCs w:val="28"/>
              </w:rPr>
              <w:t>593</w:t>
            </w:r>
          </w:p>
        </w:tc>
        <w:tc>
          <w:tcPr>
            <w:tcW w:w="2160" w:type="dxa"/>
          </w:tcPr>
          <w:p>
            <w:pPr>
              <w:pStyle w:val="Normal0"/>
              <w:spacing w:line="520" w:lineRule="exact"/>
              <w:jc w:val="center"/>
              <w:rPr>
                <w:rFonts w:ascii="宋体" w:hAnsi="宋体" w:hint="eastAsia"/>
                <w:sz w:val="28"/>
                <w:szCs w:val="28"/>
              </w:rPr>
            </w:pPr>
            <w:r>
              <w:rPr>
                <w:rFonts w:ascii="宋体" w:hAnsi="宋体" w:hint="eastAsia"/>
                <w:sz w:val="28"/>
                <w:szCs w:val="28"/>
              </w:rPr>
              <w:t>69.97</w:t>
            </w:r>
          </w:p>
        </w:tc>
        <w:tc>
          <w:tcPr>
            <w:tcW w:w="1980" w:type="dxa"/>
          </w:tcPr>
          <w:p>
            <w:pPr>
              <w:pStyle w:val="Normal0"/>
              <w:spacing w:line="520" w:lineRule="exact"/>
              <w:jc w:val="center"/>
              <w:rPr>
                <w:rFonts w:ascii="宋体" w:hAnsi="宋体" w:hint="eastAsia"/>
                <w:sz w:val="28"/>
                <w:szCs w:val="28"/>
              </w:rPr>
            </w:pPr>
            <w:r>
              <w:rPr>
                <w:rFonts w:ascii="宋体" w:hAnsi="宋体" w:hint="eastAsia"/>
                <w:sz w:val="28"/>
                <w:szCs w:val="28"/>
              </w:rPr>
              <w:t>11.8</w:t>
            </w:r>
          </w:p>
        </w:tc>
      </w:tr>
    </w:tbl>
    <w:p>
      <w:pPr>
        <w:pStyle w:val="Normal0"/>
        <w:spacing w:line="520" w:lineRule="exact"/>
        <w:jc w:val="center"/>
        <w:rPr>
          <w:rFonts w:ascii="宋体" w:hAnsi="宋体"/>
          <w:sz w:val="28"/>
          <w:szCs w:val="28"/>
        </w:rPr>
      </w:pPr>
    </w:p>
    <w:p>
      <w:pPr>
        <w:pStyle w:val="Normal0"/>
        <w:spacing w:line="520" w:lineRule="exact"/>
        <w:ind w:firstLine="560" w:firstLineChars="200"/>
        <w:rPr>
          <w:rFonts w:ascii="宋体" w:hAnsi="宋体" w:hint="eastAsia"/>
          <w:b/>
          <w:bCs/>
          <w:sz w:val="28"/>
          <w:szCs w:val="28"/>
        </w:rPr>
      </w:pPr>
      <w:bookmarkStart w:id="100" w:name="_Toc16816031"/>
      <w:r>
        <w:rPr>
          <w:rFonts w:ascii="宋体" w:hAnsi="宋体"/>
          <w:b/>
          <w:bCs/>
          <w:sz w:val="28"/>
          <w:szCs w:val="28"/>
        </w:rPr>
        <w:t>(5)</w:t>
      </w:r>
      <w:r>
        <w:rPr>
          <w:rFonts w:ascii="宋体" w:hAnsi="宋体" w:hint="eastAsia"/>
          <w:b/>
          <w:bCs/>
          <w:sz w:val="28"/>
          <w:szCs w:val="28"/>
        </w:rPr>
        <w:t>我国</w:t>
      </w:r>
      <w:r>
        <w:rPr>
          <w:rFonts w:ascii="宋体" w:hAnsi="宋体"/>
          <w:b/>
          <w:bCs/>
          <w:sz w:val="28"/>
          <w:szCs w:val="28"/>
        </w:rPr>
        <w:t>物流市场的需求</w:t>
      </w:r>
      <w:r>
        <w:rPr>
          <w:rFonts w:ascii="宋体" w:hAnsi="宋体" w:hint="eastAsia"/>
          <w:b/>
          <w:bCs/>
          <w:sz w:val="28"/>
          <w:szCs w:val="28"/>
        </w:rPr>
        <w:t>环境分析</w:t>
      </w:r>
      <w:bookmarkEnd w:id="100"/>
    </w:p>
    <w:p>
      <w:pPr>
        <w:pStyle w:val="Normal0"/>
        <w:spacing w:line="520" w:lineRule="exact"/>
        <w:ind w:firstLine="420"/>
        <w:rPr>
          <w:rFonts w:ascii="宋体" w:hAnsi="宋体" w:hint="eastAsia"/>
          <w:sz w:val="28"/>
          <w:szCs w:val="28"/>
        </w:rPr>
      </w:pPr>
      <w:r>
        <w:rPr>
          <w:rFonts w:ascii="宋体" w:hAnsi="宋体" w:hint="eastAsia"/>
          <w:sz w:val="28"/>
          <w:szCs w:val="28"/>
        </w:rPr>
        <w:t>目前，我国物流市场的需求</w:t>
      </w:r>
      <w:r>
        <w:rPr>
          <w:rFonts w:ascii="宋体" w:hAnsi="宋体"/>
          <w:sz w:val="28"/>
          <w:szCs w:val="28"/>
        </w:rPr>
        <w:t xml:space="preserve">主要来自： </w:t>
      </w:r>
      <w:r>
        <w:rPr>
          <w:rFonts w:ascii="宋体" w:hAnsi="宋体"/>
          <w:sz w:val="28"/>
          <w:szCs w:val="28"/>
        </w:rPr>
        <w:br/>
      </w:r>
      <w:r>
        <w:rPr>
          <w:rFonts w:ascii="宋体" w:hAnsi="宋体"/>
          <w:sz w:val="28"/>
          <w:szCs w:val="28"/>
        </w:rPr>
        <w:t>    </w:t>
      </w:r>
      <w:r>
        <w:rPr>
          <w:rFonts w:ascii="宋体" w:hAnsi="宋体" w:hint="eastAsia"/>
          <w:sz w:val="28"/>
          <w:szCs w:val="28"/>
        </w:rPr>
        <w:t xml:space="preserve">① </w:t>
      </w:r>
      <w:r>
        <w:rPr>
          <w:rFonts w:ascii="宋体" w:hAnsi="宋体"/>
          <w:sz w:val="28"/>
          <w:szCs w:val="28"/>
        </w:rPr>
        <w:t>境内的"三资"企业。</w:t>
      </w:r>
      <w:r>
        <w:rPr>
          <w:rFonts w:ascii="宋体" w:hAnsi="宋体" w:hint="eastAsia"/>
          <w:sz w:val="28"/>
          <w:szCs w:val="28"/>
        </w:rPr>
        <w:t xml:space="preserve"> </w:t>
      </w:r>
      <w:r>
        <w:rPr>
          <w:rFonts w:ascii="宋体" w:hAnsi="宋体"/>
          <w:sz w:val="28"/>
          <w:szCs w:val="28"/>
        </w:rPr>
        <w:t>外资企业在进入中国以后一般都不建立独立的物流部门，而是选取若干专业的物流供</w:t>
      </w:r>
      <w:r>
        <w:rPr>
          <w:rFonts w:ascii="宋体" w:hAnsi="宋体" w:hint="eastAsia"/>
          <w:sz w:val="28"/>
          <w:szCs w:val="28"/>
        </w:rPr>
        <w:t>应</w:t>
      </w:r>
      <w:r>
        <w:rPr>
          <w:rFonts w:ascii="宋体" w:hAnsi="宋体"/>
          <w:sz w:val="28"/>
          <w:szCs w:val="28"/>
        </w:rPr>
        <w:t>商，获得必要的物流服务。</w:t>
      </w:r>
      <w:r>
        <w:rPr>
          <w:rFonts w:ascii="宋体" w:hAnsi="宋体"/>
          <w:sz w:val="28"/>
          <w:szCs w:val="28"/>
        </w:rPr>
        <w:br/>
      </w:r>
      <w:r>
        <w:rPr>
          <w:rFonts w:ascii="宋体" w:hAnsi="宋体"/>
          <w:sz w:val="28"/>
          <w:szCs w:val="28"/>
        </w:rPr>
        <w:t>    </w:t>
      </w:r>
      <w:r>
        <w:rPr>
          <w:rFonts w:ascii="宋体" w:hAnsi="宋体" w:hint="eastAsia"/>
          <w:sz w:val="28"/>
          <w:szCs w:val="28"/>
        </w:rPr>
        <w:t xml:space="preserve">② </w:t>
      </w:r>
      <w:r>
        <w:rPr>
          <w:rFonts w:ascii="宋体" w:hAnsi="宋体"/>
          <w:sz w:val="28"/>
          <w:szCs w:val="28"/>
        </w:rPr>
        <w:t>国内新兴的中小企业。这些企业产品大多具有</w:t>
      </w:r>
      <w:r>
        <w:rPr>
          <w:rFonts w:ascii="宋体" w:hAnsi="宋体" w:hint="eastAsia"/>
          <w:sz w:val="28"/>
          <w:szCs w:val="28"/>
        </w:rPr>
        <w:t>多品种、</w:t>
      </w:r>
      <w:r>
        <w:rPr>
          <w:rFonts w:ascii="宋体" w:hAnsi="宋体"/>
          <w:sz w:val="28"/>
          <w:szCs w:val="28"/>
        </w:rPr>
        <w:t>小批量、高增值的特点，对物流服务的及时性、准确性的要求较高。面临着激烈的市场竞争，为了最大限度地降低成本</w:t>
      </w:r>
      <w:r>
        <w:rPr>
          <w:rFonts w:ascii="宋体" w:hAnsi="宋体" w:hint="eastAsia"/>
          <w:sz w:val="28"/>
          <w:szCs w:val="28"/>
        </w:rPr>
        <w:t>，</w:t>
      </w:r>
      <w:r>
        <w:rPr>
          <w:rFonts w:ascii="宋体" w:hAnsi="宋体"/>
          <w:sz w:val="28"/>
          <w:szCs w:val="28"/>
        </w:rPr>
        <w:t>也对物流服务提出了迫切需求</w:t>
      </w:r>
      <w:r>
        <w:rPr>
          <w:rFonts w:ascii="宋体" w:hAnsi="宋体" w:hint="eastAsia"/>
          <w:sz w:val="28"/>
          <w:szCs w:val="28"/>
        </w:rPr>
        <w:t>。</w:t>
      </w:r>
      <w:r>
        <w:rPr>
          <w:rFonts w:ascii="宋体" w:hAnsi="宋体"/>
          <w:sz w:val="28"/>
          <w:szCs w:val="28"/>
        </w:rPr>
        <w:br/>
      </w:r>
      <w:r>
        <w:rPr>
          <w:rFonts w:ascii="宋体" w:hAnsi="宋体"/>
          <w:sz w:val="28"/>
          <w:szCs w:val="28"/>
        </w:rPr>
        <w:t>   </w:t>
      </w:r>
      <w:r>
        <w:rPr>
          <w:rFonts w:ascii="宋体" w:hAnsi="宋体" w:hint="eastAsia"/>
          <w:sz w:val="28"/>
          <w:szCs w:val="28"/>
        </w:rPr>
        <w:t xml:space="preserve"> ③ </w:t>
      </w:r>
      <w:r>
        <w:rPr>
          <w:rFonts w:ascii="宋体" w:hAnsi="宋体"/>
          <w:sz w:val="28"/>
          <w:szCs w:val="28"/>
        </w:rPr>
        <w:t>国有大型企业</w:t>
      </w:r>
      <w:r>
        <w:rPr>
          <w:rFonts w:ascii="宋体" w:hAnsi="宋体" w:hint="eastAsia"/>
          <w:sz w:val="28"/>
          <w:szCs w:val="28"/>
        </w:rPr>
        <w:t>。</w:t>
      </w:r>
      <w:r>
        <w:rPr>
          <w:rFonts w:ascii="宋体" w:hAnsi="宋体"/>
          <w:sz w:val="28"/>
          <w:szCs w:val="28"/>
        </w:rPr>
        <w:t>面对激烈的国际国内竞争，打破"大而全、小而全"的传统观念，开始着手对企业传统物流活动进行重新改造，</w:t>
      </w:r>
      <w:r>
        <w:rPr>
          <w:rFonts w:ascii="宋体" w:hAnsi="宋体" w:hint="eastAsia"/>
          <w:sz w:val="28"/>
          <w:szCs w:val="28"/>
        </w:rPr>
        <w:t>力求</w:t>
      </w:r>
      <w:r>
        <w:rPr>
          <w:rFonts w:ascii="宋体" w:hAnsi="宋体"/>
          <w:sz w:val="28"/>
          <w:szCs w:val="28"/>
        </w:rPr>
        <w:t>最大限度地获取竞争优势。</w:t>
      </w:r>
    </w:p>
    <w:p>
      <w:pPr>
        <w:pStyle w:val="Normal0"/>
        <w:spacing w:line="520" w:lineRule="exact"/>
        <w:ind w:firstLine="560" w:firstLineChars="200"/>
        <w:rPr>
          <w:rFonts w:ascii="宋体" w:hAnsi="宋体" w:hint="eastAsia"/>
          <w:b/>
          <w:bCs/>
          <w:sz w:val="28"/>
          <w:szCs w:val="28"/>
        </w:rPr>
      </w:pPr>
      <w:bookmarkStart w:id="101" w:name="_Toc16816032"/>
      <w:r>
        <w:rPr>
          <w:rFonts w:ascii="宋体" w:hAnsi="宋体"/>
          <w:b/>
          <w:bCs/>
          <w:sz w:val="28"/>
          <w:szCs w:val="28"/>
        </w:rPr>
        <w:t>(6)</w:t>
      </w:r>
      <w:r>
        <w:rPr>
          <w:rFonts w:ascii="宋体" w:hAnsi="宋体" w:hint="eastAsia"/>
          <w:b/>
          <w:bCs/>
          <w:sz w:val="28"/>
          <w:szCs w:val="28"/>
        </w:rPr>
        <w:t>物流市场的供应环境分析</w:t>
      </w:r>
      <w:bookmarkEnd w:id="101"/>
    </w:p>
    <w:p>
      <w:pPr>
        <w:pStyle w:val="Normal0"/>
        <w:spacing w:line="520" w:lineRule="exact"/>
        <w:ind w:firstLine="540"/>
        <w:rPr>
          <w:rFonts w:ascii="宋体" w:hAnsi="宋体" w:hint="eastAsia"/>
          <w:sz w:val="28"/>
          <w:szCs w:val="28"/>
        </w:rPr>
      </w:pPr>
      <w:r>
        <w:rPr>
          <w:rFonts w:ascii="宋体" w:hAnsi="宋体" w:hint="eastAsia"/>
          <w:sz w:val="28"/>
          <w:szCs w:val="28"/>
        </w:rPr>
        <w:t>我国物流市场供应方主要有传统物流相关</w:t>
      </w:r>
      <w:r>
        <w:rPr>
          <w:rFonts w:ascii="宋体" w:hAnsi="宋体"/>
          <w:sz w:val="28"/>
          <w:szCs w:val="28"/>
        </w:rPr>
        <w:t>企业</w:t>
      </w:r>
      <w:r>
        <w:rPr>
          <w:rFonts w:ascii="宋体" w:hAnsi="宋体" w:hint="eastAsia"/>
          <w:sz w:val="28"/>
          <w:szCs w:val="28"/>
        </w:rPr>
        <w:t>和</w:t>
      </w:r>
      <w:r>
        <w:rPr>
          <w:rFonts w:ascii="宋体" w:hAnsi="宋体"/>
          <w:sz w:val="28"/>
          <w:szCs w:val="28"/>
        </w:rPr>
        <w:t>新兴物流企业</w:t>
      </w:r>
      <w:r>
        <w:rPr>
          <w:rFonts w:ascii="宋体" w:hAnsi="宋体" w:hint="eastAsia"/>
          <w:sz w:val="28"/>
          <w:szCs w:val="28"/>
        </w:rPr>
        <w:t>。</w:t>
      </w:r>
      <w:r>
        <w:rPr>
          <w:rFonts w:ascii="宋体" w:hAnsi="宋体"/>
          <w:sz w:val="28"/>
          <w:szCs w:val="28"/>
        </w:rPr>
        <w:t xml:space="preserve">主要有： </w:t>
      </w:r>
      <w:r>
        <w:rPr>
          <w:rFonts w:ascii="宋体" w:hAnsi="宋体"/>
          <w:sz w:val="28"/>
          <w:szCs w:val="28"/>
        </w:rPr>
        <w:br/>
      </w:r>
      <w:r>
        <w:rPr>
          <w:rFonts w:ascii="宋体" w:hAnsi="宋体"/>
          <w:sz w:val="28"/>
          <w:szCs w:val="28"/>
        </w:rPr>
        <w:t>   </w:t>
      </w:r>
      <w:r>
        <w:rPr>
          <w:rFonts w:ascii="宋体" w:hAnsi="宋体" w:hint="eastAsia"/>
          <w:sz w:val="28"/>
          <w:szCs w:val="28"/>
        </w:rPr>
        <w:t xml:space="preserve"> ① </w:t>
      </w:r>
      <w:r>
        <w:rPr>
          <w:rFonts w:ascii="宋体" w:hAnsi="宋体"/>
          <w:sz w:val="28"/>
          <w:szCs w:val="28"/>
        </w:rPr>
        <w:t>交通运输企业</w:t>
      </w:r>
      <w:r>
        <w:rPr>
          <w:rFonts w:ascii="宋体" w:hAnsi="宋体" w:hint="eastAsia"/>
          <w:sz w:val="28"/>
          <w:szCs w:val="28"/>
        </w:rPr>
        <w:t>。</w:t>
      </w:r>
      <w:r>
        <w:rPr>
          <w:rFonts w:ascii="宋体" w:hAnsi="宋体"/>
          <w:sz w:val="28"/>
          <w:szCs w:val="28"/>
        </w:rPr>
        <w:t>拓展业务范围，逐步向专业物流</w:t>
      </w:r>
      <w:r>
        <w:rPr>
          <w:rFonts w:ascii="宋体" w:hAnsi="宋体" w:hint="eastAsia"/>
          <w:sz w:val="28"/>
          <w:szCs w:val="28"/>
        </w:rPr>
        <w:t>供应</w:t>
      </w:r>
      <w:r>
        <w:rPr>
          <w:rFonts w:ascii="宋体" w:hAnsi="宋体"/>
          <w:sz w:val="28"/>
          <w:szCs w:val="28"/>
        </w:rPr>
        <w:t>商方向转化。如中远集团、中外运集团</w:t>
      </w:r>
      <w:r>
        <w:rPr>
          <w:rFonts w:ascii="宋体" w:hAnsi="宋体" w:hint="eastAsia"/>
          <w:sz w:val="28"/>
          <w:szCs w:val="28"/>
        </w:rPr>
        <w:t>、中海集团、中铁集团</w:t>
      </w:r>
      <w:r>
        <w:rPr>
          <w:rFonts w:ascii="宋体" w:hAnsi="宋体"/>
          <w:sz w:val="28"/>
          <w:szCs w:val="28"/>
        </w:rPr>
        <w:t>等</w:t>
      </w:r>
      <w:r>
        <w:rPr>
          <w:rFonts w:ascii="宋体" w:hAnsi="宋体" w:hint="eastAsia"/>
          <w:sz w:val="28"/>
          <w:szCs w:val="28"/>
        </w:rPr>
        <w:t xml:space="preserve">。    </w:t>
      </w:r>
    </w:p>
    <w:p>
      <w:pPr>
        <w:pStyle w:val="Normal0"/>
        <w:spacing w:line="520" w:lineRule="exact"/>
        <w:rPr>
          <w:rFonts w:ascii="宋体" w:hAnsi="宋体" w:hint="eastAsia"/>
          <w:sz w:val="28"/>
          <w:szCs w:val="28"/>
        </w:rPr>
      </w:pPr>
      <w:r>
        <w:rPr>
          <w:rFonts w:ascii="宋体" w:hAnsi="宋体"/>
          <w:sz w:val="28"/>
          <w:szCs w:val="28"/>
        </w:rPr>
        <w:t>    </w:t>
      </w:r>
      <w:r>
        <w:rPr>
          <w:rFonts w:ascii="宋体" w:hAnsi="宋体" w:hint="eastAsia"/>
          <w:sz w:val="28"/>
          <w:szCs w:val="28"/>
        </w:rPr>
        <w:t xml:space="preserve">② </w:t>
      </w:r>
      <w:r>
        <w:rPr>
          <w:rFonts w:ascii="宋体" w:hAnsi="宋体"/>
          <w:sz w:val="28"/>
          <w:szCs w:val="28"/>
        </w:rPr>
        <w:t>商业</w:t>
      </w:r>
      <w:r>
        <w:rPr>
          <w:rFonts w:ascii="宋体" w:hAnsi="宋体" w:hint="eastAsia"/>
          <w:sz w:val="28"/>
          <w:szCs w:val="28"/>
        </w:rPr>
        <w:t>仓储</w:t>
      </w:r>
      <w:r>
        <w:rPr>
          <w:rFonts w:ascii="宋体" w:hAnsi="宋体"/>
          <w:sz w:val="28"/>
          <w:szCs w:val="28"/>
        </w:rPr>
        <w:t>企业</w:t>
      </w:r>
      <w:r>
        <w:rPr>
          <w:rFonts w:ascii="宋体" w:hAnsi="宋体" w:hint="eastAsia"/>
          <w:sz w:val="28"/>
          <w:szCs w:val="28"/>
        </w:rPr>
        <w:t>。</w:t>
      </w:r>
      <w:r>
        <w:rPr>
          <w:rFonts w:ascii="宋体" w:hAnsi="宋体"/>
          <w:sz w:val="28"/>
          <w:szCs w:val="28"/>
        </w:rPr>
        <w:t>在推行商业连锁、配送制过程中</w:t>
      </w:r>
      <w:r>
        <w:rPr>
          <w:rFonts w:ascii="宋体" w:hAnsi="宋体" w:hint="eastAsia"/>
          <w:sz w:val="28"/>
          <w:szCs w:val="28"/>
        </w:rPr>
        <w:t xml:space="preserve">逐步向现代物流企业发展，如中储、中商、中物资等。  </w:t>
      </w:r>
    </w:p>
    <w:p>
      <w:pPr>
        <w:pStyle w:val="Normal0"/>
        <w:spacing w:line="520" w:lineRule="exact"/>
        <w:rPr>
          <w:rFonts w:ascii="宋体" w:hAnsi="宋体" w:hint="eastAsia"/>
          <w:sz w:val="28"/>
          <w:szCs w:val="28"/>
        </w:rPr>
      </w:pPr>
      <w:r>
        <w:rPr>
          <w:rFonts w:ascii="宋体" w:hAnsi="宋体" w:hint="eastAsia"/>
          <w:sz w:val="28"/>
          <w:szCs w:val="28"/>
        </w:rPr>
        <w:t xml:space="preserve">    ③ 大型生产制造企业的物流部门。在保障本企业物流业务的同时，向社会化物流服务拓展。如海尔、宝钢等。</w:t>
      </w:r>
    </w:p>
    <w:p>
      <w:pPr>
        <w:pStyle w:val="Normal0"/>
        <w:spacing w:line="520" w:lineRule="exact"/>
        <w:rPr>
          <w:rFonts w:ascii="宋体" w:hAnsi="宋体" w:hint="eastAsia"/>
          <w:sz w:val="28"/>
          <w:szCs w:val="28"/>
        </w:rPr>
        <w:sectPr>
          <w:headerReference w:type="default" r:id="rId67"/>
          <w:footerReference w:type="even" r:id="rId68"/>
          <w:footerReference w:type="default" r:id="rId69"/>
          <w:type w:val="nextPage"/>
          <w:pgSz w:w="11906" w:h="16838"/>
          <w:pgMar w:top="1440" w:right="1474" w:bottom="1440" w:left="1758" w:header="851" w:footer="992" w:gutter="0"/>
          <w:pgNumType w:start="19"/>
          <w:cols w:num="1" w:space="425"/>
          <w:titlePg w:val="0"/>
          <w:docGrid w:type="linesAndChars" w:linePitch="312" w:charSpace="-3532"/>
        </w:sectPr>
      </w:pPr>
      <w:r>
        <w:rPr>
          <w:rFonts w:ascii="宋体" w:hAnsi="宋体"/>
          <w:sz w:val="28"/>
          <w:szCs w:val="28"/>
        </w:rPr>
        <w:t>    </w:t>
      </w:r>
      <w:r>
        <w:rPr>
          <w:rFonts w:ascii="宋体" w:hAnsi="宋体" w:hint="eastAsia"/>
          <w:sz w:val="28"/>
          <w:szCs w:val="28"/>
        </w:rPr>
        <w:t xml:space="preserve">④ </w:t>
      </w:r>
      <w:r>
        <w:rPr>
          <w:rFonts w:ascii="宋体" w:hAnsi="宋体"/>
          <w:sz w:val="28"/>
          <w:szCs w:val="28"/>
        </w:rPr>
        <w:t>国际物流公司</w:t>
      </w:r>
      <w:r>
        <w:rPr>
          <w:rFonts w:ascii="宋体" w:hAnsi="宋体" w:hint="eastAsia"/>
          <w:sz w:val="28"/>
          <w:szCs w:val="28"/>
        </w:rPr>
        <w:t>。</w:t>
      </w:r>
      <w:r>
        <w:rPr>
          <w:rFonts w:ascii="宋体" w:hAnsi="宋体"/>
          <w:sz w:val="28"/>
          <w:szCs w:val="28"/>
        </w:rPr>
        <w:t>采取合资或独资形式，在国内开展物流业务</w:t>
      </w:r>
      <w:r>
        <w:rPr>
          <w:rFonts w:ascii="宋体" w:hAnsi="宋体" w:hint="eastAsia"/>
          <w:sz w:val="28"/>
          <w:szCs w:val="28"/>
        </w:rPr>
        <w:t xml:space="preserve">。    </w:t>
      </w:r>
    </w:p>
    <w:p>
      <w:pPr>
        <w:pStyle w:val="Normal0"/>
        <w:spacing w:line="520" w:lineRule="exact"/>
        <w:rPr>
          <w:rFonts w:ascii="宋体" w:hAnsi="宋体" w:hint="eastAsia"/>
          <w:sz w:val="28"/>
          <w:szCs w:val="28"/>
        </w:rPr>
      </w:pPr>
      <w:r>
        <w:rPr>
          <w:rFonts w:ascii="宋体" w:hAnsi="宋体" w:hint="eastAsia"/>
          <w:sz w:val="28"/>
          <w:szCs w:val="28"/>
        </w:rPr>
        <w:t xml:space="preserve">    ⑤ </w:t>
      </w:r>
      <w:r>
        <w:rPr>
          <w:rFonts w:ascii="宋体" w:hAnsi="宋体"/>
          <w:sz w:val="28"/>
          <w:szCs w:val="28"/>
        </w:rPr>
        <w:t>迅速发展</w:t>
      </w:r>
      <w:r>
        <w:rPr>
          <w:rFonts w:ascii="宋体" w:hAnsi="宋体" w:hint="eastAsia"/>
          <w:sz w:val="28"/>
          <w:szCs w:val="28"/>
        </w:rPr>
        <w:t>建设</w:t>
      </w:r>
      <w:r>
        <w:rPr>
          <w:rFonts w:ascii="宋体" w:hAnsi="宋体"/>
          <w:sz w:val="28"/>
          <w:szCs w:val="28"/>
        </w:rPr>
        <w:t>的物流中心。</w:t>
      </w:r>
      <w:r>
        <w:rPr>
          <w:rFonts w:ascii="宋体" w:hAnsi="宋体" w:hint="eastAsia"/>
          <w:sz w:val="28"/>
          <w:szCs w:val="28"/>
        </w:rPr>
        <w:t>以交通运输枢纽、产品集散地点、居民消费区域为依托，开展系统化现代化信息化的物流服务。</w:t>
      </w:r>
    </w:p>
    <w:p>
      <w:pPr>
        <w:pStyle w:val="Heading3"/>
        <w:spacing w:before="0" w:after="0" w:line="520" w:lineRule="exact"/>
        <w:rPr>
          <w:rFonts w:ascii="宋体" w:eastAsia="宋体" w:hAnsi="宋体" w:hint="eastAsia"/>
          <w:szCs w:val="28"/>
        </w:rPr>
      </w:pPr>
      <w:bookmarkStart w:id="102" w:name="_Toc20275464"/>
      <w:r>
        <w:rPr>
          <w:rFonts w:ascii="宋体" w:eastAsia="宋体" w:hAnsi="宋体"/>
          <w:szCs w:val="28"/>
        </w:rPr>
        <w:t>1.</w:t>
      </w:r>
      <w:r>
        <w:rPr>
          <w:rFonts w:ascii="宋体" w:eastAsia="宋体" w:hAnsi="宋体" w:hint="eastAsia"/>
          <w:szCs w:val="28"/>
        </w:rPr>
        <w:t>3、湖南省及长沙市物流市场总量与发展空间分析</w:t>
      </w:r>
      <w:bookmarkEnd w:id="102"/>
    </w:p>
    <w:p>
      <w:pPr>
        <w:pStyle w:val="Normal0"/>
        <w:spacing w:line="520" w:lineRule="exact"/>
        <w:ind w:firstLine="560" w:firstLineChars="200"/>
        <w:rPr>
          <w:rFonts w:ascii="宋体" w:hAnsi="宋体" w:hint="eastAsia"/>
          <w:b/>
          <w:bCs/>
          <w:sz w:val="28"/>
          <w:szCs w:val="28"/>
        </w:rPr>
      </w:pPr>
      <w:r>
        <w:rPr>
          <w:rFonts w:ascii="宋体" w:hAnsi="宋体"/>
          <w:b/>
          <w:bCs/>
          <w:sz w:val="28"/>
          <w:szCs w:val="28"/>
        </w:rPr>
        <w:t>(1)</w:t>
      </w:r>
      <w:r>
        <w:rPr>
          <w:rFonts w:ascii="宋体" w:hAnsi="宋体" w:hint="eastAsia"/>
          <w:b/>
          <w:bCs/>
          <w:sz w:val="28"/>
          <w:szCs w:val="28"/>
        </w:rPr>
        <w:t>中部各省的宏观物流业产值比较</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根据我国国家统计局和国家标准局1994年制定的国民经济行业分类标准，物流业包括第三产业中交通运输、仓储及邮电业中的货运和仓储部分。因此选用交通运输、仓储、邮电业产值（宏观物流产值）来代表物流业产值进行分析。（见表4-2）</w:t>
      </w:r>
    </w:p>
    <w:p>
      <w:pPr>
        <w:pStyle w:val="Normal0"/>
        <w:spacing w:line="520" w:lineRule="exact"/>
        <w:jc w:val="center"/>
        <w:rPr>
          <w:rFonts w:ascii="宋体" w:hAnsi="宋体" w:hint="eastAsia"/>
          <w:b/>
          <w:bCs/>
          <w:sz w:val="28"/>
          <w:szCs w:val="28"/>
        </w:rPr>
      </w:pPr>
      <w:r>
        <w:rPr>
          <w:rFonts w:ascii="宋体" w:hAnsi="宋体" w:hint="eastAsia"/>
          <w:b/>
          <w:bCs/>
          <w:sz w:val="28"/>
          <w:szCs w:val="28"/>
        </w:rPr>
        <w:t>表4-2  1999年中部九省GDP及宏观物流业产值</w:t>
      </w:r>
    </w:p>
    <w:p>
      <w:pPr>
        <w:pStyle w:val="Normal0"/>
        <w:spacing w:line="520" w:lineRule="exact"/>
        <w:jc w:val="center"/>
        <w:rPr>
          <w:rFonts w:ascii="宋体" w:hAnsi="宋体" w:hint="eastAsia"/>
          <w:sz w:val="28"/>
          <w:szCs w:val="28"/>
        </w:rPr>
      </w:pPr>
      <w:r>
        <w:rPr>
          <w:rFonts w:ascii="宋体" w:hAnsi="宋体" w:hint="eastAsia"/>
          <w:b/>
          <w:bCs/>
          <w:sz w:val="28"/>
          <w:szCs w:val="28"/>
        </w:rPr>
        <w:t xml:space="preserve">                                                        </w:t>
      </w:r>
      <w:r>
        <w:rPr>
          <w:rFonts w:ascii="宋体" w:hAnsi="宋体" w:hint="eastAsia"/>
          <w:sz w:val="28"/>
          <w:szCs w:val="28"/>
        </w:rPr>
        <w:t>（亿元）</w:t>
      </w:r>
    </w:p>
    <w:tbl>
      <w:tblPr>
        <w:tblStyle w:val="TableNormal"/>
        <w:tblW w:w="8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8"/>
        <w:gridCol w:w="840"/>
        <w:gridCol w:w="813"/>
        <w:gridCol w:w="952"/>
        <w:gridCol w:w="908"/>
        <w:gridCol w:w="899"/>
        <w:gridCol w:w="864"/>
        <w:gridCol w:w="795"/>
        <w:gridCol w:w="840"/>
        <w:gridCol w:w="820"/>
      </w:tblGrid>
      <w:tr>
        <w:tblPrEx>
          <w:tblW w:w="8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58" w:type="dxa"/>
          </w:tcPr>
          <w:p>
            <w:pPr>
              <w:pStyle w:val="Normal0"/>
              <w:spacing w:line="520" w:lineRule="exact"/>
              <w:jc w:val="center"/>
              <w:rPr>
                <w:rFonts w:ascii="宋体" w:hAnsi="宋体" w:hint="eastAsia"/>
                <w:sz w:val="28"/>
                <w:szCs w:val="28"/>
              </w:rPr>
            </w:pPr>
            <w:r>
              <w:rPr>
                <w:rFonts w:ascii="宋体" w:hAnsi="宋体" w:hint="eastAsia"/>
                <w:sz w:val="28"/>
                <w:szCs w:val="28"/>
              </w:rPr>
              <w:t>省份</w:t>
            </w:r>
          </w:p>
        </w:tc>
        <w:tc>
          <w:tcPr>
            <w:tcW w:w="840" w:type="dxa"/>
          </w:tcPr>
          <w:p>
            <w:pPr>
              <w:pStyle w:val="Normal0"/>
              <w:spacing w:line="520" w:lineRule="exact"/>
              <w:jc w:val="center"/>
              <w:rPr>
                <w:rFonts w:ascii="宋体" w:hAnsi="宋体" w:hint="eastAsia"/>
                <w:sz w:val="28"/>
                <w:szCs w:val="28"/>
              </w:rPr>
            </w:pPr>
            <w:r>
              <w:rPr>
                <w:rFonts w:ascii="宋体" w:hAnsi="宋体" w:hint="eastAsia"/>
                <w:sz w:val="28"/>
                <w:szCs w:val="28"/>
              </w:rPr>
              <w:t>河南</w:t>
            </w:r>
          </w:p>
        </w:tc>
        <w:tc>
          <w:tcPr>
            <w:tcW w:w="813" w:type="dxa"/>
          </w:tcPr>
          <w:p>
            <w:pPr>
              <w:pStyle w:val="Normal0"/>
              <w:spacing w:line="520" w:lineRule="exact"/>
              <w:jc w:val="center"/>
              <w:rPr>
                <w:rFonts w:ascii="宋体" w:hAnsi="宋体" w:hint="eastAsia"/>
                <w:sz w:val="28"/>
                <w:szCs w:val="28"/>
              </w:rPr>
            </w:pPr>
            <w:r>
              <w:rPr>
                <w:rFonts w:ascii="宋体" w:hAnsi="宋体" w:hint="eastAsia"/>
                <w:sz w:val="28"/>
                <w:szCs w:val="28"/>
              </w:rPr>
              <w:t>湖北</w:t>
            </w:r>
          </w:p>
        </w:tc>
        <w:tc>
          <w:tcPr>
            <w:tcW w:w="952" w:type="dxa"/>
          </w:tcPr>
          <w:p>
            <w:pPr>
              <w:pStyle w:val="Normal0"/>
              <w:spacing w:line="520" w:lineRule="exact"/>
              <w:jc w:val="center"/>
              <w:rPr>
                <w:rFonts w:ascii="宋体" w:hAnsi="宋体" w:hint="eastAsia"/>
                <w:sz w:val="28"/>
                <w:szCs w:val="28"/>
              </w:rPr>
            </w:pPr>
            <w:r>
              <w:rPr>
                <w:rFonts w:ascii="宋体" w:hAnsi="宋体" w:hint="eastAsia"/>
                <w:sz w:val="28"/>
                <w:szCs w:val="28"/>
              </w:rPr>
              <w:t>湖南</w:t>
            </w:r>
          </w:p>
        </w:tc>
        <w:tc>
          <w:tcPr>
            <w:tcW w:w="908" w:type="dxa"/>
          </w:tcPr>
          <w:p>
            <w:pPr>
              <w:pStyle w:val="Normal0"/>
              <w:spacing w:line="520" w:lineRule="exact"/>
              <w:jc w:val="center"/>
              <w:rPr>
                <w:rFonts w:ascii="宋体" w:hAnsi="宋体" w:hint="eastAsia"/>
                <w:sz w:val="28"/>
                <w:szCs w:val="28"/>
              </w:rPr>
            </w:pPr>
            <w:r>
              <w:rPr>
                <w:rFonts w:ascii="宋体" w:hAnsi="宋体" w:hint="eastAsia"/>
                <w:sz w:val="28"/>
                <w:szCs w:val="28"/>
              </w:rPr>
              <w:t>黑龙江</w:t>
            </w:r>
          </w:p>
        </w:tc>
        <w:tc>
          <w:tcPr>
            <w:tcW w:w="899" w:type="dxa"/>
          </w:tcPr>
          <w:p>
            <w:pPr>
              <w:pStyle w:val="Normal0"/>
              <w:spacing w:line="520" w:lineRule="exact"/>
              <w:jc w:val="center"/>
              <w:rPr>
                <w:rFonts w:ascii="宋体" w:hAnsi="宋体" w:hint="eastAsia"/>
                <w:sz w:val="28"/>
                <w:szCs w:val="28"/>
              </w:rPr>
            </w:pPr>
            <w:r>
              <w:rPr>
                <w:rFonts w:ascii="宋体" w:hAnsi="宋体" w:hint="eastAsia"/>
                <w:sz w:val="28"/>
                <w:szCs w:val="28"/>
              </w:rPr>
              <w:t>安徽</w:t>
            </w:r>
          </w:p>
        </w:tc>
        <w:tc>
          <w:tcPr>
            <w:tcW w:w="864" w:type="dxa"/>
          </w:tcPr>
          <w:p>
            <w:pPr>
              <w:pStyle w:val="Normal0"/>
              <w:spacing w:line="520" w:lineRule="exact"/>
              <w:jc w:val="center"/>
              <w:rPr>
                <w:rFonts w:ascii="宋体" w:hAnsi="宋体" w:hint="eastAsia"/>
                <w:sz w:val="28"/>
                <w:szCs w:val="28"/>
              </w:rPr>
            </w:pPr>
            <w:r>
              <w:rPr>
                <w:rFonts w:ascii="宋体" w:hAnsi="宋体" w:hint="eastAsia"/>
                <w:sz w:val="28"/>
                <w:szCs w:val="28"/>
              </w:rPr>
              <w:t>江西</w:t>
            </w:r>
          </w:p>
        </w:tc>
        <w:tc>
          <w:tcPr>
            <w:tcW w:w="795" w:type="dxa"/>
          </w:tcPr>
          <w:p>
            <w:pPr>
              <w:pStyle w:val="Normal0"/>
              <w:spacing w:line="520" w:lineRule="exact"/>
              <w:jc w:val="center"/>
              <w:rPr>
                <w:rFonts w:ascii="宋体" w:hAnsi="宋体" w:hint="eastAsia"/>
                <w:sz w:val="28"/>
                <w:szCs w:val="28"/>
              </w:rPr>
            </w:pPr>
            <w:r>
              <w:rPr>
                <w:rFonts w:ascii="宋体" w:hAnsi="宋体" w:hint="eastAsia"/>
                <w:sz w:val="28"/>
                <w:szCs w:val="28"/>
              </w:rPr>
              <w:t>吉林</w:t>
            </w:r>
          </w:p>
        </w:tc>
        <w:tc>
          <w:tcPr>
            <w:tcW w:w="840" w:type="dxa"/>
          </w:tcPr>
          <w:p>
            <w:pPr>
              <w:pStyle w:val="Normal0"/>
              <w:spacing w:line="520" w:lineRule="exact"/>
              <w:jc w:val="center"/>
              <w:rPr>
                <w:rFonts w:ascii="宋体" w:hAnsi="宋体" w:hint="eastAsia"/>
                <w:sz w:val="28"/>
                <w:szCs w:val="28"/>
              </w:rPr>
            </w:pPr>
            <w:r>
              <w:rPr>
                <w:rFonts w:ascii="宋体" w:hAnsi="宋体" w:hint="eastAsia"/>
                <w:sz w:val="28"/>
                <w:szCs w:val="28"/>
              </w:rPr>
              <w:t>山西</w:t>
            </w:r>
          </w:p>
        </w:tc>
        <w:tc>
          <w:tcPr>
            <w:tcW w:w="820" w:type="dxa"/>
          </w:tcPr>
          <w:p>
            <w:pPr>
              <w:pStyle w:val="Normal0"/>
              <w:spacing w:line="520" w:lineRule="exact"/>
              <w:jc w:val="center"/>
              <w:rPr>
                <w:rFonts w:ascii="宋体" w:hAnsi="宋体" w:hint="eastAsia"/>
                <w:sz w:val="28"/>
                <w:szCs w:val="28"/>
              </w:rPr>
            </w:pPr>
            <w:r>
              <w:rPr>
                <w:rFonts w:ascii="宋体" w:hAnsi="宋体" w:hint="eastAsia"/>
                <w:sz w:val="28"/>
                <w:szCs w:val="28"/>
              </w:rPr>
              <w:t>内蒙</w:t>
            </w:r>
          </w:p>
        </w:tc>
      </w:tr>
      <w:tr>
        <w:tblPrEx>
          <w:tblW w:w="8889" w:type="dxa"/>
          <w:jc w:val="center"/>
          <w:tblLayout w:type="fixed"/>
          <w:tblCellMar>
            <w:top w:w="0" w:type="dxa"/>
            <w:left w:w="108" w:type="dxa"/>
            <w:bottom w:w="0" w:type="dxa"/>
            <w:right w:w="108" w:type="dxa"/>
          </w:tblCellMar>
        </w:tblPrEx>
        <w:trPr>
          <w:jc w:val="center"/>
        </w:trPr>
        <w:tc>
          <w:tcPr>
            <w:tcW w:w="1158" w:type="dxa"/>
          </w:tcPr>
          <w:p>
            <w:pPr>
              <w:pStyle w:val="Normal0"/>
              <w:spacing w:line="520" w:lineRule="exact"/>
              <w:rPr>
                <w:rFonts w:ascii="宋体" w:hAnsi="宋体" w:hint="eastAsia"/>
                <w:sz w:val="28"/>
                <w:szCs w:val="28"/>
              </w:rPr>
            </w:pPr>
            <w:r>
              <w:rPr>
                <w:rFonts w:ascii="宋体" w:hAnsi="宋体" w:hint="eastAsia"/>
                <w:sz w:val="28"/>
                <w:szCs w:val="28"/>
              </w:rPr>
              <w:t>GDP</w:t>
            </w:r>
          </w:p>
        </w:tc>
        <w:tc>
          <w:tcPr>
            <w:tcW w:w="840" w:type="dxa"/>
          </w:tcPr>
          <w:p>
            <w:pPr>
              <w:pStyle w:val="Normal0"/>
              <w:spacing w:line="520" w:lineRule="exact"/>
              <w:jc w:val="right"/>
              <w:rPr>
                <w:rFonts w:ascii="宋体" w:hAnsi="宋体" w:hint="eastAsia"/>
                <w:sz w:val="28"/>
                <w:szCs w:val="28"/>
              </w:rPr>
            </w:pPr>
            <w:r>
              <w:rPr>
                <w:rFonts w:ascii="宋体" w:hAnsi="宋体" w:hint="eastAsia"/>
                <w:sz w:val="28"/>
                <w:szCs w:val="28"/>
              </w:rPr>
              <w:t>4576.1</w:t>
            </w:r>
          </w:p>
        </w:tc>
        <w:tc>
          <w:tcPr>
            <w:tcW w:w="813" w:type="dxa"/>
          </w:tcPr>
          <w:p>
            <w:pPr>
              <w:pStyle w:val="Normal0"/>
              <w:spacing w:line="520" w:lineRule="exact"/>
              <w:jc w:val="right"/>
              <w:rPr>
                <w:rFonts w:ascii="宋体" w:hAnsi="宋体" w:hint="eastAsia"/>
                <w:sz w:val="28"/>
                <w:szCs w:val="28"/>
              </w:rPr>
            </w:pPr>
            <w:r>
              <w:rPr>
                <w:rFonts w:ascii="宋体" w:hAnsi="宋体" w:hint="eastAsia"/>
                <w:sz w:val="28"/>
                <w:szCs w:val="28"/>
              </w:rPr>
              <w:t>3858.0</w:t>
            </w:r>
          </w:p>
        </w:tc>
        <w:tc>
          <w:tcPr>
            <w:tcW w:w="952" w:type="dxa"/>
          </w:tcPr>
          <w:p>
            <w:pPr>
              <w:pStyle w:val="Normal0"/>
              <w:spacing w:line="520" w:lineRule="exact"/>
              <w:jc w:val="right"/>
              <w:rPr>
                <w:rFonts w:ascii="宋体" w:hAnsi="宋体" w:hint="eastAsia"/>
                <w:sz w:val="28"/>
                <w:szCs w:val="28"/>
              </w:rPr>
            </w:pPr>
            <w:r>
              <w:rPr>
                <w:rFonts w:ascii="宋体" w:hAnsi="宋体" w:hint="eastAsia"/>
                <w:sz w:val="28"/>
                <w:szCs w:val="28"/>
              </w:rPr>
              <w:t>3326.8</w:t>
            </w:r>
          </w:p>
        </w:tc>
        <w:tc>
          <w:tcPr>
            <w:tcW w:w="908" w:type="dxa"/>
          </w:tcPr>
          <w:p>
            <w:pPr>
              <w:pStyle w:val="Normal0"/>
              <w:spacing w:line="520" w:lineRule="exact"/>
              <w:jc w:val="right"/>
              <w:rPr>
                <w:rFonts w:ascii="宋体" w:hAnsi="宋体" w:hint="eastAsia"/>
                <w:sz w:val="28"/>
                <w:szCs w:val="28"/>
              </w:rPr>
            </w:pPr>
            <w:r>
              <w:rPr>
                <w:rFonts w:ascii="宋体" w:hAnsi="宋体" w:hint="eastAsia"/>
                <w:sz w:val="28"/>
                <w:szCs w:val="28"/>
              </w:rPr>
              <w:t>2897.4</w:t>
            </w:r>
          </w:p>
        </w:tc>
        <w:tc>
          <w:tcPr>
            <w:tcW w:w="899" w:type="dxa"/>
          </w:tcPr>
          <w:p>
            <w:pPr>
              <w:pStyle w:val="Normal0"/>
              <w:spacing w:line="520" w:lineRule="exact"/>
              <w:jc w:val="right"/>
              <w:rPr>
                <w:rFonts w:ascii="宋体" w:hAnsi="宋体" w:hint="eastAsia"/>
                <w:sz w:val="28"/>
                <w:szCs w:val="28"/>
              </w:rPr>
            </w:pPr>
            <w:r>
              <w:rPr>
                <w:rFonts w:ascii="宋体" w:hAnsi="宋体" w:hint="eastAsia"/>
                <w:sz w:val="28"/>
                <w:szCs w:val="28"/>
              </w:rPr>
              <w:t>2908.6</w:t>
            </w:r>
          </w:p>
        </w:tc>
        <w:tc>
          <w:tcPr>
            <w:tcW w:w="864" w:type="dxa"/>
          </w:tcPr>
          <w:p>
            <w:pPr>
              <w:pStyle w:val="Normal0"/>
              <w:spacing w:line="520" w:lineRule="exact"/>
              <w:jc w:val="right"/>
              <w:rPr>
                <w:rFonts w:ascii="宋体" w:hAnsi="宋体" w:hint="eastAsia"/>
                <w:sz w:val="28"/>
                <w:szCs w:val="28"/>
              </w:rPr>
            </w:pPr>
            <w:r>
              <w:rPr>
                <w:rFonts w:ascii="宋体" w:hAnsi="宋体" w:hint="eastAsia"/>
                <w:sz w:val="28"/>
                <w:szCs w:val="28"/>
              </w:rPr>
              <w:t>1963.0</w:t>
            </w:r>
          </w:p>
        </w:tc>
        <w:tc>
          <w:tcPr>
            <w:tcW w:w="795" w:type="dxa"/>
          </w:tcPr>
          <w:p>
            <w:pPr>
              <w:pStyle w:val="Normal0"/>
              <w:spacing w:line="520" w:lineRule="exact"/>
              <w:jc w:val="right"/>
              <w:rPr>
                <w:rFonts w:ascii="宋体" w:hAnsi="宋体" w:hint="eastAsia"/>
                <w:sz w:val="28"/>
                <w:szCs w:val="28"/>
              </w:rPr>
            </w:pPr>
            <w:r>
              <w:rPr>
                <w:rFonts w:ascii="宋体" w:hAnsi="宋体" w:hint="eastAsia"/>
                <w:sz w:val="28"/>
                <w:szCs w:val="28"/>
              </w:rPr>
              <w:t>1669.6</w:t>
            </w:r>
          </w:p>
        </w:tc>
        <w:tc>
          <w:tcPr>
            <w:tcW w:w="840" w:type="dxa"/>
          </w:tcPr>
          <w:p>
            <w:pPr>
              <w:pStyle w:val="Normal0"/>
              <w:spacing w:line="520" w:lineRule="exact"/>
              <w:jc w:val="right"/>
              <w:rPr>
                <w:rFonts w:ascii="宋体" w:hAnsi="宋体" w:hint="eastAsia"/>
                <w:sz w:val="28"/>
                <w:szCs w:val="28"/>
              </w:rPr>
            </w:pPr>
            <w:r>
              <w:rPr>
                <w:rFonts w:ascii="宋体" w:hAnsi="宋体" w:hint="eastAsia"/>
                <w:sz w:val="28"/>
                <w:szCs w:val="28"/>
              </w:rPr>
              <w:t>1506.8</w:t>
            </w:r>
          </w:p>
        </w:tc>
        <w:tc>
          <w:tcPr>
            <w:tcW w:w="820" w:type="dxa"/>
          </w:tcPr>
          <w:p>
            <w:pPr>
              <w:pStyle w:val="Normal0"/>
              <w:spacing w:line="520" w:lineRule="exact"/>
              <w:jc w:val="right"/>
              <w:rPr>
                <w:rFonts w:ascii="宋体" w:hAnsi="宋体" w:hint="eastAsia"/>
                <w:sz w:val="28"/>
                <w:szCs w:val="28"/>
              </w:rPr>
            </w:pPr>
            <w:r>
              <w:rPr>
                <w:rFonts w:ascii="宋体" w:hAnsi="宋体" w:hint="eastAsia"/>
                <w:sz w:val="28"/>
                <w:szCs w:val="28"/>
              </w:rPr>
              <w:t>1268.2</w:t>
            </w:r>
          </w:p>
        </w:tc>
      </w:tr>
      <w:tr>
        <w:tblPrEx>
          <w:tblW w:w="8889" w:type="dxa"/>
          <w:jc w:val="center"/>
          <w:tblLayout w:type="fixed"/>
          <w:tblCellMar>
            <w:top w:w="0" w:type="dxa"/>
            <w:left w:w="108" w:type="dxa"/>
            <w:bottom w:w="0" w:type="dxa"/>
            <w:right w:w="108" w:type="dxa"/>
          </w:tblCellMar>
        </w:tblPrEx>
        <w:trPr>
          <w:jc w:val="center"/>
        </w:trPr>
        <w:tc>
          <w:tcPr>
            <w:tcW w:w="1158" w:type="dxa"/>
          </w:tcPr>
          <w:p>
            <w:pPr>
              <w:pStyle w:val="Normal0"/>
              <w:spacing w:line="520" w:lineRule="exact"/>
              <w:rPr>
                <w:rFonts w:ascii="宋体" w:hAnsi="宋体" w:hint="eastAsia"/>
                <w:sz w:val="28"/>
                <w:szCs w:val="28"/>
              </w:rPr>
            </w:pPr>
            <w:r>
              <w:rPr>
                <w:rFonts w:ascii="宋体" w:hAnsi="宋体" w:hint="eastAsia"/>
                <w:sz w:val="28"/>
                <w:szCs w:val="28"/>
              </w:rPr>
              <w:t>物流产值</w:t>
            </w:r>
          </w:p>
        </w:tc>
        <w:tc>
          <w:tcPr>
            <w:tcW w:w="840" w:type="dxa"/>
          </w:tcPr>
          <w:p>
            <w:pPr>
              <w:pStyle w:val="Normal0"/>
              <w:spacing w:line="520" w:lineRule="exact"/>
              <w:jc w:val="right"/>
              <w:rPr>
                <w:rFonts w:ascii="宋体" w:hAnsi="宋体" w:hint="eastAsia"/>
                <w:sz w:val="28"/>
                <w:szCs w:val="28"/>
              </w:rPr>
            </w:pPr>
            <w:r>
              <w:rPr>
                <w:rFonts w:ascii="宋体" w:hAnsi="宋体" w:hint="eastAsia"/>
                <w:sz w:val="28"/>
                <w:szCs w:val="28"/>
              </w:rPr>
              <w:t>333.5</w:t>
            </w:r>
          </w:p>
        </w:tc>
        <w:tc>
          <w:tcPr>
            <w:tcW w:w="813" w:type="dxa"/>
          </w:tcPr>
          <w:p>
            <w:pPr>
              <w:pStyle w:val="Normal0"/>
              <w:spacing w:line="520" w:lineRule="exact"/>
              <w:jc w:val="right"/>
              <w:rPr>
                <w:rFonts w:ascii="宋体" w:hAnsi="宋体" w:hint="eastAsia"/>
                <w:sz w:val="28"/>
                <w:szCs w:val="28"/>
              </w:rPr>
            </w:pPr>
            <w:r>
              <w:rPr>
                <w:rFonts w:ascii="宋体" w:hAnsi="宋体" w:hint="eastAsia"/>
                <w:sz w:val="28"/>
                <w:szCs w:val="28"/>
              </w:rPr>
              <w:t>215.9</w:t>
            </w:r>
          </w:p>
        </w:tc>
        <w:tc>
          <w:tcPr>
            <w:tcW w:w="952" w:type="dxa"/>
          </w:tcPr>
          <w:p>
            <w:pPr>
              <w:pStyle w:val="Normal0"/>
              <w:spacing w:line="520" w:lineRule="exact"/>
              <w:jc w:val="right"/>
              <w:rPr>
                <w:rFonts w:ascii="宋体" w:hAnsi="宋体" w:hint="eastAsia"/>
                <w:sz w:val="28"/>
                <w:szCs w:val="28"/>
              </w:rPr>
            </w:pPr>
            <w:r>
              <w:rPr>
                <w:rFonts w:ascii="宋体" w:hAnsi="宋体" w:hint="eastAsia"/>
                <w:sz w:val="28"/>
                <w:szCs w:val="28"/>
              </w:rPr>
              <w:t>240.4</w:t>
            </w:r>
          </w:p>
        </w:tc>
        <w:tc>
          <w:tcPr>
            <w:tcW w:w="908" w:type="dxa"/>
          </w:tcPr>
          <w:p>
            <w:pPr>
              <w:pStyle w:val="Normal0"/>
              <w:spacing w:line="520" w:lineRule="exact"/>
              <w:jc w:val="right"/>
              <w:rPr>
                <w:rFonts w:ascii="宋体" w:hAnsi="宋体" w:hint="eastAsia"/>
                <w:sz w:val="28"/>
                <w:szCs w:val="28"/>
              </w:rPr>
            </w:pPr>
            <w:r>
              <w:rPr>
                <w:rFonts w:ascii="宋体" w:hAnsi="宋体" w:hint="eastAsia"/>
                <w:sz w:val="28"/>
                <w:szCs w:val="28"/>
              </w:rPr>
              <w:t>170.0</w:t>
            </w:r>
          </w:p>
        </w:tc>
        <w:tc>
          <w:tcPr>
            <w:tcW w:w="899" w:type="dxa"/>
          </w:tcPr>
          <w:p>
            <w:pPr>
              <w:pStyle w:val="Normal0"/>
              <w:spacing w:line="520" w:lineRule="exact"/>
              <w:jc w:val="right"/>
              <w:rPr>
                <w:rFonts w:ascii="宋体" w:hAnsi="宋体" w:hint="eastAsia"/>
                <w:sz w:val="28"/>
                <w:szCs w:val="28"/>
              </w:rPr>
            </w:pPr>
            <w:r>
              <w:rPr>
                <w:rFonts w:ascii="宋体" w:hAnsi="宋体" w:hint="eastAsia"/>
                <w:sz w:val="28"/>
                <w:szCs w:val="28"/>
              </w:rPr>
              <w:t>162.9</w:t>
            </w:r>
          </w:p>
        </w:tc>
        <w:tc>
          <w:tcPr>
            <w:tcW w:w="864" w:type="dxa"/>
          </w:tcPr>
          <w:p>
            <w:pPr>
              <w:pStyle w:val="Normal0"/>
              <w:spacing w:line="520" w:lineRule="exact"/>
              <w:jc w:val="right"/>
              <w:rPr>
                <w:rFonts w:ascii="宋体" w:hAnsi="宋体" w:hint="eastAsia"/>
                <w:sz w:val="28"/>
                <w:szCs w:val="28"/>
              </w:rPr>
            </w:pPr>
            <w:r>
              <w:rPr>
                <w:rFonts w:ascii="宋体" w:hAnsi="宋体" w:hint="eastAsia"/>
                <w:sz w:val="28"/>
                <w:szCs w:val="28"/>
              </w:rPr>
              <w:t>167.7</w:t>
            </w:r>
          </w:p>
        </w:tc>
        <w:tc>
          <w:tcPr>
            <w:tcW w:w="795" w:type="dxa"/>
          </w:tcPr>
          <w:p>
            <w:pPr>
              <w:pStyle w:val="Normal0"/>
              <w:spacing w:line="520" w:lineRule="exact"/>
              <w:jc w:val="right"/>
              <w:rPr>
                <w:rFonts w:ascii="宋体" w:hAnsi="宋体" w:hint="eastAsia"/>
                <w:sz w:val="28"/>
                <w:szCs w:val="28"/>
              </w:rPr>
            </w:pPr>
            <w:r>
              <w:rPr>
                <w:rFonts w:ascii="宋体" w:hAnsi="宋体" w:hint="eastAsia"/>
                <w:sz w:val="28"/>
                <w:szCs w:val="28"/>
              </w:rPr>
              <w:t>121.8</w:t>
            </w:r>
          </w:p>
        </w:tc>
        <w:tc>
          <w:tcPr>
            <w:tcW w:w="840" w:type="dxa"/>
          </w:tcPr>
          <w:p>
            <w:pPr>
              <w:pStyle w:val="Normal0"/>
              <w:spacing w:line="520" w:lineRule="exact"/>
              <w:jc w:val="right"/>
              <w:rPr>
                <w:rFonts w:ascii="宋体" w:hAnsi="宋体" w:hint="eastAsia"/>
                <w:sz w:val="28"/>
                <w:szCs w:val="28"/>
              </w:rPr>
            </w:pPr>
            <w:r>
              <w:rPr>
                <w:rFonts w:ascii="宋体" w:hAnsi="宋体" w:hint="eastAsia"/>
                <w:sz w:val="28"/>
                <w:szCs w:val="28"/>
              </w:rPr>
              <w:t>137.7</w:t>
            </w:r>
          </w:p>
        </w:tc>
        <w:tc>
          <w:tcPr>
            <w:tcW w:w="820" w:type="dxa"/>
          </w:tcPr>
          <w:p>
            <w:pPr>
              <w:pStyle w:val="Normal0"/>
              <w:spacing w:line="520" w:lineRule="exact"/>
              <w:jc w:val="right"/>
              <w:rPr>
                <w:rFonts w:ascii="宋体" w:hAnsi="宋体" w:hint="eastAsia"/>
                <w:sz w:val="28"/>
                <w:szCs w:val="28"/>
              </w:rPr>
            </w:pPr>
            <w:r>
              <w:rPr>
                <w:rFonts w:ascii="宋体" w:hAnsi="宋体" w:hint="eastAsia"/>
                <w:sz w:val="28"/>
                <w:szCs w:val="28"/>
              </w:rPr>
              <w:t>116.6</w:t>
            </w:r>
          </w:p>
        </w:tc>
      </w:tr>
      <w:tr>
        <w:tblPrEx>
          <w:tblW w:w="8889" w:type="dxa"/>
          <w:jc w:val="center"/>
          <w:tblLayout w:type="fixed"/>
          <w:tblCellMar>
            <w:top w:w="0" w:type="dxa"/>
            <w:left w:w="108" w:type="dxa"/>
            <w:bottom w:w="0" w:type="dxa"/>
            <w:right w:w="108" w:type="dxa"/>
          </w:tblCellMar>
        </w:tblPrEx>
        <w:trPr>
          <w:jc w:val="center"/>
        </w:trPr>
        <w:tc>
          <w:tcPr>
            <w:tcW w:w="1158" w:type="dxa"/>
          </w:tcPr>
          <w:p>
            <w:pPr>
              <w:pStyle w:val="Normal0"/>
              <w:spacing w:line="520" w:lineRule="exact"/>
              <w:rPr>
                <w:rFonts w:ascii="宋体" w:hAnsi="宋体" w:hint="eastAsia"/>
                <w:sz w:val="28"/>
                <w:szCs w:val="28"/>
              </w:rPr>
            </w:pPr>
            <w:r>
              <w:rPr>
                <w:rFonts w:ascii="宋体" w:hAnsi="宋体" w:hint="eastAsia"/>
                <w:sz w:val="28"/>
                <w:szCs w:val="28"/>
              </w:rPr>
              <w:t>占GDP比例</w:t>
            </w:r>
          </w:p>
        </w:tc>
        <w:tc>
          <w:tcPr>
            <w:tcW w:w="840" w:type="dxa"/>
          </w:tcPr>
          <w:p>
            <w:pPr>
              <w:pStyle w:val="Normal0"/>
              <w:spacing w:line="520" w:lineRule="exact"/>
              <w:jc w:val="right"/>
              <w:rPr>
                <w:rFonts w:ascii="宋体" w:hAnsi="宋体" w:hint="eastAsia"/>
                <w:sz w:val="28"/>
                <w:szCs w:val="28"/>
              </w:rPr>
            </w:pPr>
            <w:r>
              <w:rPr>
                <w:rFonts w:ascii="宋体" w:hAnsi="宋体" w:hint="eastAsia"/>
                <w:sz w:val="28"/>
                <w:szCs w:val="28"/>
              </w:rPr>
              <w:t>7.2%</w:t>
            </w:r>
          </w:p>
        </w:tc>
        <w:tc>
          <w:tcPr>
            <w:tcW w:w="813" w:type="dxa"/>
          </w:tcPr>
          <w:p>
            <w:pPr>
              <w:pStyle w:val="Normal0"/>
              <w:spacing w:line="520" w:lineRule="exact"/>
              <w:jc w:val="right"/>
              <w:rPr>
                <w:rFonts w:ascii="宋体" w:hAnsi="宋体" w:hint="eastAsia"/>
                <w:sz w:val="28"/>
                <w:szCs w:val="28"/>
              </w:rPr>
            </w:pPr>
            <w:r>
              <w:rPr>
                <w:rFonts w:ascii="宋体" w:hAnsi="宋体" w:hint="eastAsia"/>
                <w:sz w:val="28"/>
                <w:szCs w:val="28"/>
              </w:rPr>
              <w:t>5.6%</w:t>
            </w:r>
          </w:p>
        </w:tc>
        <w:tc>
          <w:tcPr>
            <w:tcW w:w="952" w:type="dxa"/>
          </w:tcPr>
          <w:p>
            <w:pPr>
              <w:pStyle w:val="Normal0"/>
              <w:spacing w:line="520" w:lineRule="exact"/>
              <w:jc w:val="right"/>
              <w:rPr>
                <w:rFonts w:ascii="宋体" w:hAnsi="宋体" w:hint="eastAsia"/>
                <w:sz w:val="28"/>
                <w:szCs w:val="28"/>
              </w:rPr>
            </w:pPr>
            <w:r>
              <w:rPr>
                <w:rFonts w:ascii="宋体" w:hAnsi="宋体" w:hint="eastAsia"/>
                <w:sz w:val="28"/>
                <w:szCs w:val="28"/>
              </w:rPr>
              <w:t>7.2%</w:t>
            </w:r>
          </w:p>
        </w:tc>
        <w:tc>
          <w:tcPr>
            <w:tcW w:w="908" w:type="dxa"/>
          </w:tcPr>
          <w:p>
            <w:pPr>
              <w:pStyle w:val="Normal0"/>
              <w:spacing w:line="520" w:lineRule="exact"/>
              <w:jc w:val="right"/>
              <w:rPr>
                <w:rFonts w:ascii="宋体" w:hAnsi="宋体" w:hint="eastAsia"/>
                <w:sz w:val="28"/>
                <w:szCs w:val="28"/>
              </w:rPr>
            </w:pPr>
            <w:r>
              <w:rPr>
                <w:rFonts w:ascii="宋体" w:hAnsi="宋体" w:hint="eastAsia"/>
                <w:sz w:val="28"/>
                <w:szCs w:val="28"/>
              </w:rPr>
              <w:t>5.9%</w:t>
            </w:r>
          </w:p>
        </w:tc>
        <w:tc>
          <w:tcPr>
            <w:tcW w:w="899" w:type="dxa"/>
          </w:tcPr>
          <w:p>
            <w:pPr>
              <w:pStyle w:val="Normal0"/>
              <w:spacing w:line="520" w:lineRule="exact"/>
              <w:jc w:val="right"/>
              <w:rPr>
                <w:rFonts w:ascii="宋体" w:hAnsi="宋体" w:hint="eastAsia"/>
                <w:sz w:val="28"/>
                <w:szCs w:val="28"/>
              </w:rPr>
            </w:pPr>
            <w:r>
              <w:rPr>
                <w:rFonts w:ascii="宋体" w:hAnsi="宋体" w:hint="eastAsia"/>
                <w:sz w:val="28"/>
                <w:szCs w:val="28"/>
              </w:rPr>
              <w:t>5.6%</w:t>
            </w:r>
          </w:p>
        </w:tc>
        <w:tc>
          <w:tcPr>
            <w:tcW w:w="864" w:type="dxa"/>
          </w:tcPr>
          <w:p>
            <w:pPr>
              <w:pStyle w:val="Normal0"/>
              <w:spacing w:line="520" w:lineRule="exact"/>
              <w:jc w:val="right"/>
              <w:rPr>
                <w:rFonts w:ascii="宋体" w:hAnsi="宋体" w:hint="eastAsia"/>
                <w:sz w:val="28"/>
                <w:szCs w:val="28"/>
              </w:rPr>
            </w:pPr>
            <w:r>
              <w:rPr>
                <w:rFonts w:ascii="宋体" w:hAnsi="宋体" w:hint="eastAsia"/>
                <w:sz w:val="28"/>
                <w:szCs w:val="28"/>
              </w:rPr>
              <w:t>8.5%</w:t>
            </w:r>
          </w:p>
        </w:tc>
        <w:tc>
          <w:tcPr>
            <w:tcW w:w="795" w:type="dxa"/>
          </w:tcPr>
          <w:p>
            <w:pPr>
              <w:pStyle w:val="Normal0"/>
              <w:spacing w:line="520" w:lineRule="exact"/>
              <w:jc w:val="right"/>
              <w:rPr>
                <w:rFonts w:ascii="宋体" w:hAnsi="宋体" w:hint="eastAsia"/>
                <w:sz w:val="28"/>
                <w:szCs w:val="28"/>
              </w:rPr>
            </w:pPr>
            <w:r>
              <w:rPr>
                <w:rFonts w:ascii="宋体" w:hAnsi="宋体" w:hint="eastAsia"/>
                <w:sz w:val="28"/>
                <w:szCs w:val="28"/>
              </w:rPr>
              <w:t>7.3%</w:t>
            </w:r>
          </w:p>
        </w:tc>
        <w:tc>
          <w:tcPr>
            <w:tcW w:w="840" w:type="dxa"/>
          </w:tcPr>
          <w:p>
            <w:pPr>
              <w:pStyle w:val="Normal0"/>
              <w:spacing w:line="520" w:lineRule="exact"/>
              <w:jc w:val="right"/>
              <w:rPr>
                <w:rFonts w:ascii="宋体" w:hAnsi="宋体" w:hint="eastAsia"/>
                <w:sz w:val="28"/>
                <w:szCs w:val="28"/>
              </w:rPr>
            </w:pPr>
            <w:r>
              <w:rPr>
                <w:rFonts w:ascii="宋体" w:hAnsi="宋体" w:hint="eastAsia"/>
                <w:sz w:val="28"/>
                <w:szCs w:val="28"/>
              </w:rPr>
              <w:t>9.1%</w:t>
            </w:r>
          </w:p>
        </w:tc>
        <w:tc>
          <w:tcPr>
            <w:tcW w:w="820" w:type="dxa"/>
          </w:tcPr>
          <w:p>
            <w:pPr>
              <w:pStyle w:val="Normal0"/>
              <w:spacing w:line="520" w:lineRule="exact"/>
              <w:jc w:val="right"/>
              <w:rPr>
                <w:rFonts w:ascii="宋体" w:hAnsi="宋体" w:hint="eastAsia"/>
                <w:sz w:val="28"/>
                <w:szCs w:val="28"/>
              </w:rPr>
            </w:pPr>
            <w:r>
              <w:rPr>
                <w:rFonts w:ascii="宋体" w:hAnsi="宋体" w:hint="eastAsia"/>
                <w:sz w:val="28"/>
                <w:szCs w:val="28"/>
              </w:rPr>
              <w:t>9.2%</w:t>
            </w:r>
          </w:p>
        </w:tc>
      </w:tr>
    </w:tbl>
    <w:p>
      <w:pPr>
        <w:pStyle w:val="Date"/>
        <w:spacing w:line="520" w:lineRule="exact"/>
        <w:rPr>
          <w:rFonts w:ascii="宋体" w:hAnsi="宋体" w:hint="eastAsia"/>
          <w:sz w:val="28"/>
          <w:szCs w:val="28"/>
        </w:rPr>
      </w:pPr>
      <w:r>
        <w:rPr>
          <w:rFonts w:ascii="宋体" w:hAnsi="宋体" w:hint="eastAsia"/>
          <w:sz w:val="28"/>
          <w:szCs w:val="28"/>
        </w:rPr>
        <w:t xml:space="preserve">      </w:t>
      </w:r>
    </w:p>
    <w:p>
      <w:pPr>
        <w:pStyle w:val="Normal0"/>
        <w:spacing w:line="520" w:lineRule="exact"/>
        <w:ind w:firstLine="560" w:firstLineChars="200"/>
        <w:rPr>
          <w:rFonts w:ascii="宋体" w:hAnsi="宋体" w:hint="eastAsia"/>
          <w:b/>
          <w:bCs/>
          <w:sz w:val="28"/>
          <w:szCs w:val="28"/>
        </w:rPr>
      </w:pPr>
      <w:bookmarkStart w:id="103" w:name="_Toc16816040"/>
      <w:r>
        <w:rPr>
          <w:rFonts w:ascii="宋体" w:hAnsi="宋体"/>
          <w:b/>
          <w:bCs/>
          <w:sz w:val="28"/>
          <w:szCs w:val="28"/>
        </w:rPr>
        <w:t>(2)</w:t>
      </w:r>
      <w:r>
        <w:rPr>
          <w:rFonts w:ascii="宋体" w:hAnsi="宋体" w:hint="eastAsia"/>
          <w:b/>
          <w:bCs/>
          <w:sz w:val="28"/>
          <w:szCs w:val="28"/>
        </w:rPr>
        <w:t>湖南省及长沙市（长株潭地区）物流市场总量分析</w:t>
      </w:r>
      <w:bookmarkEnd w:id="103"/>
    </w:p>
    <w:p>
      <w:pPr>
        <w:pStyle w:val="Normal0"/>
        <w:spacing w:line="520" w:lineRule="exact"/>
        <w:ind w:firstLine="560" w:firstLineChars="200"/>
        <w:rPr>
          <w:rFonts w:ascii="宋体" w:hAnsi="宋体" w:hint="eastAsia"/>
          <w:sz w:val="28"/>
          <w:szCs w:val="28"/>
        </w:rPr>
      </w:pPr>
      <w:r>
        <w:rPr>
          <w:rFonts w:ascii="宋体" w:hAnsi="宋体" w:hint="eastAsia"/>
          <w:sz w:val="28"/>
          <w:szCs w:val="28"/>
        </w:rPr>
        <w:t>据《湖南统计年鉴》，湖南省1999年的物流产值占GDP总值的</w:t>
      </w:r>
      <w:r>
        <w:rPr>
          <w:rFonts w:ascii="宋体" w:hAnsi="宋体"/>
          <w:sz w:val="28"/>
          <w:szCs w:val="28"/>
        </w:rPr>
        <w:t>7.2</w:t>
      </w:r>
      <w:r>
        <w:rPr>
          <w:rFonts w:ascii="宋体" w:hAnsi="宋体" w:hint="eastAsia"/>
          <w:sz w:val="28"/>
          <w:szCs w:val="28"/>
        </w:rPr>
        <w:t>％，为240</w:t>
      </w:r>
      <w:r>
        <w:rPr>
          <w:rFonts w:ascii="宋体" w:hAnsi="宋体"/>
          <w:sz w:val="28"/>
          <w:szCs w:val="28"/>
        </w:rPr>
        <w:t>. 4</w:t>
      </w:r>
      <w:r>
        <w:rPr>
          <w:rFonts w:ascii="宋体" w:hAnsi="宋体" w:hint="eastAsia"/>
          <w:sz w:val="28"/>
          <w:szCs w:val="28"/>
        </w:rPr>
        <w:t>亿元人民币。以此为湖南省物流市场总量的低值。参照我国物流费用占GDP总值的20％平均水平来计算，湖南省物流市场总量的高值是665</w:t>
      </w:r>
      <w:r>
        <w:rPr>
          <w:rFonts w:ascii="宋体" w:hAnsi="宋体"/>
          <w:sz w:val="28"/>
          <w:szCs w:val="28"/>
        </w:rPr>
        <w:t>.3</w:t>
      </w:r>
      <w:r>
        <w:rPr>
          <w:rFonts w:ascii="宋体" w:hAnsi="宋体" w:hint="eastAsia"/>
          <w:sz w:val="28"/>
          <w:szCs w:val="28"/>
        </w:rPr>
        <w:t>6亿元人民币。</w:t>
      </w:r>
    </w:p>
    <w:p>
      <w:pPr>
        <w:pStyle w:val="Normal0"/>
        <w:spacing w:line="520" w:lineRule="exact"/>
        <w:ind w:firstLine="560" w:firstLineChars="200"/>
        <w:rPr>
          <w:rFonts w:ascii="宋体" w:hAnsi="宋体" w:hint="eastAsia"/>
          <w:sz w:val="28"/>
          <w:szCs w:val="28"/>
        </w:rPr>
        <w:sectPr>
          <w:headerReference w:type="default" r:id="rId70"/>
          <w:footerReference w:type="even" r:id="rId71"/>
          <w:footerReference w:type="default" r:id="rId72"/>
          <w:type w:val="nextPage"/>
          <w:pgSz w:w="11906" w:h="16838"/>
          <w:pgMar w:top="1440" w:right="1474" w:bottom="1440" w:left="1758" w:header="851" w:footer="992" w:gutter="0"/>
          <w:pgNumType w:start="20"/>
          <w:cols w:num="1" w:space="425"/>
          <w:titlePg w:val="0"/>
          <w:docGrid w:type="linesAndChars" w:linePitch="312" w:charSpace="-3532"/>
        </w:sectPr>
      </w:pPr>
      <w:r>
        <w:rPr>
          <w:rFonts w:ascii="宋体" w:hAnsi="宋体" w:hint="eastAsia"/>
          <w:sz w:val="28"/>
          <w:szCs w:val="28"/>
        </w:rPr>
        <w:t>同样，从表4-3可以算出长沙市宏观物流产值占GDP总值的7</w:t>
      </w:r>
      <w:r>
        <w:rPr>
          <w:rFonts w:ascii="宋体" w:hAnsi="宋体"/>
          <w:sz w:val="28"/>
          <w:szCs w:val="28"/>
        </w:rPr>
        <w:t>.</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7％，为50</w:t>
      </w:r>
      <w:r>
        <w:rPr>
          <w:rFonts w:ascii="宋体" w:hAnsi="宋体"/>
          <w:sz w:val="28"/>
          <w:szCs w:val="28"/>
        </w:rPr>
        <w:t>.9</w:t>
      </w:r>
      <w:r>
        <w:rPr>
          <w:rFonts w:ascii="宋体" w:hAnsi="宋体" w:hint="eastAsia"/>
          <w:sz w:val="28"/>
          <w:szCs w:val="28"/>
        </w:rPr>
        <w:t>亿元人民币。若加上株洲、湘潭，则为</w:t>
      </w:r>
      <w:r>
        <w:rPr>
          <w:rFonts w:ascii="宋体" w:hAnsi="宋体"/>
          <w:sz w:val="28"/>
          <w:szCs w:val="28"/>
        </w:rPr>
        <w:t>95.0</w:t>
      </w:r>
      <w:r>
        <w:rPr>
          <w:rFonts w:ascii="宋体" w:hAnsi="宋体" w:hint="eastAsia"/>
          <w:sz w:val="28"/>
          <w:szCs w:val="28"/>
        </w:rPr>
        <w:t>亿元，占GDP总值为</w:t>
      </w:r>
      <w:r>
        <w:rPr>
          <w:rFonts w:ascii="宋体" w:hAnsi="宋体"/>
          <w:sz w:val="28"/>
          <w:szCs w:val="28"/>
        </w:rPr>
        <w:t>8.1</w:t>
      </w:r>
      <w:r>
        <w:rPr>
          <w:rFonts w:ascii="宋体" w:hAnsi="宋体" w:hint="eastAsia"/>
          <w:sz w:val="28"/>
          <w:szCs w:val="28"/>
        </w:rPr>
        <w:t>％。长沙市物流市场总量的高值为131</w:t>
      </w:r>
      <w:r>
        <w:rPr>
          <w:rFonts w:ascii="宋体" w:hAnsi="宋体"/>
          <w:sz w:val="28"/>
          <w:szCs w:val="28"/>
        </w:rPr>
        <w:t>.28</w:t>
      </w:r>
      <w:r>
        <w:rPr>
          <w:rFonts w:ascii="宋体" w:hAnsi="宋体" w:hint="eastAsia"/>
          <w:sz w:val="28"/>
          <w:szCs w:val="28"/>
        </w:rPr>
        <w:t>亿元，长株潭地区则为</w:t>
      </w:r>
      <w:r>
        <w:rPr>
          <w:rFonts w:ascii="宋体" w:hAnsi="宋体"/>
          <w:sz w:val="28"/>
          <w:szCs w:val="28"/>
        </w:rPr>
        <w:t>232.3</w:t>
      </w:r>
      <w:r>
        <w:rPr>
          <w:rFonts w:ascii="宋体" w:hAnsi="宋体" w:hint="eastAsia"/>
          <w:sz w:val="28"/>
          <w:szCs w:val="28"/>
        </w:rPr>
        <w:t xml:space="preserve">亿元。  </w:t>
      </w:r>
    </w:p>
    <w:p>
      <w:pPr>
        <w:pStyle w:val="Normal0"/>
        <w:spacing w:line="520" w:lineRule="exact"/>
        <w:jc w:val="center"/>
        <w:rPr>
          <w:rFonts w:ascii="宋体" w:hAnsi="宋体" w:hint="eastAsia"/>
          <w:b/>
          <w:bCs/>
          <w:sz w:val="28"/>
          <w:szCs w:val="28"/>
        </w:rPr>
      </w:pPr>
      <w:r>
        <w:rPr>
          <w:rFonts w:ascii="宋体" w:hAnsi="宋体" w:hint="eastAsia"/>
          <w:b/>
          <w:bCs/>
          <w:sz w:val="28"/>
          <w:szCs w:val="28"/>
        </w:rPr>
        <w:t>表4-3  2000年湖南省各地市、州国内生产总值及宏观物流业增加值</w:t>
      </w:r>
    </w:p>
    <w:p>
      <w:pPr>
        <w:pStyle w:val="Normal0"/>
        <w:spacing w:line="520" w:lineRule="exact"/>
        <w:jc w:val="center"/>
        <w:rPr>
          <w:rFonts w:ascii="宋体" w:hAnsi="宋体" w:hint="eastAsia"/>
          <w:sz w:val="28"/>
          <w:szCs w:val="28"/>
        </w:rPr>
      </w:pPr>
      <w:r>
        <w:rPr>
          <w:rFonts w:ascii="宋体" w:hAnsi="宋体" w:hint="eastAsia"/>
          <w:sz w:val="28"/>
          <w:szCs w:val="28"/>
        </w:rPr>
        <w:t xml:space="preserve">                                                                  单位：亿元</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24"/>
        <w:gridCol w:w="996"/>
        <w:gridCol w:w="984"/>
        <w:gridCol w:w="1008"/>
        <w:gridCol w:w="997"/>
        <w:gridCol w:w="996"/>
        <w:gridCol w:w="996"/>
        <w:gridCol w:w="99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724" w:type="dxa"/>
          </w:tcPr>
          <w:p>
            <w:pPr>
              <w:pStyle w:val="Normal0"/>
              <w:spacing w:line="520" w:lineRule="exact"/>
              <w:ind w:firstLine="105"/>
              <w:jc w:val="center"/>
              <w:rPr>
                <w:rFonts w:ascii="宋体" w:hAnsi="宋体"/>
                <w:b/>
                <w:bCs/>
                <w:sz w:val="28"/>
                <w:szCs w:val="28"/>
              </w:rPr>
            </w:pPr>
            <w:r>
              <w:rPr>
                <w:rFonts w:ascii="宋体" w:hAnsi="宋体" w:hint="eastAsia"/>
                <w:b/>
                <w:bCs/>
                <w:sz w:val="28"/>
                <w:szCs w:val="28"/>
              </w:rPr>
              <w:t>地州市</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长沙</w:t>
            </w:r>
          </w:p>
        </w:tc>
        <w:tc>
          <w:tcPr>
            <w:tcW w:w="984" w:type="dxa"/>
          </w:tcPr>
          <w:p>
            <w:pPr>
              <w:pStyle w:val="Normal0"/>
              <w:spacing w:line="520" w:lineRule="exact"/>
              <w:jc w:val="center"/>
              <w:rPr>
                <w:rFonts w:ascii="宋体" w:hAnsi="宋体" w:hint="eastAsia"/>
                <w:sz w:val="28"/>
                <w:szCs w:val="28"/>
              </w:rPr>
            </w:pPr>
            <w:r>
              <w:rPr>
                <w:rFonts w:ascii="宋体" w:hAnsi="宋体" w:hint="eastAsia"/>
                <w:sz w:val="28"/>
                <w:szCs w:val="28"/>
              </w:rPr>
              <w:t>株洲</w:t>
            </w:r>
          </w:p>
        </w:tc>
        <w:tc>
          <w:tcPr>
            <w:tcW w:w="1008" w:type="dxa"/>
          </w:tcPr>
          <w:p>
            <w:pPr>
              <w:pStyle w:val="Normal0"/>
              <w:spacing w:line="520" w:lineRule="exact"/>
              <w:jc w:val="center"/>
              <w:rPr>
                <w:rFonts w:ascii="宋体" w:hAnsi="宋体" w:hint="eastAsia"/>
                <w:sz w:val="28"/>
                <w:szCs w:val="28"/>
              </w:rPr>
            </w:pPr>
            <w:r>
              <w:rPr>
                <w:rFonts w:ascii="宋体" w:hAnsi="宋体" w:hint="eastAsia"/>
                <w:sz w:val="28"/>
                <w:szCs w:val="28"/>
              </w:rPr>
              <w:t>湘潭</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衡阳</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邵阳</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岳阳</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常德</w:t>
            </w:r>
          </w:p>
        </w:tc>
      </w:tr>
      <w:tr>
        <w:tblPrEx>
          <w:tblW w:w="0" w:type="auto"/>
          <w:jc w:val="center"/>
          <w:tblLayout w:type="fixed"/>
          <w:tblCellMar>
            <w:top w:w="0" w:type="dxa"/>
            <w:left w:w="108" w:type="dxa"/>
            <w:bottom w:w="0" w:type="dxa"/>
            <w:right w:w="108" w:type="dxa"/>
          </w:tblCellMar>
        </w:tblPrEx>
        <w:trPr>
          <w:jc w:val="center"/>
        </w:trPr>
        <w:tc>
          <w:tcPr>
            <w:tcW w:w="1724" w:type="dxa"/>
          </w:tcPr>
          <w:p>
            <w:pPr>
              <w:pStyle w:val="Normal0"/>
              <w:spacing w:line="520" w:lineRule="exact"/>
              <w:ind w:firstLine="105"/>
              <w:jc w:val="center"/>
              <w:rPr>
                <w:rFonts w:ascii="宋体" w:hAnsi="宋体" w:hint="eastAsia"/>
                <w:b/>
                <w:bCs/>
                <w:sz w:val="28"/>
                <w:szCs w:val="28"/>
              </w:rPr>
            </w:pPr>
            <w:r>
              <w:rPr>
                <w:rFonts w:ascii="宋体" w:hAnsi="宋体" w:hint="eastAsia"/>
                <w:b/>
                <w:bCs/>
                <w:sz w:val="28"/>
                <w:szCs w:val="28"/>
              </w:rPr>
              <w:t>GDP</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656.4</w:t>
            </w:r>
          </w:p>
        </w:tc>
        <w:tc>
          <w:tcPr>
            <w:tcW w:w="984" w:type="dxa"/>
          </w:tcPr>
          <w:p>
            <w:pPr>
              <w:pStyle w:val="Normal0"/>
              <w:spacing w:line="520" w:lineRule="exact"/>
              <w:jc w:val="center"/>
              <w:rPr>
                <w:rFonts w:ascii="宋体" w:hAnsi="宋体" w:hint="eastAsia"/>
                <w:sz w:val="28"/>
                <w:szCs w:val="28"/>
              </w:rPr>
            </w:pPr>
            <w:r>
              <w:rPr>
                <w:rFonts w:ascii="宋体" w:hAnsi="宋体" w:hint="eastAsia"/>
                <w:sz w:val="28"/>
                <w:szCs w:val="28"/>
              </w:rPr>
              <w:t>291.4</w:t>
            </w:r>
          </w:p>
        </w:tc>
        <w:tc>
          <w:tcPr>
            <w:tcW w:w="1008" w:type="dxa"/>
          </w:tcPr>
          <w:p>
            <w:pPr>
              <w:pStyle w:val="Normal0"/>
              <w:spacing w:line="520" w:lineRule="exact"/>
              <w:jc w:val="center"/>
              <w:rPr>
                <w:rFonts w:ascii="宋体" w:hAnsi="宋体" w:hint="eastAsia"/>
                <w:sz w:val="28"/>
                <w:szCs w:val="28"/>
              </w:rPr>
            </w:pPr>
            <w:r>
              <w:rPr>
                <w:rFonts w:ascii="宋体" w:hAnsi="宋体" w:hint="eastAsia"/>
                <w:sz w:val="28"/>
                <w:szCs w:val="28"/>
              </w:rPr>
              <w:t>213.7</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353.1</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225.3</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364.0</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348.3</w:t>
            </w:r>
          </w:p>
        </w:tc>
      </w:tr>
      <w:tr>
        <w:tblPrEx>
          <w:tblW w:w="0" w:type="auto"/>
          <w:jc w:val="center"/>
          <w:tblLayout w:type="fixed"/>
          <w:tblCellMar>
            <w:top w:w="0" w:type="dxa"/>
            <w:left w:w="108" w:type="dxa"/>
            <w:bottom w:w="0" w:type="dxa"/>
            <w:right w:w="108" w:type="dxa"/>
          </w:tblCellMar>
        </w:tblPrEx>
        <w:trPr>
          <w:jc w:val="center"/>
        </w:trPr>
        <w:tc>
          <w:tcPr>
            <w:tcW w:w="1724" w:type="dxa"/>
          </w:tcPr>
          <w:p>
            <w:pPr>
              <w:pStyle w:val="Normal0"/>
              <w:spacing w:line="520" w:lineRule="exact"/>
              <w:jc w:val="center"/>
              <w:rPr>
                <w:rFonts w:ascii="宋体" w:hAnsi="宋体" w:hint="eastAsia"/>
                <w:b/>
                <w:bCs/>
                <w:sz w:val="28"/>
                <w:szCs w:val="28"/>
              </w:rPr>
            </w:pPr>
            <w:r>
              <w:rPr>
                <w:rFonts w:ascii="宋体" w:hAnsi="宋体" w:hint="eastAsia"/>
                <w:b/>
                <w:bCs/>
                <w:sz w:val="28"/>
                <w:szCs w:val="28"/>
              </w:rPr>
              <w:t>宏观物流产值</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50.9</w:t>
            </w:r>
          </w:p>
        </w:tc>
        <w:tc>
          <w:tcPr>
            <w:tcW w:w="984" w:type="dxa"/>
          </w:tcPr>
          <w:p>
            <w:pPr>
              <w:pStyle w:val="Normal0"/>
              <w:spacing w:line="520" w:lineRule="exact"/>
              <w:jc w:val="center"/>
              <w:rPr>
                <w:rFonts w:ascii="宋体" w:hAnsi="宋体" w:hint="eastAsia"/>
                <w:sz w:val="28"/>
                <w:szCs w:val="28"/>
              </w:rPr>
            </w:pPr>
            <w:r>
              <w:rPr>
                <w:rFonts w:ascii="宋体" w:hAnsi="宋体" w:hint="eastAsia"/>
                <w:sz w:val="28"/>
                <w:szCs w:val="28"/>
              </w:rPr>
              <w:t>30.0</w:t>
            </w:r>
          </w:p>
        </w:tc>
        <w:tc>
          <w:tcPr>
            <w:tcW w:w="1008" w:type="dxa"/>
          </w:tcPr>
          <w:p>
            <w:pPr>
              <w:pStyle w:val="Normal0"/>
              <w:spacing w:line="520" w:lineRule="exact"/>
              <w:jc w:val="center"/>
              <w:rPr>
                <w:rFonts w:ascii="宋体" w:hAnsi="宋体" w:hint="eastAsia"/>
                <w:sz w:val="28"/>
                <w:szCs w:val="28"/>
              </w:rPr>
            </w:pPr>
            <w:r>
              <w:rPr>
                <w:rFonts w:ascii="宋体" w:hAnsi="宋体" w:hint="eastAsia"/>
                <w:sz w:val="28"/>
                <w:szCs w:val="28"/>
              </w:rPr>
              <w:t>14.1</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32.3</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10.0</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39.7</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13.2</w:t>
            </w:r>
          </w:p>
        </w:tc>
      </w:tr>
      <w:tr>
        <w:tblPrEx>
          <w:tblW w:w="0" w:type="auto"/>
          <w:jc w:val="center"/>
          <w:tblLayout w:type="fixed"/>
          <w:tblCellMar>
            <w:top w:w="0" w:type="dxa"/>
            <w:left w:w="108" w:type="dxa"/>
            <w:bottom w:w="0" w:type="dxa"/>
            <w:right w:w="108" w:type="dxa"/>
          </w:tblCellMar>
        </w:tblPrEx>
        <w:trPr>
          <w:jc w:val="center"/>
        </w:trPr>
        <w:tc>
          <w:tcPr>
            <w:tcW w:w="1724" w:type="dxa"/>
          </w:tcPr>
          <w:p>
            <w:pPr>
              <w:pStyle w:val="Normal0"/>
              <w:spacing w:line="520" w:lineRule="exact"/>
              <w:ind w:firstLine="105"/>
              <w:jc w:val="center"/>
              <w:rPr>
                <w:rFonts w:ascii="宋体" w:hAnsi="宋体" w:hint="eastAsia"/>
                <w:b/>
                <w:bCs/>
                <w:sz w:val="28"/>
                <w:szCs w:val="28"/>
              </w:rPr>
            </w:pPr>
            <w:r>
              <w:rPr>
                <w:rFonts w:ascii="宋体" w:hAnsi="宋体" w:hint="eastAsia"/>
                <w:b/>
                <w:bCs/>
                <w:sz w:val="28"/>
                <w:szCs w:val="28"/>
              </w:rPr>
              <w:t>地州市</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张家界</w:t>
            </w:r>
          </w:p>
        </w:tc>
        <w:tc>
          <w:tcPr>
            <w:tcW w:w="984" w:type="dxa"/>
          </w:tcPr>
          <w:p>
            <w:pPr>
              <w:pStyle w:val="Normal0"/>
              <w:spacing w:line="520" w:lineRule="exact"/>
              <w:jc w:val="center"/>
              <w:rPr>
                <w:rFonts w:ascii="宋体" w:hAnsi="宋体" w:hint="eastAsia"/>
                <w:sz w:val="28"/>
                <w:szCs w:val="28"/>
              </w:rPr>
            </w:pPr>
            <w:r>
              <w:rPr>
                <w:rFonts w:ascii="宋体" w:hAnsi="宋体" w:hint="eastAsia"/>
                <w:sz w:val="28"/>
                <w:szCs w:val="28"/>
              </w:rPr>
              <w:t>益阳</w:t>
            </w:r>
          </w:p>
        </w:tc>
        <w:tc>
          <w:tcPr>
            <w:tcW w:w="1008" w:type="dxa"/>
          </w:tcPr>
          <w:p>
            <w:pPr>
              <w:pStyle w:val="Normal0"/>
              <w:spacing w:line="520" w:lineRule="exact"/>
              <w:jc w:val="center"/>
              <w:rPr>
                <w:rFonts w:ascii="宋体" w:hAnsi="宋体" w:hint="eastAsia"/>
                <w:sz w:val="28"/>
                <w:szCs w:val="28"/>
              </w:rPr>
            </w:pPr>
            <w:r>
              <w:rPr>
                <w:rFonts w:ascii="宋体" w:hAnsi="宋体" w:hint="eastAsia"/>
                <w:sz w:val="28"/>
                <w:szCs w:val="28"/>
              </w:rPr>
              <w:t>郴州</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永州</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怀化</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娄底</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湘西</w:t>
            </w:r>
          </w:p>
        </w:tc>
      </w:tr>
      <w:tr>
        <w:tblPrEx>
          <w:tblW w:w="0" w:type="auto"/>
          <w:jc w:val="center"/>
          <w:tblLayout w:type="fixed"/>
          <w:tblCellMar>
            <w:top w:w="0" w:type="dxa"/>
            <w:left w:w="108" w:type="dxa"/>
            <w:bottom w:w="0" w:type="dxa"/>
            <w:right w:w="108" w:type="dxa"/>
          </w:tblCellMar>
        </w:tblPrEx>
        <w:trPr>
          <w:jc w:val="center"/>
        </w:trPr>
        <w:tc>
          <w:tcPr>
            <w:tcW w:w="1724" w:type="dxa"/>
          </w:tcPr>
          <w:p>
            <w:pPr>
              <w:pStyle w:val="Normal0"/>
              <w:spacing w:line="520" w:lineRule="exact"/>
              <w:ind w:firstLine="105"/>
              <w:jc w:val="center"/>
              <w:rPr>
                <w:rFonts w:ascii="宋体" w:hAnsi="宋体" w:hint="eastAsia"/>
                <w:b/>
                <w:bCs/>
                <w:sz w:val="28"/>
                <w:szCs w:val="28"/>
              </w:rPr>
            </w:pPr>
            <w:r>
              <w:rPr>
                <w:rFonts w:ascii="宋体" w:hAnsi="宋体" w:hint="eastAsia"/>
                <w:b/>
                <w:bCs/>
                <w:sz w:val="28"/>
                <w:szCs w:val="28"/>
              </w:rPr>
              <w:t>GDP</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60.4</w:t>
            </w:r>
          </w:p>
        </w:tc>
        <w:tc>
          <w:tcPr>
            <w:tcW w:w="984" w:type="dxa"/>
          </w:tcPr>
          <w:p>
            <w:pPr>
              <w:pStyle w:val="Normal0"/>
              <w:spacing w:line="520" w:lineRule="exact"/>
              <w:jc w:val="center"/>
              <w:rPr>
                <w:rFonts w:ascii="宋体" w:hAnsi="宋体" w:hint="eastAsia"/>
                <w:sz w:val="28"/>
                <w:szCs w:val="28"/>
              </w:rPr>
            </w:pPr>
            <w:r>
              <w:rPr>
                <w:rFonts w:ascii="宋体" w:hAnsi="宋体" w:hint="eastAsia"/>
                <w:sz w:val="28"/>
                <w:szCs w:val="28"/>
              </w:rPr>
              <w:t>193.6</w:t>
            </w:r>
          </w:p>
        </w:tc>
        <w:tc>
          <w:tcPr>
            <w:tcW w:w="1008" w:type="dxa"/>
          </w:tcPr>
          <w:p>
            <w:pPr>
              <w:pStyle w:val="Normal0"/>
              <w:spacing w:line="520" w:lineRule="exact"/>
              <w:jc w:val="center"/>
              <w:rPr>
                <w:rFonts w:ascii="宋体" w:hAnsi="宋体" w:hint="eastAsia"/>
                <w:sz w:val="28"/>
                <w:szCs w:val="28"/>
              </w:rPr>
            </w:pPr>
            <w:r>
              <w:rPr>
                <w:rFonts w:ascii="宋体" w:hAnsi="宋体" w:hint="eastAsia"/>
                <w:sz w:val="28"/>
                <w:szCs w:val="28"/>
              </w:rPr>
              <w:t>250.3</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244.4</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210.5</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168.5</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65.9</w:t>
            </w:r>
          </w:p>
        </w:tc>
      </w:tr>
      <w:tr>
        <w:tblPrEx>
          <w:tblW w:w="0" w:type="auto"/>
          <w:jc w:val="center"/>
          <w:tblLayout w:type="fixed"/>
          <w:tblCellMar>
            <w:top w:w="0" w:type="dxa"/>
            <w:left w:w="108" w:type="dxa"/>
            <w:bottom w:w="0" w:type="dxa"/>
            <w:right w:w="108" w:type="dxa"/>
          </w:tblCellMar>
        </w:tblPrEx>
        <w:trPr>
          <w:jc w:val="center"/>
        </w:trPr>
        <w:tc>
          <w:tcPr>
            <w:tcW w:w="1724" w:type="dxa"/>
          </w:tcPr>
          <w:p>
            <w:pPr>
              <w:pStyle w:val="Normal0"/>
              <w:spacing w:line="520" w:lineRule="exact"/>
              <w:jc w:val="center"/>
              <w:rPr>
                <w:rFonts w:ascii="宋体" w:hAnsi="宋体" w:hint="eastAsia"/>
                <w:b/>
                <w:bCs/>
                <w:sz w:val="28"/>
                <w:szCs w:val="28"/>
              </w:rPr>
            </w:pPr>
            <w:r>
              <w:rPr>
                <w:rFonts w:ascii="宋体" w:hAnsi="宋体" w:hint="eastAsia"/>
                <w:b/>
                <w:bCs/>
                <w:sz w:val="28"/>
                <w:szCs w:val="28"/>
              </w:rPr>
              <w:t>宏观物流产值</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8.3</w:t>
            </w:r>
          </w:p>
        </w:tc>
        <w:tc>
          <w:tcPr>
            <w:tcW w:w="984" w:type="dxa"/>
          </w:tcPr>
          <w:p>
            <w:pPr>
              <w:pStyle w:val="Normal0"/>
              <w:spacing w:line="520" w:lineRule="exact"/>
              <w:jc w:val="center"/>
              <w:rPr>
                <w:rFonts w:ascii="宋体" w:hAnsi="宋体" w:hint="eastAsia"/>
                <w:sz w:val="28"/>
                <w:szCs w:val="28"/>
              </w:rPr>
            </w:pPr>
            <w:r>
              <w:rPr>
                <w:rFonts w:ascii="宋体" w:hAnsi="宋体" w:hint="eastAsia"/>
                <w:sz w:val="28"/>
                <w:szCs w:val="28"/>
              </w:rPr>
              <w:t>23.3</w:t>
            </w:r>
          </w:p>
        </w:tc>
        <w:tc>
          <w:tcPr>
            <w:tcW w:w="1008" w:type="dxa"/>
          </w:tcPr>
          <w:p>
            <w:pPr>
              <w:pStyle w:val="Normal0"/>
              <w:spacing w:line="520" w:lineRule="exact"/>
              <w:jc w:val="center"/>
              <w:rPr>
                <w:rFonts w:ascii="宋体" w:hAnsi="宋体" w:hint="eastAsia"/>
                <w:sz w:val="28"/>
                <w:szCs w:val="28"/>
              </w:rPr>
            </w:pPr>
            <w:r>
              <w:rPr>
                <w:rFonts w:ascii="宋体" w:hAnsi="宋体" w:hint="eastAsia"/>
                <w:sz w:val="28"/>
                <w:szCs w:val="28"/>
              </w:rPr>
              <w:t>29.6</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21.4</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26.9</w:t>
            </w:r>
          </w:p>
        </w:tc>
        <w:tc>
          <w:tcPr>
            <w:tcW w:w="996" w:type="dxa"/>
          </w:tcPr>
          <w:p>
            <w:pPr>
              <w:pStyle w:val="Normal0"/>
              <w:spacing w:line="520" w:lineRule="exact"/>
              <w:jc w:val="center"/>
              <w:rPr>
                <w:rFonts w:ascii="宋体" w:hAnsi="宋体" w:hint="eastAsia"/>
                <w:sz w:val="28"/>
                <w:szCs w:val="28"/>
              </w:rPr>
            </w:pPr>
            <w:r>
              <w:rPr>
                <w:rFonts w:ascii="宋体" w:hAnsi="宋体" w:hint="eastAsia"/>
                <w:sz w:val="28"/>
                <w:szCs w:val="28"/>
              </w:rPr>
              <w:t>19.5</w:t>
            </w:r>
          </w:p>
        </w:tc>
        <w:tc>
          <w:tcPr>
            <w:tcW w:w="997" w:type="dxa"/>
          </w:tcPr>
          <w:p>
            <w:pPr>
              <w:pStyle w:val="Normal0"/>
              <w:spacing w:line="520" w:lineRule="exact"/>
              <w:jc w:val="center"/>
              <w:rPr>
                <w:rFonts w:ascii="宋体" w:hAnsi="宋体" w:hint="eastAsia"/>
                <w:sz w:val="28"/>
                <w:szCs w:val="28"/>
              </w:rPr>
            </w:pPr>
            <w:r>
              <w:rPr>
                <w:rFonts w:ascii="宋体" w:hAnsi="宋体" w:hint="eastAsia"/>
                <w:sz w:val="28"/>
                <w:szCs w:val="28"/>
              </w:rPr>
              <w:t>4.4</w:t>
            </w:r>
          </w:p>
        </w:tc>
      </w:tr>
    </w:tbl>
    <w:p>
      <w:pPr>
        <w:pStyle w:val="Normal0"/>
        <w:spacing w:line="520" w:lineRule="exact"/>
        <w:ind w:firstLine="560" w:firstLineChars="200"/>
        <w:rPr>
          <w:rFonts w:ascii="宋体" w:hAnsi="宋体" w:hint="eastAsia"/>
          <w:sz w:val="28"/>
          <w:szCs w:val="28"/>
        </w:rPr>
      </w:pPr>
      <w:r>
        <w:rPr>
          <w:rFonts w:ascii="宋体" w:hAnsi="宋体" w:hint="eastAsia"/>
          <w:sz w:val="28"/>
          <w:szCs w:val="28"/>
        </w:rPr>
        <w:t>由图4-4可以看出长沙市在全省物流发展中的地位与作用：</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 xml:space="preserve">长沙市宏观物流产值占全省宏观物流产值的18.3%，长株潭地区则占到全省的34.2%。 </w:t>
      </w:r>
    </w:p>
    <w:p>
      <w:pPr>
        <w:pStyle w:val="Normal0"/>
        <w:spacing w:line="520" w:lineRule="exact"/>
        <w:jc w:val="center"/>
        <w:rPr>
          <w:rFonts w:ascii="宋体" w:hAnsi="宋体" w:hint="eastAsia"/>
          <w:b/>
          <w:bCs/>
          <w:sz w:val="28"/>
          <w:szCs w:val="28"/>
        </w:rPr>
      </w:pPr>
      <w:r>
        <w:rPr>
          <w:rFonts w:ascii="宋体" w:hAnsi="宋体"/>
          <w:sz w:val="28"/>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7.2pt;height:271.8pt" o:ole="" coordsize="21600,21600" o:preferrelative="t" filled="f" fillcolor="white" stroked="f">
            <v:stroke joinstyle="miter"/>
            <v:imagedata r:id="rId73" o:title=""/>
            <o:lock v:ext="edit" aspectratio="t"/>
            <w10:anchorlock/>
          </v:shape>
          <o:OLEObject Type="Embed" ProgID="MSGraph.Chart.8" ShapeID="_x0000_i1025" DrawAspect="Content" ObjectID="_1468075725" r:id="rId74"/>
        </w:object>
      </w:r>
      <w:r>
        <w:rPr>
          <w:rFonts w:ascii="宋体" w:hAnsi="宋体" w:hint="eastAsia"/>
          <w:b/>
          <w:bCs/>
          <w:sz w:val="28"/>
          <w:szCs w:val="28"/>
        </w:rPr>
        <w:t>图4</w:t>
      </w:r>
      <w:r>
        <w:rPr>
          <w:rFonts w:ascii="宋体" w:hAnsi="宋体"/>
          <w:b/>
          <w:bCs/>
          <w:sz w:val="28"/>
          <w:szCs w:val="28"/>
        </w:rPr>
        <w:t>-</w:t>
      </w:r>
      <w:r>
        <w:rPr>
          <w:rFonts w:ascii="宋体" w:hAnsi="宋体" w:hint="eastAsia"/>
          <w:b/>
          <w:bCs/>
          <w:sz w:val="28"/>
          <w:szCs w:val="28"/>
        </w:rPr>
        <w:t>4  全省各地宏观物流产值分布情况</w:t>
      </w:r>
    </w:p>
    <w:p>
      <w:pPr>
        <w:pStyle w:val="Heading2"/>
        <w:spacing w:line="520" w:lineRule="exact"/>
        <w:rPr>
          <w:rFonts w:hint="eastAsia"/>
          <w:color w:val="auto"/>
          <w:sz w:val="28"/>
          <w:szCs w:val="28"/>
        </w:rPr>
      </w:pPr>
      <w:bookmarkStart w:id="104" w:name="_Toc45100434"/>
      <w:bookmarkStart w:id="105" w:name="_Toc20275465"/>
      <w:bookmarkStart w:id="106" w:name="_Toc45100570"/>
      <w:bookmarkStart w:id="107" w:name="_Toc20275640"/>
      <w:bookmarkStart w:id="108" w:name="_Toc45100309"/>
      <w:r>
        <w:rPr>
          <w:color w:val="auto"/>
          <w:sz w:val="28"/>
          <w:szCs w:val="28"/>
        </w:rPr>
        <w:t>2</w:t>
      </w:r>
      <w:r>
        <w:rPr>
          <w:rFonts w:hint="eastAsia"/>
          <w:color w:val="auto"/>
          <w:sz w:val="28"/>
          <w:szCs w:val="28"/>
        </w:rPr>
        <w:t>、市场预测</w:t>
      </w:r>
      <w:bookmarkEnd w:id="104"/>
      <w:bookmarkEnd w:id="105"/>
      <w:bookmarkEnd w:id="106"/>
      <w:bookmarkEnd w:id="107"/>
      <w:bookmarkEnd w:id="108"/>
    </w:p>
    <w:p>
      <w:pPr>
        <w:pStyle w:val="Heading3"/>
        <w:spacing w:before="0" w:after="0" w:line="520" w:lineRule="exact"/>
        <w:rPr>
          <w:rFonts w:ascii="宋体" w:eastAsia="宋体" w:hAnsi="宋体" w:hint="eastAsia"/>
          <w:szCs w:val="28"/>
        </w:rPr>
      </w:pPr>
      <w:bookmarkStart w:id="109" w:name="_Toc20275466"/>
      <w:r>
        <w:rPr>
          <w:rFonts w:ascii="宋体" w:eastAsia="宋体" w:hAnsi="宋体"/>
          <w:szCs w:val="28"/>
        </w:rPr>
        <w:t>2.1</w:t>
      </w:r>
      <w:r>
        <w:rPr>
          <w:rFonts w:ascii="宋体" w:eastAsia="宋体" w:hAnsi="宋体" w:hint="eastAsia"/>
          <w:szCs w:val="28"/>
        </w:rPr>
        <w:t>、总体预测</w:t>
      </w:r>
      <w:bookmarkEnd w:id="109"/>
    </w:p>
    <w:p>
      <w:pPr>
        <w:pStyle w:val="Normal0"/>
        <w:spacing w:line="520" w:lineRule="exact"/>
        <w:ind w:firstLine="560" w:firstLineChars="200"/>
        <w:rPr>
          <w:rFonts w:ascii="宋体" w:hAnsi="宋体" w:hint="eastAsia"/>
          <w:sz w:val="28"/>
          <w:szCs w:val="28"/>
        </w:rPr>
        <w:sectPr>
          <w:headerReference w:type="default" r:id="rId75"/>
          <w:footerReference w:type="even" r:id="rId76"/>
          <w:footerReference w:type="default" r:id="rId77"/>
          <w:type w:val="nextPage"/>
          <w:pgSz w:w="11906" w:h="16838"/>
          <w:pgMar w:top="1440" w:right="1474" w:bottom="1440" w:left="1758" w:header="851" w:footer="992" w:gutter="0"/>
          <w:pgNumType w:start="21"/>
          <w:cols w:num="1" w:space="425"/>
          <w:titlePg w:val="0"/>
          <w:docGrid w:type="linesAndChars" w:linePitch="312" w:charSpace="-3532"/>
        </w:sectPr>
      </w:pPr>
    </w:p>
    <w:p>
      <w:pPr>
        <w:pStyle w:val="Normal0"/>
        <w:spacing w:line="520" w:lineRule="exact"/>
        <w:ind w:firstLine="560" w:firstLineChars="200"/>
        <w:rPr>
          <w:rFonts w:ascii="宋体" w:hAnsi="宋体" w:hint="eastAsia"/>
          <w:sz w:val="28"/>
          <w:szCs w:val="28"/>
        </w:rPr>
      </w:pPr>
      <w:r>
        <w:rPr>
          <w:rFonts w:ascii="宋体" w:hAnsi="宋体" w:hint="eastAsia"/>
          <w:sz w:val="28"/>
          <w:szCs w:val="28"/>
        </w:rPr>
        <w:t>在国际上，现代物流产业被认为是国民经济发展的动脉和基础产业，其发展程度成为衡量一国现代化程度和综合国力的重要标志之一，被喻为经济发展的加速器。美国著名咨询公司麦肯锡公司对中国物流业进行调查后，认为“现代物流业将在未来中国的经济发展中起到关键作用”（麦肯锡</w:t>
      </w:r>
      <w:r>
        <w:rPr>
          <w:rFonts w:ascii="宋体" w:hAnsi="宋体" w:hint="eastAsia"/>
          <w:sz w:val="28"/>
          <w:szCs w:val="28"/>
        </w:rPr>
        <w:t xml:space="preserve"> 《中国物流市场白皮书》）。</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1999年美国的物流成本为9210亿美元，占GDP比重为9.9%（《2000年美国年度物流状况报告》）。而欧洲、日本等发达国家物流成本占GDP比重一般为10%左右。中国的物流成本占GDP的比重，据世界银行估计，占到18%。而实际情况，据国内权威专家分析，至少要占到20%以上。2000年我国GDP为8.9万亿人民币，按20%计算，物流成本已达到17800亿元人民币，可挖掘的“第三利润来源”的潜力很大。如果我国能够在今后若干年的时间里，建设一个社会化现代物流服务体系，从粗放物流经营向集约物流经营转变，将物流成本降到国际先进标准10%左右，将会产生巨大的经济效益。</w:t>
      </w:r>
    </w:p>
    <w:p>
      <w:pPr>
        <w:pStyle w:val="Normal0"/>
        <w:spacing w:line="520" w:lineRule="exact"/>
        <w:ind w:firstLine="510"/>
        <w:rPr>
          <w:rFonts w:ascii="宋体" w:hAnsi="宋体" w:hint="eastAsia"/>
          <w:sz w:val="28"/>
          <w:szCs w:val="28"/>
        </w:rPr>
        <w:sectPr>
          <w:headerReference w:type="default" r:id="rId78"/>
          <w:footerReference w:type="even" r:id="rId79"/>
          <w:footerReference w:type="default" r:id="rId80"/>
          <w:type w:val="nextPage"/>
          <w:pgSz w:w="11906" w:h="16838"/>
          <w:pgMar w:top="1440" w:right="1474" w:bottom="1440" w:left="1758" w:header="851" w:footer="992" w:gutter="0"/>
          <w:pgNumType w:start="22"/>
          <w:cols w:num="1" w:space="425"/>
          <w:titlePg w:val="0"/>
          <w:docGrid w:type="linesAndChars" w:linePitch="312" w:charSpace="-3532"/>
        </w:sectPr>
      </w:pPr>
      <w:r>
        <w:rPr>
          <w:rFonts w:ascii="宋体" w:hAnsi="宋体" w:hint="eastAsia"/>
          <w:sz w:val="28"/>
          <w:szCs w:val="28"/>
        </w:rPr>
        <w:t>总的来说，我国发展现代物流产业的市场空间巨大，近年来，我国很多省市政府开始认识到现代物流产业对于推动经济发展、改善投资环境、提高区域经济和工商企业在国内外市场竞争能力等方面的重要性。一些国内优势企业开始重视企业物流</w:t>
      </w:r>
      <w:r>
        <w:rPr>
          <w:rFonts w:ascii="宋体" w:hAnsi="宋体" w:hint="eastAsia"/>
          <w:sz w:val="28"/>
          <w:szCs w:val="28"/>
          <w:lang w:eastAsia="zh-CN"/>
        </w:rPr>
        <w:t>管理管控</w:t>
      </w:r>
      <w:r>
        <w:rPr>
          <w:rFonts w:ascii="宋体" w:hAnsi="宋体" w:hint="eastAsia"/>
          <w:sz w:val="28"/>
          <w:szCs w:val="28"/>
        </w:rPr>
        <w:t>，认识到物流是降低物质消耗、提高生产效率以外，能够使企业增加效益的“第三利润来源”。我国</w:t>
      </w:r>
      <w:r>
        <w:rPr>
          <w:rFonts w:ascii="宋体" w:hAnsi="宋体" w:hint="eastAsia"/>
          <w:sz w:val="28"/>
          <w:szCs w:val="28"/>
          <w:lang w:eastAsia="zh-CN"/>
        </w:rPr>
        <w:t>相关计划</w:t>
      </w:r>
    </w:p>
    <w:p>
      <w:pPr>
        <w:pStyle w:val="Normal0"/>
        <w:spacing w:line="520" w:lineRule="exact"/>
        <w:ind w:firstLine="510"/>
        <w:rPr>
          <w:rFonts w:ascii="宋体" w:hAnsi="宋体" w:hint="eastAsia"/>
          <w:sz w:val="28"/>
          <w:szCs w:val="28"/>
        </w:rPr>
      </w:pPr>
      <w:r>
        <w:rPr>
          <w:rFonts w:ascii="宋体" w:hAnsi="宋体" w:hint="eastAsia"/>
          <w:sz w:val="28"/>
          <w:szCs w:val="28"/>
        </w:rPr>
        <w:t>经济体制下形成的运输、仓储企业已经开始向第三方物流企业转变，同时对支持其物流活动的物流基础设施提出了更高的要求，物流园区建设将有利于第三方物流企业开展物流业务。国际上一些著名物流企业已经进入我国，开始积极开展物流服务。我国政府对WTO关于物流服务及相关业务的承诺，基本上是全面开放物流市场。国际物流企业进入我国的主要业务模式是充分利用现代物流基础设施，开展第三方或第四方物流服务。国际物流企业开展物流服务，对诸如物流园区等物流基础设施建设，提出了明确而具体的要求。可以说，我国现代物流产业的市场基础开始形成，市场主体开始显现。而就我国目前物流基础设施和装备的发展现状和总体规划而言，应该说是具备了一定的基础条件。但是，由于缺乏先进的物流基础设施对现有物流资源进行整合，现有物流基础设施及物流服务处于分散状态，没有形成一个有效的系统。因此，开发建设现代物流园区，是有效整合资源、发挥系统优势，为工商企业提供社会化现代物流服务的有效手段，其市场前景和发展潜力巨大。</w:t>
      </w:r>
    </w:p>
    <w:p>
      <w:pPr>
        <w:pStyle w:val="Heading3"/>
        <w:spacing w:before="0" w:after="0" w:line="520" w:lineRule="exact"/>
        <w:rPr>
          <w:rFonts w:ascii="宋体" w:eastAsia="宋体" w:hAnsi="宋体" w:hint="eastAsia"/>
          <w:szCs w:val="28"/>
        </w:rPr>
      </w:pPr>
      <w:bookmarkStart w:id="110" w:name="_Toc20275467"/>
      <w:r>
        <w:rPr>
          <w:rFonts w:ascii="宋体" w:eastAsia="宋体" w:hAnsi="宋体"/>
          <w:szCs w:val="28"/>
        </w:rPr>
        <w:t>2.2</w:t>
      </w:r>
      <w:r>
        <w:rPr>
          <w:rFonts w:ascii="宋体" w:eastAsia="宋体" w:hAnsi="宋体" w:hint="eastAsia"/>
          <w:szCs w:val="28"/>
        </w:rPr>
        <w:t>、湖南省及长沙市物流产业预测</w:t>
      </w:r>
      <w:bookmarkEnd w:id="110"/>
    </w:p>
    <w:p>
      <w:pPr>
        <w:pStyle w:val="Normal0"/>
        <w:spacing w:line="520" w:lineRule="exact"/>
        <w:ind w:firstLine="560" w:firstLineChars="200"/>
        <w:rPr>
          <w:rFonts w:ascii="宋体" w:hAnsi="宋体" w:hint="eastAsia"/>
          <w:sz w:val="28"/>
          <w:szCs w:val="28"/>
        </w:rPr>
      </w:pPr>
      <w:r>
        <w:rPr>
          <w:rFonts w:ascii="宋体" w:hAnsi="宋体" w:hint="eastAsia"/>
          <w:sz w:val="28"/>
          <w:szCs w:val="28"/>
        </w:rPr>
        <w:t>据统计，湖南省目前各类企业总数达到64万家以上，其中99%以上是中小企业，2000年湖南省货运量达到5.1亿吨，货物周转量967.4亿公里，交通运输、仓储、邮电生产总值240.4亿元,工商企业销售收入总额3747.6亿元,销售费用3001.4亿元。长沙市现有商品市场390个，商业网点13万个，从业人员58万人。</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根据湖南省及长沙市“十五”</w:t>
      </w:r>
      <w:r>
        <w:rPr>
          <w:rFonts w:ascii="宋体" w:hAnsi="宋体" w:hint="eastAsia"/>
          <w:sz w:val="28"/>
          <w:szCs w:val="28"/>
          <w:lang w:eastAsia="zh-CN"/>
        </w:rPr>
        <w:t>相关计划</w:t>
      </w:r>
      <w:r>
        <w:rPr>
          <w:rFonts w:ascii="宋体" w:hAnsi="宋体" w:hint="eastAsia"/>
          <w:sz w:val="28"/>
          <w:szCs w:val="28"/>
        </w:rPr>
        <w:t>国民经济发展目标、第三产业发展目标、商贸流通业发展目标、工业发展目标及企业改革与发展目标，到2005年，湖南省的货运量将达到8.21亿吨至10.26亿吨，五年年平均增长将达到10%至15%，货物周转量将达到1558亿公里至1945.85亿公里，其中长沙市的货运量和货物周转量将占主要地位。长沙市是我国中部地区的重要交通枢纽城市和物流结点城市，湖南省巨大的货运量和货物周转量为长沙市提供了巨大的物流市场，其中，蕴含着巨大的物流成本节约空间和巨大的物流增值服务空间。按照国际通行标准计算，到2005年，湖南省国内生产总值将达到5700亿元，物流成本占20%以上，以20%计算，成本节约空间将达到1140亿元。“十五”期间，湖南省工商企业的销售总额将达到6032.9至7539.29亿元，销售费用将达到4831.67至6038.11亿元。按物流成本占营销费用的30%计算，成本节约空间为1449.49至1811.43亿元。从建立起社会化现代物流服务体系即改进后的社会物流系统进行考虑，如果资金周转率从目前行业的年平均1.2次至1.5次提高到5至8次，6032.9至7539.29亿元的流动资金将相当于48263.2亿元至60314.32亿元流动资金所起的作用。</w:t>
      </w:r>
    </w:p>
    <w:p>
      <w:pPr>
        <w:pStyle w:val="Normal0"/>
        <w:spacing w:line="520" w:lineRule="exact"/>
        <w:ind w:firstLine="560" w:firstLineChars="200"/>
        <w:rPr>
          <w:rFonts w:ascii="宋体" w:hAnsi="宋体" w:hint="eastAsia"/>
          <w:sz w:val="28"/>
          <w:szCs w:val="28"/>
        </w:rPr>
        <w:sectPr>
          <w:headerReference w:type="default" r:id="rId81"/>
          <w:footerReference w:type="even" r:id="rId82"/>
          <w:footerReference w:type="default" r:id="rId83"/>
          <w:type w:val="nextPage"/>
          <w:pgSz w:w="11906" w:h="16838"/>
          <w:pgMar w:top="1440" w:right="1474" w:bottom="1440" w:left="1758" w:header="851" w:footer="992" w:gutter="0"/>
          <w:pgNumType w:start="23"/>
          <w:cols w:num="1" w:space="425"/>
          <w:titlePg w:val="0"/>
          <w:docGrid w:type="linesAndChars" w:linePitch="312" w:charSpace="-3532"/>
        </w:sectPr>
      </w:pPr>
    </w:p>
    <w:p>
      <w:pPr>
        <w:pStyle w:val="Normal0"/>
        <w:spacing w:line="520" w:lineRule="exact"/>
        <w:ind w:firstLine="560" w:firstLineChars="200"/>
        <w:rPr>
          <w:rFonts w:ascii="宋体" w:hAnsi="宋体" w:hint="eastAsia"/>
          <w:sz w:val="28"/>
          <w:szCs w:val="28"/>
        </w:rPr>
      </w:pPr>
      <w:r>
        <w:rPr>
          <w:rFonts w:ascii="宋体" w:hAnsi="宋体" w:hint="eastAsia"/>
          <w:sz w:val="28"/>
          <w:szCs w:val="28"/>
        </w:rPr>
        <w:t>根据发达国家物流费用占GDP总量的比例（可以认为比较准确反映物流产值）的变化情况，即从1980年大约15％降至2000年普遍达到10％左右的趋势，我国物流费用占GDP总值的比例从1999年的20％左右降至15％，约需20年左右时间（国内专家论断）。</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假设我国在今后5年经济发展取得长足进步，物流发展快速高效，物流费用达到占GDP总值15％的水平，湖南省及长沙市、长株潭地区物流市场发展空间可见表4-5所示。</w:t>
      </w:r>
    </w:p>
    <w:p>
      <w:pPr>
        <w:pStyle w:val="Normal0"/>
        <w:spacing w:line="520" w:lineRule="exact"/>
        <w:ind w:firstLine="1050"/>
        <w:rPr>
          <w:rFonts w:ascii="宋体" w:hAnsi="宋体" w:hint="eastAsia"/>
          <w:b/>
          <w:bCs/>
          <w:sz w:val="28"/>
          <w:szCs w:val="28"/>
        </w:rPr>
      </w:pPr>
      <w:r>
        <w:rPr>
          <w:rFonts w:ascii="宋体" w:hAnsi="宋体" w:hint="eastAsia"/>
          <w:b/>
          <w:bCs/>
          <w:sz w:val="28"/>
          <w:szCs w:val="28"/>
        </w:rPr>
        <w:t>表4-5  湖南省及长沙市、长株潭地区物流市场发展空间</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93"/>
        <w:gridCol w:w="1260"/>
        <w:gridCol w:w="1468"/>
        <w:gridCol w:w="1522"/>
        <w:gridCol w:w="1305"/>
        <w:gridCol w:w="151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60"/>
          <w:jc w:val="center"/>
        </w:trPr>
        <w:tc>
          <w:tcPr>
            <w:tcW w:w="1193" w:type="dxa"/>
            <w:vMerge w:val="restart"/>
            <w:vAlign w:val="center"/>
          </w:tcPr>
          <w:p>
            <w:pPr>
              <w:pStyle w:val="Normal0"/>
              <w:spacing w:line="520" w:lineRule="exact"/>
              <w:jc w:val="center"/>
              <w:rPr>
                <w:rFonts w:ascii="宋体" w:hAnsi="宋体" w:hint="eastAsia"/>
                <w:sz w:val="28"/>
                <w:szCs w:val="28"/>
              </w:rPr>
            </w:pPr>
          </w:p>
        </w:tc>
        <w:tc>
          <w:tcPr>
            <w:tcW w:w="2728" w:type="dxa"/>
            <w:gridSpan w:val="2"/>
            <w:vAlign w:val="center"/>
          </w:tcPr>
          <w:p>
            <w:pPr>
              <w:pStyle w:val="Normal0"/>
              <w:spacing w:line="520" w:lineRule="exact"/>
              <w:jc w:val="center"/>
              <w:rPr>
                <w:rFonts w:ascii="宋体" w:hAnsi="宋体" w:hint="eastAsia"/>
                <w:sz w:val="28"/>
                <w:szCs w:val="28"/>
              </w:rPr>
            </w:pPr>
            <w:r>
              <w:rPr>
                <w:rFonts w:ascii="宋体" w:hAnsi="宋体"/>
                <w:sz w:val="28"/>
                <w:szCs w:val="28"/>
              </w:rPr>
              <w:t>2000</w:t>
            </w:r>
            <w:r>
              <w:rPr>
                <w:rFonts w:ascii="宋体" w:hAnsi="宋体" w:hint="eastAsia"/>
                <w:sz w:val="28"/>
                <w:szCs w:val="28"/>
              </w:rPr>
              <w:t>年指标值</w:t>
            </w:r>
          </w:p>
        </w:tc>
        <w:tc>
          <w:tcPr>
            <w:tcW w:w="2827" w:type="dxa"/>
            <w:gridSpan w:val="2"/>
            <w:vAlign w:val="center"/>
          </w:tcPr>
          <w:p>
            <w:pPr>
              <w:pStyle w:val="Normal0"/>
              <w:spacing w:line="520" w:lineRule="exact"/>
              <w:jc w:val="center"/>
              <w:rPr>
                <w:rFonts w:ascii="宋体" w:hAnsi="宋体" w:hint="eastAsia"/>
                <w:sz w:val="28"/>
                <w:szCs w:val="28"/>
              </w:rPr>
            </w:pPr>
            <w:r>
              <w:rPr>
                <w:rFonts w:ascii="宋体" w:hAnsi="宋体" w:hint="eastAsia"/>
                <w:sz w:val="28"/>
                <w:szCs w:val="28"/>
              </w:rPr>
              <w:t>2005年预测值</w:t>
            </w:r>
          </w:p>
        </w:tc>
        <w:tc>
          <w:tcPr>
            <w:tcW w:w="1515" w:type="dxa"/>
            <w:vMerge w:val="restart"/>
            <w:vAlign w:val="center"/>
          </w:tcPr>
          <w:p>
            <w:pPr>
              <w:pStyle w:val="Normal0"/>
              <w:spacing w:line="520" w:lineRule="exact"/>
              <w:jc w:val="center"/>
              <w:rPr>
                <w:rFonts w:ascii="宋体" w:hAnsi="宋体" w:hint="eastAsia"/>
                <w:sz w:val="28"/>
                <w:szCs w:val="28"/>
              </w:rPr>
            </w:pPr>
            <w:r>
              <w:rPr>
                <w:rFonts w:ascii="宋体" w:hAnsi="宋体" w:hint="eastAsia"/>
                <w:sz w:val="28"/>
                <w:szCs w:val="28"/>
              </w:rPr>
              <w:t>5年内物流市场发展空间</w:t>
            </w:r>
          </w:p>
        </w:tc>
      </w:tr>
      <w:tr>
        <w:tblPrEx>
          <w:tblW w:w="0" w:type="auto"/>
          <w:jc w:val="center"/>
          <w:tblLayout w:type="fixed"/>
          <w:tblCellMar>
            <w:top w:w="0" w:type="dxa"/>
            <w:left w:w="108" w:type="dxa"/>
            <w:bottom w:w="0" w:type="dxa"/>
            <w:right w:w="108" w:type="dxa"/>
          </w:tblCellMar>
        </w:tblPrEx>
        <w:trPr>
          <w:cantSplit/>
          <w:trHeight w:val="585"/>
          <w:jc w:val="center"/>
        </w:trPr>
        <w:tc>
          <w:tcPr>
            <w:tcW w:w="1193" w:type="dxa"/>
            <w:vMerge/>
            <w:vAlign w:val="center"/>
          </w:tcPr>
          <w:p>
            <w:pPr>
              <w:pStyle w:val="Normal0"/>
              <w:spacing w:line="520" w:lineRule="exact"/>
              <w:jc w:val="center"/>
              <w:rPr>
                <w:rFonts w:ascii="宋体" w:hAnsi="宋体" w:hint="eastAsia"/>
                <w:sz w:val="28"/>
                <w:szCs w:val="28"/>
              </w:rPr>
            </w:pPr>
          </w:p>
        </w:tc>
        <w:tc>
          <w:tcPr>
            <w:tcW w:w="1260"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GDP总值</w:t>
            </w:r>
          </w:p>
        </w:tc>
        <w:tc>
          <w:tcPr>
            <w:tcW w:w="1468"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物流业产值（20％）</w:t>
            </w:r>
          </w:p>
        </w:tc>
        <w:tc>
          <w:tcPr>
            <w:tcW w:w="1522"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GDP总值</w:t>
            </w:r>
          </w:p>
        </w:tc>
        <w:tc>
          <w:tcPr>
            <w:tcW w:w="1305"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物流业产值（15％）</w:t>
            </w:r>
          </w:p>
        </w:tc>
        <w:tc>
          <w:tcPr>
            <w:tcW w:w="1515" w:type="dxa"/>
            <w:vMerge/>
            <w:vAlign w:val="center"/>
          </w:tcPr>
          <w:p>
            <w:pPr>
              <w:pStyle w:val="Normal0"/>
              <w:spacing w:line="520" w:lineRule="exact"/>
              <w:jc w:val="center"/>
              <w:rPr>
                <w:rFonts w:ascii="宋体" w:hAnsi="宋体" w:hint="eastAsia"/>
                <w:sz w:val="28"/>
                <w:szCs w:val="28"/>
              </w:rPr>
            </w:pPr>
          </w:p>
        </w:tc>
      </w:tr>
      <w:tr>
        <w:tblPrEx>
          <w:tblW w:w="0" w:type="auto"/>
          <w:jc w:val="center"/>
          <w:tblLayout w:type="fixed"/>
          <w:tblCellMar>
            <w:top w:w="0" w:type="dxa"/>
            <w:left w:w="108" w:type="dxa"/>
            <w:bottom w:w="0" w:type="dxa"/>
            <w:right w:w="108" w:type="dxa"/>
          </w:tblCellMar>
        </w:tblPrEx>
        <w:trPr>
          <w:trHeight w:val="615"/>
          <w:jc w:val="center"/>
        </w:trPr>
        <w:tc>
          <w:tcPr>
            <w:tcW w:w="1193"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湖南省</w:t>
            </w:r>
          </w:p>
        </w:tc>
        <w:tc>
          <w:tcPr>
            <w:tcW w:w="1260" w:type="dxa"/>
            <w:vAlign w:val="center"/>
          </w:tcPr>
          <w:p>
            <w:pPr>
              <w:pStyle w:val="Normal0"/>
              <w:spacing w:line="520" w:lineRule="exact"/>
              <w:jc w:val="center"/>
              <w:rPr>
                <w:rFonts w:ascii="宋体" w:hAnsi="宋体"/>
                <w:sz w:val="28"/>
                <w:szCs w:val="28"/>
              </w:rPr>
            </w:pPr>
            <w:r>
              <w:rPr>
                <w:rFonts w:ascii="宋体" w:hAnsi="宋体"/>
                <w:sz w:val="28"/>
                <w:szCs w:val="28"/>
              </w:rPr>
              <w:t>3691.88</w:t>
            </w:r>
          </w:p>
        </w:tc>
        <w:tc>
          <w:tcPr>
            <w:tcW w:w="1468" w:type="dxa"/>
            <w:vAlign w:val="center"/>
          </w:tcPr>
          <w:p>
            <w:pPr>
              <w:pStyle w:val="Normal0"/>
              <w:spacing w:line="520" w:lineRule="exact"/>
              <w:jc w:val="center"/>
              <w:rPr>
                <w:rFonts w:ascii="宋体" w:hAnsi="宋体"/>
                <w:sz w:val="28"/>
                <w:szCs w:val="28"/>
              </w:rPr>
            </w:pPr>
            <w:r>
              <w:rPr>
                <w:rFonts w:ascii="宋体" w:hAnsi="宋体"/>
                <w:sz w:val="28"/>
                <w:szCs w:val="28"/>
              </w:rPr>
              <w:t>738.2</w:t>
            </w:r>
          </w:p>
        </w:tc>
        <w:tc>
          <w:tcPr>
            <w:tcW w:w="1522" w:type="dxa"/>
            <w:vAlign w:val="center"/>
          </w:tcPr>
          <w:p>
            <w:pPr>
              <w:pStyle w:val="Normal0"/>
              <w:spacing w:line="520" w:lineRule="exact"/>
              <w:jc w:val="center"/>
              <w:rPr>
                <w:rFonts w:ascii="宋体" w:hAnsi="宋体"/>
                <w:sz w:val="28"/>
                <w:szCs w:val="28"/>
              </w:rPr>
            </w:pPr>
            <w:r>
              <w:rPr>
                <w:rFonts w:ascii="宋体" w:hAnsi="宋体"/>
                <w:sz w:val="28"/>
                <w:szCs w:val="28"/>
              </w:rPr>
              <w:t>5680.42</w:t>
            </w:r>
          </w:p>
          <w:p>
            <w:pPr>
              <w:pStyle w:val="Normal0"/>
              <w:spacing w:line="520" w:lineRule="exact"/>
              <w:jc w:val="center"/>
              <w:rPr>
                <w:rFonts w:ascii="宋体" w:hAnsi="宋体"/>
                <w:sz w:val="28"/>
                <w:szCs w:val="28"/>
              </w:rPr>
            </w:pPr>
            <w:r>
              <w:rPr>
                <w:rFonts w:ascii="宋体" w:hAnsi="宋体"/>
                <w:sz w:val="28"/>
                <w:szCs w:val="28"/>
              </w:rPr>
              <w:t>(</w:t>
            </w:r>
            <w:r>
              <w:rPr>
                <w:rFonts w:ascii="宋体" w:hAnsi="宋体" w:hint="eastAsia"/>
                <w:sz w:val="28"/>
                <w:szCs w:val="28"/>
              </w:rPr>
              <w:t>△</w:t>
            </w:r>
            <w:r>
              <w:rPr>
                <w:rFonts w:ascii="宋体" w:hAnsi="宋体"/>
                <w:sz w:val="28"/>
                <w:szCs w:val="28"/>
              </w:rPr>
              <w:t>=9.0%)</w:t>
            </w:r>
          </w:p>
        </w:tc>
        <w:tc>
          <w:tcPr>
            <w:tcW w:w="1305" w:type="dxa"/>
            <w:vAlign w:val="center"/>
          </w:tcPr>
          <w:p>
            <w:pPr>
              <w:pStyle w:val="Normal0"/>
              <w:spacing w:line="520" w:lineRule="exact"/>
              <w:jc w:val="center"/>
              <w:rPr>
                <w:rFonts w:ascii="宋体" w:hAnsi="宋体"/>
                <w:sz w:val="28"/>
                <w:szCs w:val="28"/>
              </w:rPr>
            </w:pPr>
            <w:r>
              <w:rPr>
                <w:rFonts w:ascii="宋体" w:hAnsi="宋体"/>
                <w:sz w:val="28"/>
                <w:szCs w:val="28"/>
              </w:rPr>
              <w:t>852.06</w:t>
            </w:r>
          </w:p>
        </w:tc>
        <w:tc>
          <w:tcPr>
            <w:tcW w:w="1515" w:type="dxa"/>
            <w:vAlign w:val="center"/>
          </w:tcPr>
          <w:p>
            <w:pPr>
              <w:pStyle w:val="Normal0"/>
              <w:spacing w:line="520" w:lineRule="exact"/>
              <w:jc w:val="center"/>
              <w:rPr>
                <w:rFonts w:ascii="宋体" w:hAnsi="宋体"/>
                <w:sz w:val="28"/>
                <w:szCs w:val="28"/>
              </w:rPr>
            </w:pPr>
            <w:r>
              <w:rPr>
                <w:rFonts w:ascii="宋体" w:hAnsi="宋体"/>
                <w:sz w:val="28"/>
                <w:szCs w:val="28"/>
              </w:rPr>
              <w:t>114.00</w:t>
            </w:r>
          </w:p>
        </w:tc>
      </w:tr>
      <w:tr>
        <w:tblPrEx>
          <w:tblW w:w="0" w:type="auto"/>
          <w:jc w:val="center"/>
          <w:tblLayout w:type="fixed"/>
          <w:tblCellMar>
            <w:top w:w="0" w:type="dxa"/>
            <w:left w:w="108" w:type="dxa"/>
            <w:bottom w:w="0" w:type="dxa"/>
            <w:right w:w="108" w:type="dxa"/>
          </w:tblCellMar>
        </w:tblPrEx>
        <w:trPr>
          <w:trHeight w:val="555"/>
          <w:jc w:val="center"/>
        </w:trPr>
        <w:tc>
          <w:tcPr>
            <w:tcW w:w="1193"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长沙市</w:t>
            </w:r>
          </w:p>
        </w:tc>
        <w:tc>
          <w:tcPr>
            <w:tcW w:w="1260" w:type="dxa"/>
            <w:vAlign w:val="center"/>
          </w:tcPr>
          <w:p>
            <w:pPr>
              <w:pStyle w:val="Normal0"/>
              <w:spacing w:line="520" w:lineRule="exact"/>
              <w:jc w:val="center"/>
              <w:rPr>
                <w:rFonts w:ascii="宋体" w:hAnsi="宋体"/>
                <w:sz w:val="28"/>
                <w:szCs w:val="28"/>
              </w:rPr>
            </w:pPr>
            <w:r>
              <w:rPr>
                <w:rFonts w:ascii="宋体" w:hAnsi="宋体"/>
                <w:sz w:val="28"/>
                <w:szCs w:val="28"/>
              </w:rPr>
              <w:t>656.4</w:t>
            </w:r>
          </w:p>
        </w:tc>
        <w:tc>
          <w:tcPr>
            <w:tcW w:w="1468" w:type="dxa"/>
            <w:vAlign w:val="center"/>
          </w:tcPr>
          <w:p>
            <w:pPr>
              <w:pStyle w:val="Normal0"/>
              <w:spacing w:line="520" w:lineRule="exact"/>
              <w:jc w:val="center"/>
              <w:rPr>
                <w:rFonts w:ascii="宋体" w:hAnsi="宋体"/>
                <w:sz w:val="28"/>
                <w:szCs w:val="28"/>
              </w:rPr>
            </w:pPr>
            <w:r>
              <w:rPr>
                <w:rFonts w:ascii="宋体" w:hAnsi="宋体"/>
                <w:sz w:val="28"/>
                <w:szCs w:val="28"/>
              </w:rPr>
              <w:t>131.28</w:t>
            </w:r>
          </w:p>
        </w:tc>
        <w:tc>
          <w:tcPr>
            <w:tcW w:w="1522" w:type="dxa"/>
            <w:vAlign w:val="center"/>
          </w:tcPr>
          <w:p>
            <w:pPr>
              <w:pStyle w:val="Normal0"/>
              <w:spacing w:line="520" w:lineRule="exact"/>
              <w:jc w:val="center"/>
              <w:rPr>
                <w:rFonts w:ascii="宋体" w:hAnsi="宋体"/>
                <w:sz w:val="28"/>
                <w:szCs w:val="28"/>
              </w:rPr>
            </w:pPr>
            <w:r>
              <w:rPr>
                <w:rFonts w:ascii="宋体" w:hAnsi="宋体"/>
                <w:sz w:val="28"/>
                <w:szCs w:val="28"/>
              </w:rPr>
              <w:t>1106.07</w:t>
            </w:r>
          </w:p>
          <w:p>
            <w:pPr>
              <w:pStyle w:val="Normal0"/>
              <w:spacing w:line="520" w:lineRule="exact"/>
              <w:rPr>
                <w:rFonts w:ascii="宋体" w:hAnsi="宋体"/>
                <w:sz w:val="28"/>
                <w:szCs w:val="28"/>
              </w:rPr>
            </w:pPr>
            <w:r>
              <w:rPr>
                <w:rFonts w:ascii="宋体" w:hAnsi="宋体"/>
                <w:sz w:val="28"/>
                <w:szCs w:val="28"/>
              </w:rPr>
              <w:t>(</w:t>
            </w:r>
            <w:r>
              <w:rPr>
                <w:rFonts w:ascii="宋体" w:hAnsi="宋体" w:hint="eastAsia"/>
                <w:sz w:val="28"/>
                <w:szCs w:val="28"/>
              </w:rPr>
              <w:t>△</w:t>
            </w:r>
            <w:r>
              <w:rPr>
                <w:rFonts w:ascii="宋体" w:hAnsi="宋体"/>
                <w:sz w:val="28"/>
                <w:szCs w:val="28"/>
              </w:rPr>
              <w:t>=11.1%)</w:t>
            </w:r>
          </w:p>
        </w:tc>
        <w:tc>
          <w:tcPr>
            <w:tcW w:w="1305" w:type="dxa"/>
            <w:vAlign w:val="center"/>
          </w:tcPr>
          <w:p>
            <w:pPr>
              <w:pStyle w:val="Normal0"/>
              <w:spacing w:line="520" w:lineRule="exact"/>
              <w:jc w:val="center"/>
              <w:rPr>
                <w:rFonts w:ascii="宋体" w:hAnsi="宋体"/>
                <w:sz w:val="28"/>
                <w:szCs w:val="28"/>
              </w:rPr>
            </w:pPr>
            <w:r>
              <w:rPr>
                <w:rFonts w:ascii="宋体" w:hAnsi="宋体"/>
                <w:sz w:val="28"/>
                <w:szCs w:val="28"/>
              </w:rPr>
              <w:t>165.91</w:t>
            </w:r>
          </w:p>
        </w:tc>
        <w:tc>
          <w:tcPr>
            <w:tcW w:w="1515" w:type="dxa"/>
            <w:vAlign w:val="center"/>
          </w:tcPr>
          <w:p>
            <w:pPr>
              <w:pStyle w:val="Normal0"/>
              <w:spacing w:line="520" w:lineRule="exact"/>
              <w:jc w:val="center"/>
              <w:rPr>
                <w:rFonts w:ascii="宋体" w:hAnsi="宋体"/>
                <w:sz w:val="28"/>
                <w:szCs w:val="28"/>
              </w:rPr>
            </w:pPr>
            <w:r>
              <w:rPr>
                <w:rFonts w:ascii="宋体" w:hAnsi="宋体"/>
                <w:sz w:val="28"/>
                <w:szCs w:val="28"/>
              </w:rPr>
              <w:t>34.63</w:t>
            </w:r>
          </w:p>
        </w:tc>
      </w:tr>
      <w:tr>
        <w:tblPrEx>
          <w:tblW w:w="0" w:type="auto"/>
          <w:jc w:val="center"/>
          <w:tblLayout w:type="fixed"/>
          <w:tblCellMar>
            <w:top w:w="0" w:type="dxa"/>
            <w:left w:w="108" w:type="dxa"/>
            <w:bottom w:w="0" w:type="dxa"/>
            <w:right w:w="108" w:type="dxa"/>
          </w:tblCellMar>
        </w:tblPrEx>
        <w:trPr>
          <w:trHeight w:val="720"/>
          <w:jc w:val="center"/>
        </w:trPr>
        <w:tc>
          <w:tcPr>
            <w:tcW w:w="1193" w:type="dxa"/>
            <w:vAlign w:val="center"/>
          </w:tcPr>
          <w:p>
            <w:pPr>
              <w:pStyle w:val="Normal0"/>
              <w:spacing w:line="520" w:lineRule="exact"/>
              <w:jc w:val="center"/>
              <w:rPr>
                <w:rFonts w:ascii="宋体" w:hAnsi="宋体" w:hint="eastAsia"/>
                <w:sz w:val="28"/>
                <w:szCs w:val="28"/>
              </w:rPr>
            </w:pPr>
            <w:r>
              <w:rPr>
                <w:rFonts w:ascii="宋体" w:hAnsi="宋体" w:hint="eastAsia"/>
                <w:sz w:val="28"/>
                <w:szCs w:val="28"/>
              </w:rPr>
              <w:t>长株潭 地区</w:t>
            </w:r>
          </w:p>
        </w:tc>
        <w:tc>
          <w:tcPr>
            <w:tcW w:w="1260" w:type="dxa"/>
            <w:vAlign w:val="center"/>
          </w:tcPr>
          <w:p>
            <w:pPr>
              <w:pStyle w:val="Normal0"/>
              <w:spacing w:line="520" w:lineRule="exact"/>
              <w:jc w:val="center"/>
              <w:rPr>
                <w:rFonts w:ascii="宋体" w:hAnsi="宋体"/>
                <w:sz w:val="28"/>
                <w:szCs w:val="28"/>
              </w:rPr>
            </w:pPr>
            <w:r>
              <w:rPr>
                <w:rFonts w:ascii="宋体" w:hAnsi="宋体"/>
                <w:sz w:val="28"/>
                <w:szCs w:val="28"/>
              </w:rPr>
              <w:t>1161.5</w:t>
            </w:r>
          </w:p>
        </w:tc>
        <w:tc>
          <w:tcPr>
            <w:tcW w:w="1468" w:type="dxa"/>
            <w:vAlign w:val="center"/>
          </w:tcPr>
          <w:p>
            <w:pPr>
              <w:pStyle w:val="Normal0"/>
              <w:spacing w:line="520" w:lineRule="exact"/>
              <w:jc w:val="center"/>
              <w:rPr>
                <w:rFonts w:ascii="宋体" w:hAnsi="宋体"/>
                <w:sz w:val="28"/>
                <w:szCs w:val="28"/>
              </w:rPr>
            </w:pPr>
            <w:r>
              <w:rPr>
                <w:rFonts w:ascii="宋体" w:hAnsi="宋体"/>
                <w:sz w:val="28"/>
                <w:szCs w:val="28"/>
              </w:rPr>
              <w:t>232.3</w:t>
            </w:r>
          </w:p>
        </w:tc>
        <w:tc>
          <w:tcPr>
            <w:tcW w:w="1522" w:type="dxa"/>
            <w:vAlign w:val="center"/>
          </w:tcPr>
          <w:p>
            <w:pPr>
              <w:pStyle w:val="Normal0"/>
              <w:spacing w:line="520" w:lineRule="exact"/>
              <w:jc w:val="center"/>
              <w:rPr>
                <w:rFonts w:ascii="宋体" w:hAnsi="宋体"/>
                <w:sz w:val="28"/>
                <w:szCs w:val="28"/>
              </w:rPr>
            </w:pPr>
            <w:r>
              <w:rPr>
                <w:rFonts w:ascii="宋体" w:hAnsi="宋体"/>
                <w:sz w:val="28"/>
                <w:szCs w:val="28"/>
              </w:rPr>
              <w:t>1870.61</w:t>
            </w:r>
          </w:p>
        </w:tc>
        <w:tc>
          <w:tcPr>
            <w:tcW w:w="1305" w:type="dxa"/>
            <w:vAlign w:val="center"/>
          </w:tcPr>
          <w:p>
            <w:pPr>
              <w:pStyle w:val="Normal0"/>
              <w:spacing w:line="520" w:lineRule="exact"/>
              <w:jc w:val="center"/>
              <w:rPr>
                <w:rFonts w:ascii="宋体" w:hAnsi="宋体"/>
                <w:sz w:val="28"/>
                <w:szCs w:val="28"/>
              </w:rPr>
            </w:pPr>
            <w:r>
              <w:rPr>
                <w:rFonts w:ascii="宋体" w:hAnsi="宋体"/>
                <w:sz w:val="28"/>
                <w:szCs w:val="28"/>
              </w:rPr>
              <w:t>280.59</w:t>
            </w:r>
          </w:p>
        </w:tc>
        <w:tc>
          <w:tcPr>
            <w:tcW w:w="1515" w:type="dxa"/>
            <w:vAlign w:val="center"/>
          </w:tcPr>
          <w:p>
            <w:pPr>
              <w:pStyle w:val="Normal0"/>
              <w:spacing w:line="520" w:lineRule="exact"/>
              <w:jc w:val="center"/>
              <w:rPr>
                <w:rFonts w:ascii="宋体" w:hAnsi="宋体"/>
                <w:sz w:val="28"/>
                <w:szCs w:val="28"/>
              </w:rPr>
            </w:pPr>
            <w:r>
              <w:rPr>
                <w:rFonts w:ascii="宋体" w:hAnsi="宋体"/>
                <w:sz w:val="28"/>
                <w:szCs w:val="28"/>
              </w:rPr>
              <w:t>48.29</w:t>
            </w:r>
          </w:p>
        </w:tc>
      </w:tr>
    </w:tbl>
    <w:p>
      <w:pPr>
        <w:pStyle w:val="Normal0"/>
        <w:spacing w:line="520" w:lineRule="exact"/>
        <w:ind w:firstLine="560" w:firstLineChars="200"/>
        <w:rPr>
          <w:rFonts w:ascii="宋体" w:hAnsi="宋体" w:hint="eastAsia"/>
          <w:sz w:val="28"/>
          <w:szCs w:val="28"/>
        </w:rPr>
      </w:pPr>
      <w:r>
        <w:rPr>
          <w:rFonts w:ascii="宋体" w:hAnsi="宋体" w:hint="eastAsia"/>
          <w:sz w:val="28"/>
          <w:szCs w:val="28"/>
        </w:rPr>
        <w:t>注：2005年GDP预测值，按2000年增长率稳定增长计算：湖南省取</w:t>
      </w:r>
      <w:r>
        <w:rPr>
          <w:rFonts w:ascii="宋体" w:hAnsi="宋体"/>
          <w:sz w:val="28"/>
          <w:szCs w:val="28"/>
        </w:rPr>
        <w:t>9.0%</w:t>
      </w:r>
      <w:r>
        <w:rPr>
          <w:rFonts w:ascii="宋体" w:hAnsi="宋体" w:hint="eastAsia"/>
          <w:sz w:val="28"/>
          <w:szCs w:val="28"/>
        </w:rPr>
        <w:t>，长沙市取</w:t>
      </w:r>
      <w:r>
        <w:rPr>
          <w:rFonts w:ascii="宋体" w:hAnsi="宋体"/>
          <w:sz w:val="28"/>
          <w:szCs w:val="28"/>
        </w:rPr>
        <w:t>11.1</w:t>
      </w:r>
      <w:r>
        <w:rPr>
          <w:rFonts w:ascii="宋体" w:hAnsi="宋体" w:hint="eastAsia"/>
          <w:sz w:val="28"/>
          <w:szCs w:val="28"/>
        </w:rPr>
        <w:t>％，长株潭地区取10％。物流市场发展空间的含义是指传统物流业向现代物流业发展创造出的物流产值与社会效益。</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 xml:space="preserve">2．3 </w:t>
      </w:r>
      <w:r>
        <w:rPr>
          <w:rFonts w:ascii="宋体" w:hAnsi="宋体" w:hint="eastAsia"/>
          <w:sz w:val="28"/>
          <w:szCs w:val="28"/>
          <w:lang w:eastAsia="zh-CN"/>
        </w:rPr>
        <w:t>相关项目</w:t>
      </w:r>
      <w:r>
        <w:rPr>
          <w:rFonts w:ascii="宋体" w:hAnsi="宋体" w:hint="eastAsia"/>
          <w:sz w:val="28"/>
          <w:szCs w:val="28"/>
        </w:rPr>
        <w:t>经营预测</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（一）</w:t>
      </w:r>
      <w:r>
        <w:rPr>
          <w:rFonts w:ascii="宋体" w:hAnsi="宋体" w:hint="eastAsia"/>
          <w:sz w:val="28"/>
          <w:szCs w:val="28"/>
          <w:lang w:eastAsia="zh-CN"/>
        </w:rPr>
        <w:t>相关项目</w:t>
      </w:r>
      <w:r>
        <w:rPr>
          <w:rFonts w:ascii="宋体" w:hAnsi="宋体" w:hint="eastAsia"/>
          <w:sz w:val="28"/>
          <w:szCs w:val="28"/>
        </w:rPr>
        <w:t>经营有利条件：</w:t>
      </w:r>
    </w:p>
    <w:p>
      <w:pPr>
        <w:pStyle w:val="Normal0"/>
        <w:spacing w:line="520" w:lineRule="exact"/>
        <w:ind w:firstLine="560" w:firstLineChars="200"/>
        <w:rPr>
          <w:rFonts w:ascii="宋体" w:hAnsi="宋体" w:hint="eastAsia"/>
          <w:sz w:val="28"/>
          <w:szCs w:val="28"/>
        </w:rPr>
        <w:sectPr>
          <w:headerReference w:type="default" r:id="rId84"/>
          <w:footerReference w:type="even" r:id="rId85"/>
          <w:footerReference w:type="default" r:id="rId86"/>
          <w:type w:val="nextPage"/>
          <w:pgSz w:w="11906" w:h="16838"/>
          <w:pgMar w:top="1440" w:right="1474" w:bottom="1440" w:left="1758" w:header="851" w:footer="992" w:gutter="0"/>
          <w:pgNumType w:start="24"/>
          <w:cols w:num="1" w:space="425"/>
          <w:titlePg w:val="0"/>
          <w:docGrid w:type="linesAndChars" w:linePitch="312" w:charSpace="-3532"/>
        </w:sectPr>
      </w:pPr>
      <w:r>
        <w:rPr>
          <w:rFonts w:ascii="宋体" w:hAnsi="宋体" w:hint="eastAsia"/>
          <w:sz w:val="28"/>
          <w:szCs w:val="28"/>
        </w:rPr>
        <w:t>（1）湖南XX国际物流园地理位置优越，是进出长沙市的门户，距长沙火车站、航运码头、黄花国际机场较近，铁路、公路、航空、水运交通都十分方便，人流、物流、信息流都比较集中快捷。因此，经营潜力大，极有发展前景。</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（2）长沙经济技术开发区大力支持，制定了各种优惠政策，为经营者创造良好宽松的经营环境。</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（3）湖南XX国际物流园定位好、起点高，配套设施齐全，</w:t>
      </w:r>
      <w:r>
        <w:rPr>
          <w:rFonts w:ascii="宋体" w:hAnsi="宋体" w:hint="eastAsia"/>
          <w:sz w:val="28"/>
          <w:szCs w:val="28"/>
          <w:lang w:eastAsia="zh-CN"/>
        </w:rPr>
        <w:t>管理管控</w:t>
      </w:r>
      <w:r>
        <w:rPr>
          <w:rFonts w:ascii="宋体" w:hAnsi="宋体" w:hint="eastAsia"/>
          <w:sz w:val="28"/>
          <w:szCs w:val="28"/>
        </w:rPr>
        <w:t>手段先进。可为客户提供全方位的物流服务。</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（二）租赁租赁预测</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湖南XX国际物流园有仓储14万平方米，2.8万平方米办公楼。</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随着长沙城市改造，原有物流设施纷纷拆除，长沙仓储需求面积在80万平方米左右。</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我公司已和招商局物流集团、大田物流集团等物流公司签订意向</w:t>
      </w:r>
      <w:r>
        <w:rPr>
          <w:rFonts w:ascii="宋体" w:hAnsi="宋体" w:hint="eastAsia"/>
          <w:sz w:val="28"/>
          <w:szCs w:val="28"/>
          <w:lang w:eastAsia="zh-CN"/>
        </w:rPr>
        <w:t>合同合约</w:t>
      </w:r>
      <w:r>
        <w:rPr>
          <w:rFonts w:ascii="宋体" w:hAnsi="宋体" w:hint="eastAsia"/>
          <w:sz w:val="28"/>
          <w:szCs w:val="28"/>
        </w:rPr>
        <w:t>书，意向租赁面积10万平方米左右。</w:t>
      </w:r>
    </w:p>
    <w:p>
      <w:pPr>
        <w:pStyle w:val="Normal0"/>
        <w:spacing w:line="520" w:lineRule="exact"/>
        <w:ind w:firstLine="560" w:firstLineChars="200"/>
        <w:rPr>
          <w:rFonts w:ascii="宋体" w:hAnsi="宋体" w:hint="eastAsia"/>
          <w:sz w:val="28"/>
          <w:szCs w:val="28"/>
        </w:rPr>
        <w:sectPr>
          <w:headerReference w:type="default" r:id="rId87"/>
          <w:footerReference w:type="even" r:id="rId88"/>
          <w:footerReference w:type="default" r:id="rId89"/>
          <w:type w:val="nextPage"/>
          <w:pgSz w:w="11906" w:h="16838"/>
          <w:pgMar w:top="1440" w:right="1474" w:bottom="1440" w:left="1758" w:header="851" w:footer="992" w:gutter="0"/>
          <w:pgNumType w:start="25"/>
          <w:cols w:num="1" w:space="425"/>
          <w:titlePg w:val="0"/>
          <w:docGrid w:type="linesAndChars" w:linePitch="312" w:charSpace="-3532"/>
        </w:sectPr>
      </w:pPr>
      <w:r>
        <w:rPr>
          <w:rFonts w:ascii="宋体" w:hAnsi="宋体" w:hint="eastAsia"/>
          <w:sz w:val="28"/>
          <w:szCs w:val="28"/>
        </w:rPr>
        <w:t>因此，</w:t>
      </w:r>
      <w:r>
        <w:rPr>
          <w:rFonts w:ascii="宋体" w:hAnsi="宋体" w:hint="eastAsia"/>
          <w:sz w:val="28"/>
          <w:szCs w:val="28"/>
          <w:lang w:eastAsia="zh-CN"/>
        </w:rPr>
        <w:t>相关项目</w:t>
      </w:r>
      <w:r>
        <w:rPr>
          <w:rFonts w:ascii="宋体" w:hAnsi="宋体" w:hint="eastAsia"/>
          <w:sz w:val="28"/>
          <w:szCs w:val="28"/>
        </w:rPr>
        <w:t>的租赁是有很大市场的。</w:t>
      </w:r>
    </w:p>
    <w:p>
      <w:pPr>
        <w:pStyle w:val="Heading1"/>
        <w:spacing w:before="0" w:after="0" w:line="520" w:lineRule="exact"/>
        <w:rPr>
          <w:rFonts w:ascii="宋体" w:eastAsia="宋体" w:hAnsi="宋体" w:hint="eastAsia"/>
          <w:sz w:val="28"/>
          <w:szCs w:val="28"/>
        </w:rPr>
      </w:pPr>
      <w:bookmarkStart w:id="111" w:name="_Toc45100310"/>
      <w:bookmarkStart w:id="112" w:name="_Toc45100571"/>
      <w:bookmarkStart w:id="113" w:name="_Toc45100435"/>
      <w:bookmarkStart w:id="114" w:name="_Toc20275641"/>
      <w:bookmarkStart w:id="115" w:name="_Toc19449465"/>
      <w:bookmarkStart w:id="116" w:name="_Toc20275468"/>
      <w:r>
        <w:rPr>
          <w:rFonts w:ascii="宋体" w:eastAsia="宋体" w:hAnsi="宋体" w:hint="eastAsia"/>
          <w:sz w:val="28"/>
          <w:szCs w:val="28"/>
        </w:rPr>
        <w:t xml:space="preserve">第五章 </w:t>
      </w:r>
      <w:r>
        <w:rPr>
          <w:rFonts w:ascii="宋体" w:eastAsia="宋体" w:hAnsi="宋体" w:hint="eastAsia"/>
          <w:sz w:val="28"/>
          <w:szCs w:val="28"/>
          <w:lang w:eastAsia="zh-CN"/>
        </w:rPr>
        <w:t>相关项目</w:t>
      </w:r>
      <w:r>
        <w:rPr>
          <w:rFonts w:ascii="宋体" w:eastAsia="宋体" w:hAnsi="宋体" w:hint="eastAsia"/>
          <w:sz w:val="28"/>
          <w:szCs w:val="28"/>
        </w:rPr>
        <w:t>选址及建设条件</w:t>
      </w:r>
      <w:bookmarkEnd w:id="111"/>
      <w:bookmarkEnd w:id="112"/>
      <w:bookmarkEnd w:id="113"/>
      <w:bookmarkEnd w:id="114"/>
      <w:bookmarkEnd w:id="115"/>
      <w:bookmarkEnd w:id="116"/>
    </w:p>
    <w:p>
      <w:pPr>
        <w:pStyle w:val="Heading2"/>
        <w:spacing w:line="520" w:lineRule="exact"/>
        <w:rPr>
          <w:rFonts w:hint="eastAsia"/>
          <w:color w:val="auto"/>
          <w:sz w:val="28"/>
          <w:szCs w:val="28"/>
        </w:rPr>
      </w:pPr>
      <w:bookmarkStart w:id="117" w:name="_Toc45100311"/>
      <w:bookmarkStart w:id="118" w:name="_Toc45100572"/>
      <w:bookmarkStart w:id="119" w:name="_Toc19449466"/>
      <w:bookmarkStart w:id="120" w:name="_Toc45100436"/>
      <w:bookmarkStart w:id="121" w:name="_Toc20275642"/>
      <w:bookmarkStart w:id="122" w:name="_Toc20275469"/>
      <w:r>
        <w:rPr>
          <w:rFonts w:hint="eastAsia"/>
          <w:color w:val="auto"/>
          <w:sz w:val="28"/>
          <w:szCs w:val="28"/>
        </w:rPr>
        <w:t>1、</w:t>
      </w:r>
      <w:r>
        <w:rPr>
          <w:rFonts w:hint="eastAsia"/>
          <w:color w:val="auto"/>
          <w:sz w:val="28"/>
          <w:szCs w:val="28"/>
          <w:lang w:eastAsia="zh-CN"/>
        </w:rPr>
        <w:t>相关项目</w:t>
      </w:r>
      <w:r>
        <w:rPr>
          <w:rFonts w:hint="eastAsia"/>
          <w:color w:val="auto"/>
          <w:sz w:val="28"/>
          <w:szCs w:val="28"/>
        </w:rPr>
        <w:t>选址</w:t>
      </w:r>
      <w:bookmarkEnd w:id="117"/>
      <w:bookmarkEnd w:id="118"/>
      <w:bookmarkEnd w:id="119"/>
      <w:bookmarkEnd w:id="120"/>
      <w:bookmarkEnd w:id="121"/>
      <w:bookmarkEnd w:id="122"/>
    </w:p>
    <w:p>
      <w:pPr>
        <w:pStyle w:val="Normal0"/>
        <w:spacing w:line="520" w:lineRule="exact"/>
        <w:ind w:firstLine="560" w:firstLineChars="200"/>
        <w:rPr>
          <w:rFonts w:ascii="宋体" w:hAnsi="宋体" w:hint="eastAsia"/>
          <w:sz w:val="28"/>
          <w:szCs w:val="28"/>
        </w:rPr>
      </w:pPr>
      <w:r>
        <w:rPr>
          <w:rFonts w:ascii="宋体" w:hAnsi="宋体" w:hint="eastAsia"/>
          <w:sz w:val="28"/>
          <w:szCs w:val="28"/>
        </w:rPr>
        <w:t>本</w:t>
      </w:r>
      <w:r>
        <w:rPr>
          <w:rFonts w:ascii="宋体" w:hAnsi="宋体" w:hint="eastAsia"/>
          <w:sz w:val="28"/>
          <w:szCs w:val="28"/>
          <w:lang w:eastAsia="zh-CN"/>
        </w:rPr>
        <w:t>相关项目</w:t>
      </w:r>
      <w:r>
        <w:rPr>
          <w:rFonts w:ascii="宋体" w:hAnsi="宋体" w:hint="eastAsia"/>
          <w:sz w:val="28"/>
          <w:szCs w:val="28"/>
        </w:rPr>
        <w:t>的选址充分考虑湖南省、长沙市物流发展现状以及湖南省推进工业化进程产生的物流需求、以及以长沙为中心的高科技产业发展带的物流需求进行。同时，</w:t>
      </w:r>
      <w:r>
        <w:rPr>
          <w:rFonts w:ascii="宋体" w:hAnsi="宋体" w:hint="eastAsia"/>
          <w:sz w:val="28"/>
          <w:szCs w:val="28"/>
          <w:lang w:eastAsia="zh-CN"/>
        </w:rPr>
        <w:t>相关项目</w:t>
      </w:r>
      <w:r>
        <w:rPr>
          <w:rFonts w:ascii="宋体" w:hAnsi="宋体" w:hint="eastAsia"/>
          <w:sz w:val="28"/>
          <w:szCs w:val="28"/>
        </w:rPr>
        <w:t>选址将充分考虑物流园区是公路货运枢纽和物流结点的特点，考虑园区作为国际物流园区的海关、结算、物流信息服务的重要汇集中心的要求，考虑本物流园以长沙高科技产业带为重点，通过京广铁路、319国道、京珠大动脉、长沙新港等物流通道逐步向长株潭地区、中南地区辐射的发展目标。</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经征询专家意见，本</w:t>
      </w:r>
      <w:r>
        <w:rPr>
          <w:rFonts w:ascii="宋体" w:hAnsi="宋体" w:hint="eastAsia"/>
          <w:sz w:val="28"/>
          <w:szCs w:val="28"/>
          <w:lang w:eastAsia="zh-CN"/>
        </w:rPr>
        <w:t>相关项目</w:t>
      </w:r>
      <w:r>
        <w:rPr>
          <w:rFonts w:ascii="宋体" w:hAnsi="宋体" w:hint="eastAsia"/>
          <w:sz w:val="28"/>
          <w:szCs w:val="28"/>
        </w:rPr>
        <w:t>拟选址在长沙市远离闹市区、运输条件较好、周围产业基础雄厚并且离现有的“XX物流中心”不远处的长沙技术经济开发区现代物流产业园，具体位置在319国道以南、黄兴大道以北、东四线以东、东八线以西的地区。</w:t>
      </w:r>
    </w:p>
    <w:p>
      <w:pPr>
        <w:pStyle w:val="Heading2"/>
        <w:spacing w:line="520" w:lineRule="exact"/>
        <w:rPr>
          <w:rFonts w:hint="eastAsia"/>
          <w:color w:val="auto"/>
          <w:sz w:val="28"/>
          <w:szCs w:val="28"/>
        </w:rPr>
      </w:pPr>
      <w:bookmarkStart w:id="123" w:name="_Toc20275470"/>
      <w:bookmarkStart w:id="124" w:name="_Toc20275643"/>
      <w:bookmarkStart w:id="125" w:name="_Toc45100312"/>
      <w:bookmarkStart w:id="126" w:name="_Toc45100573"/>
      <w:bookmarkStart w:id="127" w:name="_Toc45100437"/>
      <w:r>
        <w:rPr>
          <w:rFonts w:hint="eastAsia"/>
          <w:color w:val="auto"/>
          <w:sz w:val="28"/>
          <w:szCs w:val="28"/>
        </w:rPr>
        <w:t>2、基础条件</w:t>
      </w:r>
      <w:bookmarkEnd w:id="123"/>
      <w:bookmarkEnd w:id="124"/>
      <w:bookmarkEnd w:id="125"/>
      <w:bookmarkEnd w:id="126"/>
      <w:bookmarkEnd w:id="127"/>
    </w:p>
    <w:p>
      <w:pPr>
        <w:pStyle w:val="Heading3"/>
        <w:spacing w:before="0" w:after="0" w:line="520" w:lineRule="exact"/>
        <w:rPr>
          <w:rFonts w:ascii="宋体" w:eastAsia="宋体" w:hAnsi="宋体" w:hint="eastAsia"/>
          <w:szCs w:val="28"/>
        </w:rPr>
      </w:pPr>
      <w:bookmarkStart w:id="128" w:name="_Toc20275471"/>
      <w:r>
        <w:rPr>
          <w:rFonts w:ascii="宋体" w:eastAsia="宋体" w:hAnsi="宋体"/>
          <w:szCs w:val="28"/>
        </w:rPr>
        <w:t>2.</w:t>
      </w:r>
      <w:r>
        <w:rPr>
          <w:rFonts w:ascii="宋体" w:eastAsia="宋体" w:hAnsi="宋体" w:hint="eastAsia"/>
          <w:szCs w:val="28"/>
        </w:rPr>
        <w:t>1、长沙市地理位置及社会经济发展现状</w:t>
      </w:r>
      <w:bookmarkEnd w:id="128"/>
    </w:p>
    <w:p>
      <w:pPr>
        <w:pStyle w:val="Normal0"/>
        <w:spacing w:line="520" w:lineRule="exact"/>
        <w:ind w:firstLine="560" w:firstLineChars="200"/>
        <w:rPr>
          <w:rFonts w:ascii="宋体" w:hAnsi="宋体" w:hint="eastAsia"/>
          <w:sz w:val="28"/>
          <w:szCs w:val="28"/>
        </w:rPr>
      </w:pPr>
      <w:r>
        <w:rPr>
          <w:rFonts w:ascii="宋体" w:hAnsi="宋体" w:hint="eastAsia"/>
          <w:sz w:val="28"/>
          <w:szCs w:val="28"/>
        </w:rPr>
        <w:t>湖南省位于我国中部，京广铁路、湘赣铁路、湘黔铁路、京珠高速、319国道、107国道穿境而过，省会长沙为区内政治、经济、文化、科技中心和交通枢纽。长沙市在东、中、西部三大发展板块中处于连南接北、承东启西的战略要地，横贯东西的长江动脉、上海—长沙—重庆铁路和纵南通北的京广铁路、京珠高速公路双十字枢纽，构成了长沙作为现代化商贸和物流中心城市的必要条件，长株潭三市经济一体化战略的实施，使长株潭地区成为湖南省经济发展的增长极，长沙市的流通优势可以通过长株潭地区进一步辐射全省及相邻省份。</w:t>
      </w:r>
    </w:p>
    <w:p>
      <w:pPr>
        <w:pStyle w:val="Normal0"/>
        <w:spacing w:line="520" w:lineRule="exact"/>
        <w:ind w:firstLine="560" w:firstLineChars="200"/>
        <w:rPr>
          <w:rFonts w:ascii="宋体" w:hAnsi="宋体" w:hint="eastAsia"/>
          <w:sz w:val="28"/>
          <w:szCs w:val="28"/>
        </w:rPr>
      </w:pPr>
      <w:r>
        <w:rPr>
          <w:rFonts w:ascii="宋体" w:hAnsi="宋体" w:hint="eastAsia"/>
          <w:sz w:val="28"/>
          <w:szCs w:val="28"/>
        </w:rPr>
        <w:t>据〈长沙年鉴〉，2000年全市GDP达到</w:t>
      </w:r>
      <w:r>
        <w:rPr>
          <w:rFonts w:ascii="宋体" w:hAnsi="宋体" w:hint="eastAsia"/>
          <w:sz w:val="28"/>
          <w:szCs w:val="28"/>
        </w:rPr>
        <w:br/>
      </w:r>
      <w:r>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https://d.book118.com/907016161103006045</w:t>
        </w:r>
      </w:hyperlink>
    </w:p>
    <w:p>
      <w:pPr>
        <w:pStyle w:val="Normal0"/>
        <w:spacing w:line="520" w:lineRule="exact"/>
        <w:ind w:firstLine="560" w:firstLineChars="200"/>
        <w:rPr>
          <w:rFonts w:ascii="宋体" w:hAnsi="宋体" w:hint="eastAsia"/>
          <w:sz w:val="28"/>
          <w:szCs w:val="28"/>
        </w:rPr>
      </w:pPr>
    </w:p>
    <w:sectPr>
      <w:headerReference w:type="default" r:id="rId91"/>
      <w:footerReference w:type="even" r:id="rId92"/>
      <w:footerReference w:type="default" r:id="rId93"/>
      <w:type w:val="nextPage"/>
      <w:pgSz w:w="11906" w:h="16838"/>
      <w:pgMar w:top="1440" w:right="1474" w:bottom="1440" w:left="1758" w:header="851" w:footer="992" w:gutter="0"/>
      <w:pgNumType w:start="26"/>
      <w:cols w:num="1" w:space="425"/>
      <w:titlePg w:val="0"/>
      <w:docGrid w:type="linesAndChars" w:linePitch="312" w:charSpace="-35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MingLiU">
    <w:altName w:val="PMingLiU-ExtB"/>
    <w:panose1 w:val="02020309000000000000"/>
    <w:charset w:val="88"/>
    <w:family w:val="moder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37</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37</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8C78F6"/>
    <w:multiLevelType w:val="multilevel"/>
    <w:tmpl w:val="098C78F6"/>
    <w:lvl w:ilvl="0">
      <w:start w:val="1"/>
      <w:numFmt w:val="bullet"/>
      <w:lvlText w:val=""/>
      <w:lvlJc w:val="left"/>
      <w:pPr>
        <w:tabs>
          <w:tab w:val="left" w:pos="866"/>
        </w:tabs>
        <w:ind w:left="866" w:hanging="420"/>
      </w:pPr>
      <w:rPr>
        <w:rFonts w:ascii="Wingdings" w:hAnsi="Wingdings" w:hint="default"/>
      </w:rPr>
    </w:lvl>
    <w:lvl w:ilvl="1">
      <w:start w:val="1"/>
      <w:numFmt w:val="bullet"/>
      <w:lvlText w:val=""/>
      <w:lvlJc w:val="left"/>
      <w:pPr>
        <w:tabs>
          <w:tab w:val="left" w:pos="1286"/>
        </w:tabs>
        <w:ind w:left="1286" w:hanging="420"/>
      </w:pPr>
      <w:rPr>
        <w:rFonts w:ascii="Wingdings" w:hAnsi="Wingdings" w:hint="default"/>
      </w:rPr>
    </w:lvl>
    <w:lvl w:ilvl="2">
      <w:start w:val="1"/>
      <w:numFmt w:val="bullet"/>
      <w:lvlText w:val=""/>
      <w:lvlJc w:val="left"/>
      <w:pPr>
        <w:tabs>
          <w:tab w:val="left" w:pos="1706"/>
        </w:tabs>
        <w:ind w:left="1706" w:hanging="420"/>
      </w:pPr>
      <w:rPr>
        <w:rFonts w:ascii="Wingdings" w:hAnsi="Wingdings" w:hint="default"/>
      </w:rPr>
    </w:lvl>
    <w:lvl w:ilvl="3">
      <w:start w:val="1"/>
      <w:numFmt w:val="bullet"/>
      <w:lvlText w:val=""/>
      <w:lvlJc w:val="left"/>
      <w:pPr>
        <w:tabs>
          <w:tab w:val="left" w:pos="2126"/>
        </w:tabs>
        <w:ind w:left="2126" w:hanging="420"/>
      </w:pPr>
      <w:rPr>
        <w:rFonts w:ascii="Wingdings" w:hAnsi="Wingdings" w:hint="default"/>
      </w:rPr>
    </w:lvl>
    <w:lvl w:ilvl="4">
      <w:start w:val="1"/>
      <w:numFmt w:val="bullet"/>
      <w:lvlText w:val=""/>
      <w:lvlJc w:val="left"/>
      <w:pPr>
        <w:tabs>
          <w:tab w:val="left" w:pos="2546"/>
        </w:tabs>
        <w:ind w:left="2546" w:hanging="420"/>
      </w:pPr>
      <w:rPr>
        <w:rFonts w:ascii="Wingdings" w:hAnsi="Wingdings" w:hint="default"/>
      </w:rPr>
    </w:lvl>
    <w:lvl w:ilvl="5">
      <w:start w:val="1"/>
      <w:numFmt w:val="bullet"/>
      <w:lvlText w:val=""/>
      <w:lvlJc w:val="left"/>
      <w:pPr>
        <w:tabs>
          <w:tab w:val="left" w:pos="2966"/>
        </w:tabs>
        <w:ind w:left="2966" w:hanging="420"/>
      </w:pPr>
      <w:rPr>
        <w:rFonts w:ascii="Wingdings" w:hAnsi="Wingdings" w:hint="default"/>
      </w:rPr>
    </w:lvl>
    <w:lvl w:ilvl="6">
      <w:start w:val="1"/>
      <w:numFmt w:val="bullet"/>
      <w:lvlText w:val=""/>
      <w:lvlJc w:val="left"/>
      <w:pPr>
        <w:tabs>
          <w:tab w:val="left" w:pos="3386"/>
        </w:tabs>
        <w:ind w:left="3386" w:hanging="420"/>
      </w:pPr>
      <w:rPr>
        <w:rFonts w:ascii="Wingdings" w:hAnsi="Wingdings" w:hint="default"/>
      </w:rPr>
    </w:lvl>
    <w:lvl w:ilvl="7">
      <w:start w:val="1"/>
      <w:numFmt w:val="bullet"/>
      <w:lvlText w:val=""/>
      <w:lvlJc w:val="left"/>
      <w:pPr>
        <w:tabs>
          <w:tab w:val="left" w:pos="3806"/>
        </w:tabs>
        <w:ind w:left="3806" w:hanging="420"/>
      </w:pPr>
      <w:rPr>
        <w:rFonts w:ascii="Wingdings" w:hAnsi="Wingdings" w:hint="default"/>
      </w:rPr>
    </w:lvl>
    <w:lvl w:ilvl="8">
      <w:start w:val="1"/>
      <w:numFmt w:val="bullet"/>
      <w:lvlText w:val=""/>
      <w:lvlJc w:val="left"/>
      <w:pPr>
        <w:tabs>
          <w:tab w:val="left" w:pos="4226"/>
        </w:tabs>
        <w:ind w:left="4226" w:hanging="420"/>
      </w:pPr>
      <w:rPr>
        <w:rFonts w:ascii="Wingdings" w:hAnsi="Wingdings" w:hint="default"/>
      </w:rPr>
    </w:lvl>
  </w:abstractNum>
  <w:abstractNum w:abstractNumId="1">
    <w:nsid w:val="1BD61934"/>
    <w:multiLevelType w:val="multilevel"/>
    <w:tmpl w:val="1BD61934"/>
    <w:lvl w:ilvl="0">
      <w:start w:val="1"/>
      <w:numFmt w:val="decimal"/>
      <w:lvlText w:val="%1、"/>
      <w:lvlJc w:val="left"/>
      <w:pPr>
        <w:tabs>
          <w:tab w:val="left" w:pos="465"/>
        </w:tabs>
        <w:ind w:left="465" w:hanging="465"/>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1F4CD8BE"/>
    <w:multiLevelType w:val="multilevel"/>
    <w:tmpl w:val="66B579F1"/>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nsid w:val="36C90D9D"/>
    <w:multiLevelType w:val="multilevel"/>
    <w:tmpl w:val="36C90D9D"/>
    <w:lvl w:ilvl="0">
      <w:start w:val="1"/>
      <w:numFmt w:val="decimal"/>
      <w:lvlText w:val="（%1）"/>
      <w:lvlJc w:val="left"/>
      <w:pPr>
        <w:tabs>
          <w:tab w:val="left" w:pos="1466"/>
        </w:tabs>
        <w:ind w:left="1466" w:hanging="1020"/>
      </w:pPr>
      <w:rPr>
        <w:rFonts w:hint="eastAsia"/>
      </w:rPr>
    </w:lvl>
    <w:lvl w:ilvl="1">
      <w:start w:val="1"/>
      <w:numFmt w:val="lowerLetter"/>
      <w:lvlText w:val="%2)"/>
      <w:lvlJc w:val="left"/>
      <w:pPr>
        <w:tabs>
          <w:tab w:val="left" w:pos="1286"/>
        </w:tabs>
        <w:ind w:left="1286" w:hanging="420"/>
      </w:pPr>
    </w:lvl>
    <w:lvl w:ilvl="2">
      <w:start w:val="1"/>
      <w:numFmt w:val="lowerRoman"/>
      <w:lvlText w:val="%3."/>
      <w:lvlJc w:val="right"/>
      <w:pPr>
        <w:tabs>
          <w:tab w:val="left" w:pos="1706"/>
        </w:tabs>
        <w:ind w:left="1706" w:hanging="420"/>
      </w:pPr>
    </w:lvl>
    <w:lvl w:ilvl="3">
      <w:start w:val="1"/>
      <w:numFmt w:val="decimal"/>
      <w:lvlText w:val="%4."/>
      <w:lvlJc w:val="left"/>
      <w:pPr>
        <w:tabs>
          <w:tab w:val="left" w:pos="2126"/>
        </w:tabs>
        <w:ind w:left="2126" w:hanging="420"/>
      </w:pPr>
    </w:lvl>
    <w:lvl w:ilvl="4">
      <w:start w:val="1"/>
      <w:numFmt w:val="lowerLetter"/>
      <w:lvlText w:val="%5)"/>
      <w:lvlJc w:val="left"/>
      <w:pPr>
        <w:tabs>
          <w:tab w:val="left" w:pos="2546"/>
        </w:tabs>
        <w:ind w:left="2546" w:hanging="420"/>
      </w:pPr>
    </w:lvl>
    <w:lvl w:ilvl="5">
      <w:start w:val="1"/>
      <w:numFmt w:val="lowerRoman"/>
      <w:lvlText w:val="%6."/>
      <w:lvlJc w:val="right"/>
      <w:pPr>
        <w:tabs>
          <w:tab w:val="left" w:pos="2966"/>
        </w:tabs>
        <w:ind w:left="2966" w:hanging="420"/>
      </w:pPr>
    </w:lvl>
    <w:lvl w:ilvl="6">
      <w:start w:val="1"/>
      <w:numFmt w:val="decimal"/>
      <w:lvlText w:val="%7."/>
      <w:lvlJc w:val="left"/>
      <w:pPr>
        <w:tabs>
          <w:tab w:val="left" w:pos="3386"/>
        </w:tabs>
        <w:ind w:left="3386" w:hanging="420"/>
      </w:pPr>
    </w:lvl>
    <w:lvl w:ilvl="7">
      <w:start w:val="1"/>
      <w:numFmt w:val="lowerLetter"/>
      <w:lvlText w:val="%8)"/>
      <w:lvlJc w:val="left"/>
      <w:pPr>
        <w:tabs>
          <w:tab w:val="left" w:pos="3806"/>
        </w:tabs>
        <w:ind w:left="3806" w:hanging="420"/>
      </w:pPr>
    </w:lvl>
    <w:lvl w:ilvl="8">
      <w:start w:val="1"/>
      <w:numFmt w:val="lowerRoman"/>
      <w:lvlText w:val="%9."/>
      <w:lvlJc w:val="right"/>
      <w:pPr>
        <w:tabs>
          <w:tab w:val="left" w:pos="4226"/>
        </w:tabs>
        <w:ind w:left="4226" w:hanging="420"/>
      </w:pPr>
    </w:lvl>
  </w:abstractNum>
  <w:abstractNum w:abstractNumId="4">
    <w:nsid w:val="3A6B5E67"/>
    <w:multiLevelType w:val="multilevel"/>
    <w:tmpl w:val="3A6B5E67"/>
    <w:lvl w:ilvl="0">
      <w:start w:val="1"/>
      <w:numFmt w:val="decimal"/>
      <w:lvlText w:val="（%1）"/>
      <w:lvlJc w:val="left"/>
      <w:pPr>
        <w:tabs>
          <w:tab w:val="left" w:pos="971"/>
        </w:tabs>
        <w:ind w:left="971" w:hanging="525"/>
      </w:pPr>
      <w:rPr>
        <w:rFonts w:hint="eastAsia"/>
      </w:rPr>
    </w:lvl>
    <w:lvl w:ilvl="1">
      <w:start w:val="1"/>
      <w:numFmt w:val="lowerLetter"/>
      <w:lvlText w:val="%2)"/>
      <w:lvlJc w:val="left"/>
      <w:pPr>
        <w:tabs>
          <w:tab w:val="left" w:pos="1286"/>
        </w:tabs>
        <w:ind w:left="1286" w:hanging="420"/>
      </w:pPr>
    </w:lvl>
    <w:lvl w:ilvl="2">
      <w:start w:val="1"/>
      <w:numFmt w:val="lowerRoman"/>
      <w:lvlText w:val="%3."/>
      <w:lvlJc w:val="right"/>
      <w:pPr>
        <w:tabs>
          <w:tab w:val="left" w:pos="1706"/>
        </w:tabs>
        <w:ind w:left="1706" w:hanging="420"/>
      </w:pPr>
    </w:lvl>
    <w:lvl w:ilvl="3">
      <w:start w:val="1"/>
      <w:numFmt w:val="decimal"/>
      <w:lvlText w:val="%4."/>
      <w:lvlJc w:val="left"/>
      <w:pPr>
        <w:tabs>
          <w:tab w:val="left" w:pos="2126"/>
        </w:tabs>
        <w:ind w:left="2126" w:hanging="420"/>
      </w:pPr>
    </w:lvl>
    <w:lvl w:ilvl="4">
      <w:start w:val="1"/>
      <w:numFmt w:val="lowerLetter"/>
      <w:lvlText w:val="%5)"/>
      <w:lvlJc w:val="left"/>
      <w:pPr>
        <w:tabs>
          <w:tab w:val="left" w:pos="2546"/>
        </w:tabs>
        <w:ind w:left="2546" w:hanging="420"/>
      </w:pPr>
    </w:lvl>
    <w:lvl w:ilvl="5">
      <w:start w:val="1"/>
      <w:numFmt w:val="lowerRoman"/>
      <w:lvlText w:val="%6."/>
      <w:lvlJc w:val="right"/>
      <w:pPr>
        <w:tabs>
          <w:tab w:val="left" w:pos="2966"/>
        </w:tabs>
        <w:ind w:left="2966" w:hanging="420"/>
      </w:pPr>
    </w:lvl>
    <w:lvl w:ilvl="6">
      <w:start w:val="1"/>
      <w:numFmt w:val="decimal"/>
      <w:lvlText w:val="%7."/>
      <w:lvlJc w:val="left"/>
      <w:pPr>
        <w:tabs>
          <w:tab w:val="left" w:pos="3386"/>
        </w:tabs>
        <w:ind w:left="3386" w:hanging="420"/>
      </w:pPr>
    </w:lvl>
    <w:lvl w:ilvl="7">
      <w:start w:val="1"/>
      <w:numFmt w:val="lowerLetter"/>
      <w:lvlText w:val="%8)"/>
      <w:lvlJc w:val="left"/>
      <w:pPr>
        <w:tabs>
          <w:tab w:val="left" w:pos="3806"/>
        </w:tabs>
        <w:ind w:left="3806" w:hanging="420"/>
      </w:pPr>
    </w:lvl>
    <w:lvl w:ilvl="8">
      <w:start w:val="1"/>
      <w:numFmt w:val="lowerRoman"/>
      <w:lvlText w:val="%9."/>
      <w:lvlJc w:val="right"/>
      <w:pPr>
        <w:tabs>
          <w:tab w:val="left" w:pos="4226"/>
        </w:tabs>
        <w:ind w:left="4226" w:hanging="420"/>
      </w:pPr>
    </w:lvl>
  </w:abstractNum>
  <w:abstractNum w:abstractNumId="5">
    <w:nsid w:val="459C2DE1"/>
    <w:multiLevelType w:val="multilevel"/>
    <w:tmpl w:val="459C2DE1"/>
    <w:lvl w:ilvl="0">
      <w:start w:val="1"/>
      <w:numFmt w:val="decimal"/>
      <w:lvlText w:val="（%1）"/>
      <w:lvlJc w:val="left"/>
      <w:pPr>
        <w:tabs>
          <w:tab w:val="left" w:pos="525"/>
        </w:tabs>
        <w:ind w:left="525" w:hanging="525"/>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486460C7"/>
    <w:multiLevelType w:val="multilevel"/>
    <w:tmpl w:val="486460C7"/>
    <w:lvl w:ilvl="0">
      <w:start w:val="1"/>
      <w:numFmt w:val="bullet"/>
      <w:lvlText w:val=""/>
      <w:lvlJc w:val="left"/>
      <w:pPr>
        <w:tabs>
          <w:tab w:val="left" w:pos="844"/>
        </w:tabs>
        <w:ind w:left="844" w:hanging="420"/>
      </w:pPr>
      <w:rPr>
        <w:rFonts w:ascii="Wingdings" w:hAnsi="Wingdings" w:hint="default"/>
      </w:rPr>
    </w:lvl>
    <w:lvl w:ilvl="1">
      <w:start w:val="1"/>
      <w:numFmt w:val="bullet"/>
      <w:lvlText w:val=""/>
      <w:lvlJc w:val="left"/>
      <w:pPr>
        <w:tabs>
          <w:tab w:val="left" w:pos="1264"/>
        </w:tabs>
        <w:ind w:left="1264" w:hanging="420"/>
      </w:pPr>
      <w:rPr>
        <w:rFonts w:ascii="Wingdings" w:hAnsi="Wingdings" w:hint="default"/>
      </w:rPr>
    </w:lvl>
    <w:lvl w:ilvl="2">
      <w:start w:val="1"/>
      <w:numFmt w:val="bullet"/>
      <w:lvlText w:val=""/>
      <w:lvlJc w:val="left"/>
      <w:pPr>
        <w:tabs>
          <w:tab w:val="left" w:pos="1684"/>
        </w:tabs>
        <w:ind w:left="1684" w:hanging="420"/>
      </w:pPr>
      <w:rPr>
        <w:rFonts w:ascii="Wingdings" w:hAnsi="Wingdings" w:hint="default"/>
      </w:rPr>
    </w:lvl>
    <w:lvl w:ilvl="3">
      <w:start w:val="1"/>
      <w:numFmt w:val="bullet"/>
      <w:lvlText w:val=""/>
      <w:lvlJc w:val="left"/>
      <w:pPr>
        <w:tabs>
          <w:tab w:val="left" w:pos="2104"/>
        </w:tabs>
        <w:ind w:left="2104" w:hanging="420"/>
      </w:pPr>
      <w:rPr>
        <w:rFonts w:ascii="Wingdings" w:hAnsi="Wingdings" w:hint="default"/>
      </w:rPr>
    </w:lvl>
    <w:lvl w:ilvl="4">
      <w:start w:val="1"/>
      <w:numFmt w:val="bullet"/>
      <w:lvlText w:val=""/>
      <w:lvlJc w:val="left"/>
      <w:pPr>
        <w:tabs>
          <w:tab w:val="left" w:pos="2524"/>
        </w:tabs>
        <w:ind w:left="2524" w:hanging="420"/>
      </w:pPr>
      <w:rPr>
        <w:rFonts w:ascii="Wingdings" w:hAnsi="Wingdings" w:hint="default"/>
      </w:rPr>
    </w:lvl>
    <w:lvl w:ilvl="5">
      <w:start w:val="1"/>
      <w:numFmt w:val="bullet"/>
      <w:lvlText w:val=""/>
      <w:lvlJc w:val="left"/>
      <w:pPr>
        <w:tabs>
          <w:tab w:val="left" w:pos="2944"/>
        </w:tabs>
        <w:ind w:left="2944" w:hanging="420"/>
      </w:pPr>
      <w:rPr>
        <w:rFonts w:ascii="Wingdings" w:hAnsi="Wingdings" w:hint="default"/>
      </w:rPr>
    </w:lvl>
    <w:lvl w:ilvl="6">
      <w:start w:val="1"/>
      <w:numFmt w:val="bullet"/>
      <w:lvlText w:val=""/>
      <w:lvlJc w:val="left"/>
      <w:pPr>
        <w:tabs>
          <w:tab w:val="left" w:pos="3364"/>
        </w:tabs>
        <w:ind w:left="3364" w:hanging="420"/>
      </w:pPr>
      <w:rPr>
        <w:rFonts w:ascii="Wingdings" w:hAnsi="Wingdings" w:hint="default"/>
      </w:rPr>
    </w:lvl>
    <w:lvl w:ilvl="7">
      <w:start w:val="1"/>
      <w:numFmt w:val="bullet"/>
      <w:lvlText w:val=""/>
      <w:lvlJc w:val="left"/>
      <w:pPr>
        <w:tabs>
          <w:tab w:val="left" w:pos="3784"/>
        </w:tabs>
        <w:ind w:left="3784" w:hanging="420"/>
      </w:pPr>
      <w:rPr>
        <w:rFonts w:ascii="Wingdings" w:hAnsi="Wingdings" w:hint="default"/>
      </w:rPr>
    </w:lvl>
    <w:lvl w:ilvl="8">
      <w:start w:val="1"/>
      <w:numFmt w:val="bullet"/>
      <w:lvlText w:val=""/>
      <w:lvlJc w:val="left"/>
      <w:pPr>
        <w:tabs>
          <w:tab w:val="left" w:pos="4204"/>
        </w:tabs>
        <w:ind w:left="4204" w:hanging="420"/>
      </w:pPr>
      <w:rPr>
        <w:rFonts w:ascii="Wingdings" w:hAnsi="Wingdings" w:hint="default"/>
      </w:rPr>
    </w:lvl>
  </w:abstractNum>
  <w:abstractNum w:abstractNumId="7">
    <w:nsid w:val="4993525D"/>
    <w:multiLevelType w:val="multilevel"/>
    <w:tmpl w:val="4993525D"/>
    <w:lvl w:ilvl="0">
      <w:start w:val="1"/>
      <w:numFmt w:val="decimal"/>
      <w:lvlText w:val="（%1）"/>
      <w:lvlJc w:val="left"/>
      <w:pPr>
        <w:tabs>
          <w:tab w:val="left" w:pos="525"/>
        </w:tabs>
        <w:ind w:left="525" w:hanging="525"/>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50CD0893"/>
    <w:multiLevelType w:val="multilevel"/>
    <w:tmpl w:val="50CD0893"/>
    <w:lvl w:ilvl="0">
      <w:start w:val="1"/>
      <w:numFmt w:val="decimal"/>
      <w:lvlText w:val="（%1）"/>
      <w:lvlJc w:val="left"/>
      <w:pPr>
        <w:tabs>
          <w:tab w:val="left" w:pos="525"/>
        </w:tabs>
        <w:ind w:left="525" w:hanging="525"/>
      </w:pPr>
      <w:rPr>
        <w:rFonts w:hint="eastAsia"/>
      </w:rPr>
    </w:lvl>
    <w:lvl w:ilvl="1">
      <w:start w:val="1"/>
      <w:numFmt w:val="decimal"/>
      <w:lvlText w:val="（%2）"/>
      <w:lvlJc w:val="left"/>
      <w:pPr>
        <w:tabs>
          <w:tab w:val="left" w:pos="1440"/>
        </w:tabs>
        <w:ind w:left="1440" w:hanging="10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53AA68F0"/>
    <w:multiLevelType w:val="multilevel"/>
    <w:tmpl w:val="53AA68F0"/>
    <w:lvl w:ilvl="0">
      <w:start w:val="1"/>
      <w:numFmt w:val="decimal"/>
      <w:lvlText w:val="（%1）"/>
      <w:lvlJc w:val="left"/>
      <w:pPr>
        <w:tabs>
          <w:tab w:val="left" w:pos="525"/>
        </w:tabs>
        <w:ind w:left="525" w:hanging="525"/>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581C7EC1"/>
    <w:multiLevelType w:val="multilevel"/>
    <w:tmpl w:val="581C7EC1"/>
    <w:lvl w:ilvl="0">
      <w:start w:val="1"/>
      <w:numFmt w:val="decimal"/>
      <w:lvlText w:val="（%1）"/>
      <w:lvlJc w:val="left"/>
      <w:pPr>
        <w:tabs>
          <w:tab w:val="left" w:pos="971"/>
        </w:tabs>
        <w:ind w:left="971" w:hanging="525"/>
      </w:pPr>
      <w:rPr>
        <w:rFonts w:hint="eastAsia"/>
      </w:rPr>
    </w:lvl>
    <w:lvl w:ilvl="1">
      <w:start w:val="1"/>
      <w:numFmt w:val="decimalEnclosedCircle"/>
      <w:lvlText w:val="%2"/>
      <w:lvlJc w:val="left"/>
      <w:pPr>
        <w:tabs>
          <w:tab w:val="left" w:pos="1226"/>
        </w:tabs>
        <w:ind w:left="1226" w:hanging="360"/>
      </w:pPr>
      <w:rPr>
        <w:rFonts w:hint="eastAsia"/>
      </w:rPr>
    </w:lvl>
    <w:lvl w:ilvl="2">
      <w:start w:val="1"/>
      <w:numFmt w:val="lowerRoman"/>
      <w:lvlText w:val="%3."/>
      <w:lvlJc w:val="right"/>
      <w:pPr>
        <w:tabs>
          <w:tab w:val="left" w:pos="1706"/>
        </w:tabs>
        <w:ind w:left="1706" w:hanging="420"/>
      </w:pPr>
    </w:lvl>
    <w:lvl w:ilvl="3">
      <w:start w:val="1"/>
      <w:numFmt w:val="decimal"/>
      <w:lvlText w:val="%4."/>
      <w:lvlJc w:val="left"/>
      <w:pPr>
        <w:tabs>
          <w:tab w:val="left" w:pos="2126"/>
        </w:tabs>
        <w:ind w:left="2126" w:hanging="420"/>
      </w:pPr>
    </w:lvl>
    <w:lvl w:ilvl="4">
      <w:start w:val="1"/>
      <w:numFmt w:val="lowerLetter"/>
      <w:lvlText w:val="%5)"/>
      <w:lvlJc w:val="left"/>
      <w:pPr>
        <w:tabs>
          <w:tab w:val="left" w:pos="2546"/>
        </w:tabs>
        <w:ind w:left="2546" w:hanging="420"/>
      </w:pPr>
    </w:lvl>
    <w:lvl w:ilvl="5">
      <w:start w:val="1"/>
      <w:numFmt w:val="lowerRoman"/>
      <w:lvlText w:val="%6."/>
      <w:lvlJc w:val="right"/>
      <w:pPr>
        <w:tabs>
          <w:tab w:val="left" w:pos="2966"/>
        </w:tabs>
        <w:ind w:left="2966" w:hanging="420"/>
      </w:pPr>
    </w:lvl>
    <w:lvl w:ilvl="6">
      <w:start w:val="1"/>
      <w:numFmt w:val="decimal"/>
      <w:lvlText w:val="%7."/>
      <w:lvlJc w:val="left"/>
      <w:pPr>
        <w:tabs>
          <w:tab w:val="left" w:pos="3386"/>
        </w:tabs>
        <w:ind w:left="3386" w:hanging="420"/>
      </w:pPr>
    </w:lvl>
    <w:lvl w:ilvl="7">
      <w:start w:val="1"/>
      <w:numFmt w:val="lowerLetter"/>
      <w:lvlText w:val="%8)"/>
      <w:lvlJc w:val="left"/>
      <w:pPr>
        <w:tabs>
          <w:tab w:val="left" w:pos="3806"/>
        </w:tabs>
        <w:ind w:left="3806" w:hanging="420"/>
      </w:pPr>
    </w:lvl>
    <w:lvl w:ilvl="8">
      <w:start w:val="1"/>
      <w:numFmt w:val="lowerRoman"/>
      <w:lvlText w:val="%9."/>
      <w:lvlJc w:val="right"/>
      <w:pPr>
        <w:tabs>
          <w:tab w:val="left" w:pos="4226"/>
        </w:tabs>
        <w:ind w:left="4226" w:hanging="420"/>
      </w:pPr>
    </w:lvl>
  </w:abstractNum>
  <w:abstractNum w:abstractNumId="11">
    <w:nsid w:val="66B579F1"/>
    <w:multiLevelType w:val="multilevel"/>
    <w:tmpl w:val="66B579F1"/>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
    <w:nsid w:val="676562CC"/>
    <w:multiLevelType w:val="singleLevel"/>
    <w:tmpl w:val="676562CC"/>
    <w:lvl w:ilvl="0">
      <w:start w:val="1"/>
      <w:numFmt w:val="decimal"/>
      <w:lvlText w:val="（%1）"/>
      <w:lvlJc w:val="left"/>
      <w:pPr>
        <w:tabs>
          <w:tab w:val="left" w:pos="525"/>
        </w:tabs>
        <w:ind w:left="525" w:hanging="525"/>
      </w:pPr>
      <w:rPr>
        <w:rFonts w:hint="eastAsia"/>
      </w:rPr>
    </w:lvl>
  </w:abstractNum>
  <w:abstractNum w:abstractNumId="13">
    <w:nsid w:val="6E434C7B"/>
    <w:multiLevelType w:val="multilevel"/>
    <w:tmpl w:val="6E434C7B"/>
    <w:lvl w:ilvl="0">
      <w:start w:val="1"/>
      <w:numFmt w:val="decimal"/>
      <w:lvlText w:val="（%1）"/>
      <w:lvlJc w:val="left"/>
      <w:pPr>
        <w:tabs>
          <w:tab w:val="left" w:pos="525"/>
        </w:tabs>
        <w:ind w:left="525" w:hanging="525"/>
      </w:pPr>
      <w:rPr>
        <w:rFonts w:hint="eastAsia"/>
      </w:rPr>
    </w:lvl>
    <w:lvl w:ilvl="1">
      <w:start w:val="1"/>
      <w:numFmt w:val="decimalEnclosedCircle"/>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1"/>
  </w:num>
  <w:num w:numId="2">
    <w:abstractNumId w:val="8"/>
  </w:num>
  <w:num w:numId="3">
    <w:abstractNumId w:val="10"/>
  </w:num>
  <w:num w:numId="4">
    <w:abstractNumId w:val="4"/>
  </w:num>
  <w:num w:numId="5">
    <w:abstractNumId w:val="12"/>
  </w:num>
  <w:num w:numId="6">
    <w:abstractNumId w:val="9"/>
  </w:num>
  <w:num w:numId="7">
    <w:abstractNumId w:val="0"/>
  </w:num>
  <w:num w:numId="8">
    <w:abstractNumId w:val="13"/>
  </w:num>
  <w:num w:numId="9">
    <w:abstractNumId w:val="5"/>
  </w:num>
  <w:num w:numId="10">
    <w:abstractNumId w:val="6"/>
  </w:num>
  <w:num w:numId="11">
    <w:abstractNumId w:val="3"/>
  </w:num>
  <w:num w:numId="12">
    <w:abstractNumId w:val="7"/>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580E"/>
    <w:rsid w:val="000C2569"/>
    <w:rsid w:val="00252B25"/>
    <w:rsid w:val="007D1BB9"/>
    <w:rsid w:val="00C1729B"/>
    <w:rsid w:val="00C3480A"/>
    <w:rsid w:val="00D16826"/>
    <w:rsid w:val="00E73211"/>
    <w:rsid w:val="00EF34AA"/>
    <w:rsid w:val="00FC25C7"/>
    <w:rsid w:val="072D635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keepLines/>
      <w:snapToGrid w:val="0"/>
      <w:spacing w:before="240" w:after="240"/>
      <w:jc w:val="center"/>
      <w:outlineLvl w:val="0"/>
    </w:pPr>
    <w:rPr>
      <w:rFonts w:ascii="Times New Roman" w:eastAsia="黑体" w:hAnsi="Times New Roman"/>
      <w:b/>
      <w:kern w:val="44"/>
      <w:sz w:val="36"/>
      <w:szCs w:val="20"/>
    </w:rPr>
  </w:style>
  <w:style w:type="paragraph" w:styleId="Heading2">
    <w:name w:val="heading 2"/>
    <w:basedOn w:val="Normal"/>
    <w:next w:val="NormalIndent"/>
    <w:autoRedefine/>
    <w:qFormat/>
    <w:pPr>
      <w:keepNext/>
      <w:keepLines/>
      <w:snapToGrid w:val="0"/>
      <w:spacing w:line="360" w:lineRule="auto"/>
      <w:outlineLvl w:val="1"/>
    </w:pPr>
    <w:rPr>
      <w:rFonts w:ascii="宋体" w:hAnsi="宋体"/>
      <w:b/>
      <w:color w:val="FF0000"/>
      <w:sz w:val="30"/>
      <w:szCs w:val="20"/>
    </w:rPr>
  </w:style>
  <w:style w:type="paragraph" w:styleId="Heading3">
    <w:name w:val="heading 3"/>
    <w:basedOn w:val="Normal"/>
    <w:next w:val="NormalIndent"/>
    <w:qFormat/>
    <w:pPr>
      <w:keepNext/>
      <w:keepLines/>
      <w:snapToGrid w:val="0"/>
      <w:spacing w:before="240" w:after="120"/>
      <w:outlineLvl w:val="2"/>
    </w:pPr>
    <w:rPr>
      <w:rFonts w:ascii="黑体" w:eastAsia="黑体" w:hAnsi="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NormalIndent">
    <w:name w:val="Normal Indent"/>
    <w:basedOn w:val="Normal"/>
    <w:pPr>
      <w:ind w:firstLine="420"/>
    </w:pPr>
    <w:rPr>
      <w:rFonts w:ascii="Times New Roman" w:hAnsi="Times New Roman"/>
      <w:szCs w:val="20"/>
    </w:rPr>
  </w:style>
  <w:style w:type="paragraph" w:styleId="BodyText">
    <w:name w:val="Body Text"/>
    <w:basedOn w:val="Normal"/>
    <w:pPr>
      <w:jc w:val="center"/>
    </w:pPr>
    <w:rPr>
      <w:rFonts w:ascii="Times New Roman" w:eastAsia="隶书" w:hAnsi="Times New Roman"/>
      <w:sz w:val="48"/>
      <w:szCs w:val="20"/>
    </w:rPr>
  </w:style>
  <w:style w:type="paragraph" w:styleId="BodyTextIndent">
    <w:name w:val="Body Text Indent"/>
    <w:basedOn w:val="Normal"/>
    <w:pPr>
      <w:spacing w:line="360" w:lineRule="auto"/>
      <w:ind w:firstLine="539" w:firstLineChars="242"/>
    </w:pPr>
    <w:rPr>
      <w:rFonts w:ascii="宋体" w:hAnsi="宋体"/>
      <w:sz w:val="24"/>
      <w:szCs w:val="24"/>
    </w:rPr>
  </w:style>
  <w:style w:type="paragraph" w:styleId="Date">
    <w:name w:val="Date"/>
    <w:basedOn w:val="Normal"/>
    <w:next w:val="Normal0"/>
    <w:rPr>
      <w:rFonts w:ascii="Times New Roman" w:hAnsi="Times New Roman"/>
      <w:sz w:val="24"/>
      <w:szCs w:val="20"/>
    </w:rPr>
  </w:style>
  <w:style w:type="paragraph" w:styleId="BodyTextIndent2">
    <w:name w:val="Body Text Indent 2"/>
    <w:basedOn w:val="Normal"/>
    <w:pPr>
      <w:spacing w:line="360" w:lineRule="auto"/>
      <w:ind w:firstLine="600" w:firstLineChars="250"/>
    </w:pPr>
    <w:rPr>
      <w:rFonts w:ascii="宋体" w:hAnsi="宋体"/>
      <w:bCs/>
      <w:color w:val="000000"/>
      <w:sz w:val="24"/>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pPr>
      <w:tabs>
        <w:tab w:val="right" w:leader="dot" w:pos="8302"/>
      </w:tabs>
    </w:pPr>
    <w:rPr>
      <w:rFonts w:ascii="宋体" w:eastAsia="黑体" w:hAnsi="宋体"/>
      <w:sz w:val="28"/>
      <w:szCs w:val="36"/>
    </w:rPr>
  </w:style>
  <w:style w:type="paragraph" w:styleId="BodyTextIndent3">
    <w:name w:val="Body Text Indent 3"/>
    <w:basedOn w:val="Normal"/>
    <w:pPr>
      <w:spacing w:line="360" w:lineRule="auto"/>
      <w:ind w:firstLine="539"/>
    </w:pPr>
    <w:rPr>
      <w:rFonts w:ascii="宋体" w:hAnsi="宋体"/>
      <w:bCs/>
      <w:color w:val="000000"/>
      <w:sz w:val="24"/>
      <w:szCs w:val="20"/>
    </w:rPr>
  </w:style>
  <w:style w:type="paragraph" w:styleId="TOC2">
    <w:name w:val="toc 2"/>
    <w:basedOn w:val="Normal"/>
    <w:next w:val="Normal0"/>
    <w:autoRedefine/>
    <w:semiHidden/>
    <w:pPr>
      <w:ind w:left="420" w:leftChars="200"/>
    </w:pPr>
    <w:rPr>
      <w:rFonts w:ascii="Times New Roman" w:hAnsi="Times New Roman"/>
      <w:szCs w:val="24"/>
    </w:rPr>
  </w:style>
  <w:style w:type="paragraph" w:styleId="BodyText2">
    <w:name w:val="Body Text 2"/>
    <w:basedOn w:val="Normal"/>
    <w:rPr>
      <w:rFonts w:ascii="Times New Roman" w:hAnsi="Times New Roman"/>
      <w:sz w:val="24"/>
      <w:szCs w:val="20"/>
    </w:rPr>
  </w:style>
  <w:style w:type="paragraph" w:styleId="NormalWeb">
    <w:name w:val="Normal (Web)"/>
    <w:basedOn w:val="Normal"/>
    <w:pPr>
      <w:widowControl/>
      <w:spacing w:before="100" w:beforeAutospacing="1" w:after="100" w:afterAutospacing="1"/>
      <w:jc w:val="left"/>
    </w:pPr>
    <w:rPr>
      <w:rFonts w:ascii="Arial Unicode MS" w:eastAsia="Arial Unicode MS" w:hAnsi="Arial Unicode MS" w:cs="Arial Unicode MS"/>
      <w:kern w:val="0"/>
      <w:sz w:val="24"/>
      <w:szCs w:val="24"/>
    </w:rPr>
  </w:style>
  <w:style w:type="character" w:styleId="PageNumber">
    <w:name w:val="page number"/>
    <w:basedOn w:val="DefaultParagraphFont"/>
  </w:style>
  <w:style w:type="character" w:styleId="Hyperlink">
    <w:name w:val="Hyperlink"/>
    <w:rPr>
      <w:color w:val="0000FF"/>
      <w:u w:val="single"/>
    </w:rPr>
  </w:style>
  <w:style w:type="paragraph" w:customStyle="1" w:styleId="Footer0">
    <w:name w:val="Footer_0"/>
    <w:basedOn w:val="Normal0"/>
    <w:pPr>
      <w:tabs>
        <w:tab w:val="center" w:pos="4153"/>
        <w:tab w:val="right" w:pos="8306"/>
      </w:tabs>
      <w:snapToGrid w:val="0"/>
      <w:jc w:val="left"/>
    </w:pPr>
    <w:rPr>
      <w:sz w:val="18"/>
      <w:szCs w:val="18"/>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eader" Target="header1.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eader" Target="header2.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header" Target="header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header" Target="header5.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header" Target="header6.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header" Target="header7.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header" Target="header8.xml" /><Relationship Id="rId35" Type="http://schemas.openxmlformats.org/officeDocument/2006/relationships/footer" Target="footer23.xml" /><Relationship Id="rId36" Type="http://schemas.openxmlformats.org/officeDocument/2006/relationships/footer" Target="footer24.xml" /><Relationship Id="rId37" Type="http://schemas.openxmlformats.org/officeDocument/2006/relationships/header" Target="header9.xml"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customXml" Target="../customXml/item1.xml" /><Relationship Id="rId40" Type="http://schemas.openxmlformats.org/officeDocument/2006/relationships/header" Target="header10.xml" /><Relationship Id="rId41" Type="http://schemas.openxmlformats.org/officeDocument/2006/relationships/footer" Target="footer27.xml" /><Relationship Id="rId42" Type="http://schemas.openxmlformats.org/officeDocument/2006/relationships/footer" Target="footer28.xml" /><Relationship Id="rId43" Type="http://schemas.openxmlformats.org/officeDocument/2006/relationships/header" Target="header11.xml" /><Relationship Id="rId44" Type="http://schemas.openxmlformats.org/officeDocument/2006/relationships/footer" Target="footer29.xml" /><Relationship Id="rId45" Type="http://schemas.openxmlformats.org/officeDocument/2006/relationships/footer" Target="footer30.xml" /><Relationship Id="rId46" Type="http://schemas.openxmlformats.org/officeDocument/2006/relationships/header" Target="header12.xml" /><Relationship Id="rId47" Type="http://schemas.openxmlformats.org/officeDocument/2006/relationships/footer" Target="footer31.xml" /><Relationship Id="rId48" Type="http://schemas.openxmlformats.org/officeDocument/2006/relationships/footer" Target="footer32.xml" /><Relationship Id="rId49" Type="http://schemas.openxmlformats.org/officeDocument/2006/relationships/header" Target="header13.xml" /><Relationship Id="rId5" Type="http://schemas.openxmlformats.org/officeDocument/2006/relationships/footer" Target="footer1.xml" /><Relationship Id="rId50" Type="http://schemas.openxmlformats.org/officeDocument/2006/relationships/footer" Target="footer33.xml" /><Relationship Id="rId51" Type="http://schemas.openxmlformats.org/officeDocument/2006/relationships/footer" Target="footer34.xml" /><Relationship Id="rId52" Type="http://schemas.openxmlformats.org/officeDocument/2006/relationships/header" Target="header14.xml" /><Relationship Id="rId53" Type="http://schemas.openxmlformats.org/officeDocument/2006/relationships/footer" Target="footer35.xml" /><Relationship Id="rId54" Type="http://schemas.openxmlformats.org/officeDocument/2006/relationships/footer" Target="footer36.xml" /><Relationship Id="rId55" Type="http://schemas.openxmlformats.org/officeDocument/2006/relationships/header" Target="header15.xml" /><Relationship Id="rId56" Type="http://schemas.openxmlformats.org/officeDocument/2006/relationships/footer" Target="footer37.xml" /><Relationship Id="rId57" Type="http://schemas.openxmlformats.org/officeDocument/2006/relationships/footer" Target="footer38.xml" /><Relationship Id="rId58" Type="http://schemas.openxmlformats.org/officeDocument/2006/relationships/header" Target="header16.xml" /><Relationship Id="rId59" Type="http://schemas.openxmlformats.org/officeDocument/2006/relationships/footer" Target="footer39.xml" /><Relationship Id="rId6" Type="http://schemas.openxmlformats.org/officeDocument/2006/relationships/footer" Target="footer2.xml" /><Relationship Id="rId60" Type="http://schemas.openxmlformats.org/officeDocument/2006/relationships/footer" Target="footer40.xml" /><Relationship Id="rId61" Type="http://schemas.openxmlformats.org/officeDocument/2006/relationships/header" Target="header17.xml" /><Relationship Id="rId62" Type="http://schemas.openxmlformats.org/officeDocument/2006/relationships/footer" Target="footer41.xml" /><Relationship Id="rId63" Type="http://schemas.openxmlformats.org/officeDocument/2006/relationships/footer" Target="footer42.xml" /><Relationship Id="rId64" Type="http://schemas.openxmlformats.org/officeDocument/2006/relationships/header" Target="header18.xml" /><Relationship Id="rId65" Type="http://schemas.openxmlformats.org/officeDocument/2006/relationships/footer" Target="footer43.xml" /><Relationship Id="rId66" Type="http://schemas.openxmlformats.org/officeDocument/2006/relationships/footer" Target="footer44.xml" /><Relationship Id="rId67" Type="http://schemas.openxmlformats.org/officeDocument/2006/relationships/header" Target="header19.xml" /><Relationship Id="rId68" Type="http://schemas.openxmlformats.org/officeDocument/2006/relationships/footer" Target="footer45.xml" /><Relationship Id="rId69" Type="http://schemas.openxmlformats.org/officeDocument/2006/relationships/footer" Target="footer46.xml" /><Relationship Id="rId7" Type="http://schemas.openxmlformats.org/officeDocument/2006/relationships/footer" Target="footer3.xml" /><Relationship Id="rId70" Type="http://schemas.openxmlformats.org/officeDocument/2006/relationships/header" Target="header20.xml" /><Relationship Id="rId71" Type="http://schemas.openxmlformats.org/officeDocument/2006/relationships/footer" Target="footer47.xml" /><Relationship Id="rId72" Type="http://schemas.openxmlformats.org/officeDocument/2006/relationships/footer" Target="footer48.xml" /><Relationship Id="rId73" Type="http://schemas.openxmlformats.org/officeDocument/2006/relationships/image" Target="media/image1.wmf" /><Relationship Id="rId74" Type="http://schemas.openxmlformats.org/officeDocument/2006/relationships/oleObject" Target="embeddings/oleObject1.bin" /><Relationship Id="rId75" Type="http://schemas.openxmlformats.org/officeDocument/2006/relationships/header" Target="header21.xml" /><Relationship Id="rId76" Type="http://schemas.openxmlformats.org/officeDocument/2006/relationships/footer" Target="footer49.xml" /><Relationship Id="rId77" Type="http://schemas.openxmlformats.org/officeDocument/2006/relationships/footer" Target="footer50.xml" /><Relationship Id="rId78" Type="http://schemas.openxmlformats.org/officeDocument/2006/relationships/header" Target="header22.xml" /><Relationship Id="rId79" Type="http://schemas.openxmlformats.org/officeDocument/2006/relationships/footer" Target="footer51.xml" /><Relationship Id="rId8" Type="http://schemas.openxmlformats.org/officeDocument/2006/relationships/footer" Target="footer4.xml" /><Relationship Id="rId80" Type="http://schemas.openxmlformats.org/officeDocument/2006/relationships/footer" Target="footer52.xml" /><Relationship Id="rId81" Type="http://schemas.openxmlformats.org/officeDocument/2006/relationships/header" Target="header23.xml" /><Relationship Id="rId82" Type="http://schemas.openxmlformats.org/officeDocument/2006/relationships/footer" Target="footer53.xml" /><Relationship Id="rId83" Type="http://schemas.openxmlformats.org/officeDocument/2006/relationships/footer" Target="footer54.xml" /><Relationship Id="rId84" Type="http://schemas.openxmlformats.org/officeDocument/2006/relationships/header" Target="header24.xml" /><Relationship Id="rId85" Type="http://schemas.openxmlformats.org/officeDocument/2006/relationships/footer" Target="footer55.xml" /><Relationship Id="rId86" Type="http://schemas.openxmlformats.org/officeDocument/2006/relationships/footer" Target="footer56.xml" /><Relationship Id="rId87" Type="http://schemas.openxmlformats.org/officeDocument/2006/relationships/header" Target="header25.xml" /><Relationship Id="rId88" Type="http://schemas.openxmlformats.org/officeDocument/2006/relationships/footer" Target="footer57.xml" /><Relationship Id="rId89" Type="http://schemas.openxmlformats.org/officeDocument/2006/relationships/footer" Target="footer58.xml" /><Relationship Id="rId9" Type="http://schemas.openxmlformats.org/officeDocument/2006/relationships/footer" Target="footer5.xml" /><Relationship Id="rId90" Type="http://schemas.openxmlformats.org/officeDocument/2006/relationships/hyperlink" Target="https://d.book118.com/907016161103006045" TargetMode="External" /><Relationship Id="rId91" Type="http://schemas.openxmlformats.org/officeDocument/2006/relationships/header" Target="header26.xml" /><Relationship Id="rId92" Type="http://schemas.openxmlformats.org/officeDocument/2006/relationships/footer" Target="footer59.xml" /><Relationship Id="rId93" Type="http://schemas.openxmlformats.org/officeDocument/2006/relationships/footer" Target="footer60.xml" /><Relationship Id="rId94" Type="http://schemas.openxmlformats.org/officeDocument/2006/relationships/theme" Target="theme/theme1.xml" /><Relationship Id="rId95" Type="http://schemas.openxmlformats.org/officeDocument/2006/relationships/numbering" Target="numbering.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26"/>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079"/>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17"/>
    <customShpInfo spid="_x0000_s1132"/>
    <customShpInfo spid="_x0000_s111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622966FE5E34471D8226C7BD6EF407C3_12</vt:lpwstr>
  </property>
  <property fmtid="{D5CDD505-2E9C-101B-9397-08002B2CF9AE}" pid="3" name="KSOProductBuildVer">
    <vt:lpwstr>2052-12.1.0.16388</vt:lpwstr>
  </property>
</Properties>
</file>