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 w:val="0"/>
        <w:spacing w:before="89" w:after="8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8218" w:h="25258"/>
          <w:pgMar w:top="2198" w:right="2641" w:bottom="3404" w:left="2862" w:header="0" w:footer="3" w:gutter="0"/>
          <w:cols w:space="720"/>
          <w:noEndnote/>
          <w:rtlGutter w:val="0"/>
          <w:docGrid w:linePitch="360"/>
        </w:sectPr>
      </w:pPr>
    </w:p>
    <w:p>
      <w:pPr>
        <w:pStyle w:val="31"/>
        <w:keepNext/>
        <w:keepLines/>
        <w:framePr w:w="12504" w:h="2942" w:hRule="atLeast" w:wrap="none" w:vAnchor="text" w:hAnchor="page" w:x="2868" w:y="21"/>
        <w:widowControl w:val="0"/>
        <w:shd w:val="clear" w:color="auto" w:fill="auto"/>
        <w:bidi w:val="0"/>
        <w:spacing w:before="0" w:after="0" w:line="974" w:lineRule="exact"/>
        <w:ind w:left="0" w:right="0"/>
        <w:jc w:val="left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一、工程概况</w:t>
      </w:r>
      <w:bookmarkEnd w:id="0"/>
      <w:bookmarkEnd w:id="1"/>
      <w:bookmarkEnd w:id="2"/>
    </w:p>
    <w:p>
      <w:pPr>
        <w:pStyle w:val="a3"/>
        <w:keepNext w:val="0"/>
        <w:keepLines w:val="0"/>
        <w:framePr w:w="12504" w:h="2942" w:hRule="atLeast" w:wrap="none" w:vAnchor="text" w:hAnchor="page" w:x="2868" w:y="21"/>
        <w:widowControl w:val="0"/>
        <w:shd w:val="clear" w:color="auto" w:fill="auto"/>
        <w:bidi w:val="0"/>
        <w:spacing w:before="0" w:after="160" w:line="974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广西沿海钦防铁路</w:t>
      </w:r>
      <w:r>
        <w:rPr>
          <w:color w:val="000000"/>
          <w:spacing w:val="0"/>
          <w:w w:val="100"/>
          <w:position w:val="0"/>
          <w:sz w:val="42"/>
          <w:szCs w:val="42"/>
        </w:rPr>
        <w:t>QF-1</w:t>
      </w:r>
      <w:r>
        <w:rPr>
          <w:color w:val="000000"/>
          <w:spacing w:val="0"/>
          <w:w w:val="100"/>
          <w:position w:val="0"/>
        </w:rPr>
        <w:t>标段</w:t>
      </w:r>
      <w:r>
        <w:rPr>
          <w:color w:val="000000"/>
          <w:spacing w:val="0"/>
          <w:w w:val="100"/>
          <w:position w:val="0"/>
          <w:sz w:val="42"/>
          <w:szCs w:val="42"/>
        </w:rPr>
        <w:t>DK9+600 —DK15+925.68</w:t>
      </w:r>
      <w:r>
        <w:rPr>
          <w:color w:val="000000"/>
          <w:spacing w:val="0"/>
          <w:w w:val="100"/>
          <w:position w:val="0"/>
        </w:rPr>
        <w:t>段水泥搅 拌桩主要用于路基工程中软土地基处理。加固里程段分别为</w:t>
      </w:r>
    </w:p>
    <w:p>
      <w:pPr>
        <w:pStyle w:val="a3"/>
        <w:keepNext w:val="0"/>
        <w:keepLines w:val="0"/>
        <w:framePr w:w="12504" w:h="2942" w:hRule="atLeast" w:wrap="none" w:vAnchor="text" w:hAnchor="page" w:x="2868" w:y="21"/>
        <w:widowControl w:val="0"/>
        <w:shd w:val="clear" w:color="auto" w:fill="auto"/>
        <w:tabs>
          <w:tab w:val="left" w:leader="underscore" w:pos="125"/>
          <w:tab w:val="left" w:leader="underscore" w:pos="398"/>
          <w:tab w:val="left" w:leader="underscore" w:pos="552"/>
          <w:tab w:val="left" w:leader="underscore" w:pos="989"/>
          <w:tab w:val="left" w:leader="underscore" w:pos="2520"/>
          <w:tab w:val="left" w:leader="underscore" w:pos="2794"/>
          <w:tab w:val="left" w:leader="underscore" w:pos="2952"/>
          <w:tab w:val="left" w:leader="underscore" w:pos="3418"/>
          <w:tab w:val="left" w:leader="underscore" w:pos="3586"/>
          <w:tab w:val="left" w:leader="underscore" w:pos="3830"/>
          <w:tab w:val="left" w:leader="underscore" w:pos="4915"/>
          <w:tab w:val="left" w:leader="underscore" w:pos="5189"/>
          <w:tab w:val="left" w:leader="underscore" w:pos="5328"/>
          <w:tab w:val="left" w:leader="underscore" w:pos="6187"/>
          <w:tab w:val="left" w:leader="underscore" w:pos="7517"/>
          <w:tab w:val="left" w:leader="underscore" w:pos="7790"/>
          <w:tab w:val="left" w:leader="underscore" w:pos="7930"/>
          <w:tab w:val="left" w:leader="underscore" w:pos="8837"/>
          <w:tab w:val="left" w:leader="underscore" w:pos="10128"/>
          <w:tab w:val="left" w:leader="underscore" w:pos="10402"/>
          <w:tab w:val="left" w:leader="underscore" w:pos="11208"/>
          <w:tab w:val="left" w:leader="underscore" w:pos="11611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ab/>
        <w:tab/>
        <w:tab/>
        <w:t xml:space="preserve"> </w:t>
        <w:tab/>
        <w:t xml:space="preserve"> „ „ </w:t>
        <w:tab/>
        <w:tab/>
        <w:tab/>
        <w:t xml:space="preserve"> </w:t>
        <w:tab/>
        <w:t xml:space="preserve"> </w:t>
        <w:tab/>
        <w:t xml:space="preserve"> </w:t>
        <w:tab/>
        <w:t xml:space="preserve"> </w:t>
        <w:tab/>
        <w:tab/>
        <w:tab/>
        <w:t xml:space="preserve"> „ „ </w:t>
        <w:tab/>
        <w:t xml:space="preserve"> „ </w:t>
        <w:tab/>
        <w:tab/>
        <w:tab/>
        <w:t xml:space="preserve"> „ </w:t>
      </w:r>
      <w:r>
        <w:rPr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ab/>
        <w:t xml:space="preserve"> „ </w:t>
        <w:tab/>
        <w:tab/>
        <w:t xml:space="preserve">, „ </w:t>
        <w:tab/>
        <w:t xml:space="preserve"> „ </w:t>
        <w:tab/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6883"/>
        <w:gridCol w:w="5779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43"/>
          <w:jc w:val="left"/>
        </w:trPr>
        <w:tc>
          <w:tcPr>
            <w:tcW w:w="6883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662" w:h="6298" w:hRule="atLeast" w:wrap="none" w:vAnchor="text" w:hAnchor="page" w:x="2863" w:y="2833"/>
              <w:widowControl w:val="0"/>
              <w:shd w:val="clear" w:color="auto" w:fill="auto"/>
              <w:tabs>
                <w:tab w:val="left" w:pos="2390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DK9+600</w:t>
              <w:tab/>
              <w:t xml:space="preserve">DK9+785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、 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DK10+390</w:t>
            </w:r>
          </w:p>
        </w:tc>
        <w:tc>
          <w:tcPr>
            <w:tcW w:w="5779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662" w:h="6298" w:hRule="atLeast" w:wrap="none" w:vAnchor="text" w:hAnchor="page" w:x="2863" w:y="283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DK10+470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、 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DK10+609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left"/>
        </w:trPr>
        <w:tc>
          <w:tcPr>
            <w:tcW w:w="6883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662" w:h="6298" w:hRule="atLeast" w:wrap="none" w:vAnchor="text" w:hAnchor="page" w:x="2863" w:y="283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DK10+649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、 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DK11+045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一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DK11+330</w:t>
            </w:r>
          </w:p>
        </w:tc>
        <w:tc>
          <w:tcPr>
            <w:tcW w:w="5779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662" w:h="6298" w:hRule="atLeast" w:wrap="none" w:vAnchor="text" w:hAnchor="page" w:x="2863" w:y="283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DK11+470 —DK11+630 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left"/>
        </w:trPr>
        <w:tc>
          <w:tcPr>
            <w:tcW w:w="6883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662" w:h="6298" w:hRule="atLeast" w:wrap="none" w:vAnchor="text" w:hAnchor="page" w:x="2863" w:y="283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DK11+697 —DK11+790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、 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DK12+430</w:t>
            </w:r>
          </w:p>
        </w:tc>
        <w:tc>
          <w:tcPr>
            <w:tcW w:w="5779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662" w:h="6298" w:hRule="atLeast" w:wrap="none" w:vAnchor="text" w:hAnchor="page" w:x="2863" w:y="283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—DK12+470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、 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DK12+557 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—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left"/>
        </w:trPr>
        <w:tc>
          <w:tcPr>
            <w:tcW w:w="6883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662" w:h="6298" w:hRule="atLeast" w:wrap="none" w:vAnchor="text" w:hAnchor="page" w:x="2863" w:y="283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DK12+593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、 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DK12+864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一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DK12+910</w:t>
            </w:r>
          </w:p>
        </w:tc>
        <w:tc>
          <w:tcPr>
            <w:tcW w:w="5779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662" w:h="6298" w:hRule="atLeast" w:wrap="none" w:vAnchor="text" w:hAnchor="page" w:x="2863" w:y="283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DK12+993 —DK13+023 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left"/>
        </w:trPr>
        <w:tc>
          <w:tcPr>
            <w:tcW w:w="6883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662" w:h="6298" w:hRule="atLeast" w:wrap="none" w:vAnchor="text" w:hAnchor="page" w:x="2863" w:y="283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DK13+150 —DK13+175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、 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DK13+683</w:t>
            </w:r>
          </w:p>
        </w:tc>
        <w:tc>
          <w:tcPr>
            <w:tcW w:w="5779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662" w:h="6298" w:hRule="atLeast" w:wrap="none" w:vAnchor="text" w:hAnchor="page" w:x="2863" w:y="283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—DK13+703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、 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DK14+175 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—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925"/>
          <w:jc w:val="left"/>
        </w:trPr>
        <w:tc>
          <w:tcPr>
            <w:tcW w:w="6883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662" w:h="6298" w:hRule="atLeast" w:wrap="none" w:vAnchor="text" w:hAnchor="page" w:x="2863" w:y="2833"/>
              <w:widowControl w:val="0"/>
              <w:shd w:val="clear" w:color="auto" w:fill="auto"/>
              <w:bidi w:val="0"/>
              <w:spacing w:before="0" w:after="0" w:line="98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DK14+198 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,</w:t>
            </w:r>
            <w:r>
              <w:rPr>
                <w:color w:val="000000"/>
                <w:spacing w:val="0"/>
                <w:w w:val="100"/>
                <w:position w:val="0"/>
              </w:rPr>
              <w:t>水泥搅拌桩桩径为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50cm 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,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二、场地布置和施工前的准备</w:t>
            </w:r>
          </w:p>
        </w:tc>
        <w:tc>
          <w:tcPr>
            <w:tcW w:w="5779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662" w:h="6298" w:hRule="atLeast" w:wrap="none" w:vAnchor="text" w:hAnchor="page" w:x="2863" w:y="2833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桩间距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1.—1.2m</w:t>
            </w:r>
            <w:r>
              <w:rPr>
                <w:color w:val="000000"/>
                <w:spacing w:val="0"/>
                <w:w w:val="100"/>
                <w:position w:val="0"/>
              </w:rPr>
              <w:t>。</w:t>
            </w:r>
          </w:p>
        </w:tc>
      </w:tr>
    </w:tbl>
    <w:p>
      <w:pPr>
        <w:framePr w:w="12662" w:h="6298" w:hRule="atLeast" w:wrap="none" w:vAnchor="text" w:hAnchor="page" w:x="2863" w:y="2833"/>
        <w:widowControl w:val="0"/>
        <w:spacing w:line="1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89" w:line="1" w:lineRule="exact"/>
      </w:pPr>
    </w:p>
    <w:p>
      <w:pPr>
        <w:widowControl w:val="0"/>
        <w:spacing w:line="1" w:lineRule="exact"/>
        <w:sectPr>
          <w:type w:val="continuous"/>
          <w:pgSz w:w="18218" w:h="25258"/>
          <w:pgMar w:top="2198" w:right="2641" w:bottom="3404" w:left="2862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(―)、场地布置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考虑到水泥搅拌桩分布不均匀，根据实际情况，实地放样，平整 场地，现场布置。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(二)、施工前准备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31"/>
        </w:tabs>
        <w:bidi w:val="0"/>
        <w:spacing w:before="0" w:after="0" w:line="936" w:lineRule="exact"/>
        <w:ind w:left="0" w:right="0" w:firstLine="0"/>
        <w:jc w:val="left"/>
      </w:pPr>
      <w:bookmarkStart w:id="3" w:name="bookmark3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组织施工人员学习和掌握有关设计图纸和铁路路基施工技术规范 的有关规定。结合本合同段的工程地质和水文气象条件，制定符合实 际的施工组织设计，落实岗位责任制，确保工程质量安全和进度。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31"/>
        </w:tabs>
        <w:bidi w:val="0"/>
        <w:spacing w:before="0" w:after="420" w:line="965" w:lineRule="exact"/>
        <w:ind w:left="0" w:right="0" w:firstLine="0"/>
        <w:jc w:val="left"/>
      </w:pPr>
      <w:bookmarkStart w:id="4" w:name="bookmark4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机械进场前，组织测量人员利用全站仪根据沿线已闭合的导线点 进行桩位放样。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  <w:sectPr>
          <w:type w:val="continuous"/>
          <w:pgSz w:w="18218" w:h="25258"/>
          <w:pgMar w:top="2347" w:right="2591" w:bottom="2501" w:left="2744" w:header="0" w:footer="3" w:gutter="0"/>
          <w:pgNumType w:start="3"/>
          <w:cols w:space="720"/>
          <w:noEndnote/>
          <w:rtlGutter w:val="0"/>
          <w:docGrid w:linePitch="360"/>
        </w:sectPr>
      </w:pPr>
      <w:bookmarkStart w:id="5" w:name="bookmark5"/>
      <w:r>
        <w:rPr>
          <w:color w:val="000000"/>
          <w:spacing w:val="0"/>
          <w:w w:val="100"/>
          <w:position w:val="0"/>
          <w:sz w:val="42"/>
          <w:szCs w:val="42"/>
        </w:rPr>
        <w:t>3</w:t>
      </w:r>
      <w:bookmarkEnd w:id="5"/>
      <w:r>
        <w:rPr>
          <w:color w:val="000000"/>
          <w:spacing w:val="0"/>
          <w:w w:val="100"/>
          <w:position w:val="0"/>
        </w:rPr>
        <w:t>、施工场地准备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在水泥搅拌桩施工区内进行清障，整平处理，合理布置机械设备、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水泥储料场地。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both"/>
      </w:pPr>
      <w:bookmarkStart w:id="6" w:name="bookmark6"/>
      <w:r>
        <w:rPr>
          <w:color w:val="000000"/>
          <w:spacing w:val="0"/>
          <w:w w:val="100"/>
          <w:position w:val="0"/>
          <w:sz w:val="42"/>
          <w:szCs w:val="42"/>
        </w:rPr>
        <w:t>4</w:t>
      </w:r>
      <w:bookmarkEnd w:id="6"/>
      <w:r>
        <w:rPr>
          <w:color w:val="000000"/>
          <w:spacing w:val="0"/>
          <w:w w:val="100"/>
          <w:position w:val="0"/>
        </w:rPr>
        <w:t>、配置的机械设备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934" w:lineRule="exact"/>
        <w:ind w:left="160" w:right="0" w:firstLine="820"/>
        <w:jc w:val="both"/>
      </w:pPr>
      <w:r>
        <w:rPr>
          <w:color w:val="000000"/>
          <w:spacing w:val="0"/>
          <w:w w:val="100"/>
          <w:position w:val="0"/>
        </w:rPr>
        <w:t>主要机具包括：搅拌桩机、配套水泥罐及喷浆系统、空气压缩机 等。搅拌桩机由液压机步履底架、井架和导向加减压机构、钻机传动 系统、钻具、液压系统、喷浆系统、电气系统等部分组成。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309"/>
        <w:gridCol w:w="7042"/>
        <w:gridCol w:w="345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28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  <w:sz w:val="46"/>
                <w:szCs w:val="46"/>
              </w:rPr>
              <w:t>搅拌桩施工主要机具规格与技术要求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9"/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名称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规格与技术性能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用途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81"/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搅拌桩机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2" w:lineRule="exact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PH-5A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型，加固深度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＜25m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成桩直径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＜600mm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，钻机转速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27.0~80.6r/mip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提升 速度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0.57 1.70m/min，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液压步履，纵向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1.2m,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横向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0.5m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，接地比压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＜0.027N/mm2；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电机功 率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37KW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，重量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七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钻孔、喷气、喷浆、 搅拌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水泥罐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28" w:lineRule="exact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容量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1.3m3,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设计压力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0.6N/mm2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，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带浆罐架、 旋转供料器、电子计量系统。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9" w:lineRule="exact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贮存粉料和加压输 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空压机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XK0.6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vertAlign w:val="superscript"/>
              </w:rPr>
              <w:t>—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0.10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型，工作压力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.0N/mm2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，排量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1.6m3/min，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电机功率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13KW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。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输送、喷浆供气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3" w:right="0" w:firstLine="0"/>
        <w:jc w:val="left"/>
      </w:pPr>
      <w:r>
        <w:rPr>
          <w:color w:val="000000"/>
          <w:spacing w:val="0"/>
          <w:w w:val="100"/>
          <w:position w:val="0"/>
        </w:rPr>
        <w:t>（三）、原材料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160" w:right="0" w:firstLine="820"/>
        <w:jc w:val="both"/>
      </w:pPr>
      <w:r>
        <w:rPr>
          <w:color w:val="000000"/>
          <w:spacing w:val="0"/>
          <w:w w:val="100"/>
          <w:position w:val="0"/>
        </w:rPr>
        <w:t>搅拌桩采用的粉体加固剂为</w:t>
      </w:r>
      <w:r>
        <w:rPr>
          <w:color w:val="000000"/>
          <w:spacing w:val="0"/>
          <w:w w:val="100"/>
          <w:position w:val="0"/>
          <w:sz w:val="42"/>
          <w:szCs w:val="42"/>
        </w:rPr>
        <w:t>PO42.5</w:t>
      </w:r>
      <w:r>
        <w:rPr>
          <w:color w:val="000000"/>
          <w:spacing w:val="0"/>
          <w:w w:val="100"/>
          <w:position w:val="0"/>
        </w:rPr>
        <w:t>普通硅酸盐水泥、二级以上 粉煤灰。要求新鲜无结块，入罐时经筛网过筛，最大粒度不超过</w:t>
      </w:r>
      <w:r>
        <w:rPr>
          <w:color w:val="000000"/>
          <w:spacing w:val="0"/>
          <w:w w:val="100"/>
          <w:position w:val="0"/>
          <w:sz w:val="42"/>
          <w:szCs w:val="42"/>
        </w:rPr>
        <w:t>5mm</w:t>
      </w:r>
      <w:r>
        <w:rPr>
          <w:color w:val="000000"/>
          <w:spacing w:val="0"/>
          <w:w w:val="100"/>
          <w:position w:val="0"/>
        </w:rPr>
        <w:t>， 不含有纸屑、塑料布石子等杂质。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950" w:lineRule="exact"/>
        <w:ind w:left="0" w:right="0"/>
        <w:jc w:val="both"/>
      </w:pPr>
      <w:bookmarkStart w:id="7" w:name="bookmark10"/>
      <w:bookmarkStart w:id="8" w:name="bookmark7"/>
      <w:bookmarkStart w:id="9" w:name="bookmark8"/>
      <w:bookmarkStart w:id="10" w:name="bookmark9"/>
      <w:r>
        <w:rPr>
          <w:color w:val="000000"/>
          <w:spacing w:val="0"/>
          <w:w w:val="100"/>
          <w:position w:val="0"/>
        </w:rPr>
        <w:t>三</w:t>
      </w:r>
      <w:bookmarkEnd w:id="10"/>
      <w:r>
        <w:rPr>
          <w:color w:val="000000"/>
          <w:spacing w:val="0"/>
          <w:w w:val="100"/>
          <w:position w:val="0"/>
        </w:rPr>
        <w:t>、施工组织及进度计划</w:t>
      </w:r>
      <w:bookmarkEnd w:id="7"/>
      <w:bookmarkEnd w:id="8"/>
      <w:bookmarkEnd w:id="9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16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（</w:t>
      </w:r>
      <w:bookmarkEnd w:id="11"/>
      <w:r>
        <w:rPr>
          <w:color w:val="000000"/>
          <w:spacing w:val="0"/>
          <w:w w:val="100"/>
          <w:position w:val="0"/>
        </w:rPr>
        <w:t>一）、施工组织安排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本里程段共水泥搅拌桩加固段共计</w:t>
      </w:r>
      <w:r>
        <w:rPr>
          <w:color w:val="000000"/>
          <w:spacing w:val="0"/>
          <w:w w:val="100"/>
          <w:position w:val="0"/>
          <w:sz w:val="42"/>
          <w:szCs w:val="42"/>
        </w:rPr>
        <w:t>13</w:t>
      </w:r>
      <w:r>
        <w:rPr>
          <w:color w:val="000000"/>
          <w:spacing w:val="0"/>
          <w:w w:val="100"/>
          <w:position w:val="0"/>
        </w:rPr>
        <w:t>段。加固里程分别为：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936" w:lineRule="exact"/>
        <w:ind w:left="160" w:right="0" w:firstLine="0"/>
        <w:jc w:val="both"/>
        <w:sectPr>
          <w:type w:val="nextPage"/>
          <w:pgSz w:w="18218" w:h="25258"/>
          <w:pgMar w:top="2347" w:right="2591" w:bottom="2501" w:left="2744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2"/>
          <w:szCs w:val="42"/>
        </w:rPr>
        <w:t>DK9+600 —DK9+785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DK10+390 </w:t>
      </w:r>
      <w:r>
        <w:rPr>
          <w:color w:val="000000"/>
          <w:spacing w:val="0"/>
          <w:w w:val="100"/>
          <w:position w:val="0"/>
          <w:sz w:val="42"/>
          <w:szCs w:val="42"/>
          <w:vertAlign w:val="superscript"/>
        </w:rPr>
        <w:t>—</w:t>
      </w:r>
      <w:r>
        <w:rPr>
          <w:color w:val="000000"/>
          <w:spacing w:val="0"/>
          <w:w w:val="100"/>
          <w:position w:val="0"/>
          <w:sz w:val="42"/>
          <w:szCs w:val="42"/>
        </w:rPr>
        <w:t>DK10+470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DK10+609 </w:t>
      </w:r>
      <w:r>
        <w:rPr>
          <w:color w:val="000000"/>
          <w:spacing w:val="0"/>
          <w:w w:val="100"/>
          <w:position w:val="0"/>
        </w:rPr>
        <w:t xml:space="preserve">一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DK10+649 </w:t>
      </w:r>
      <w:r>
        <w:rPr>
          <w:color w:val="000000"/>
          <w:spacing w:val="0"/>
          <w:w w:val="100"/>
          <w:position w:val="0"/>
        </w:rPr>
        <w:t xml:space="preserve">、 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936" w:lineRule="exact"/>
        <w:ind w:left="160" w:right="0" w:firstLine="0"/>
        <w:jc w:val="both"/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DK11+045 </w:t>
      </w:r>
      <w:r>
        <w:rPr>
          <w:color w:val="000000"/>
          <w:spacing w:val="0"/>
          <w:w w:val="100"/>
          <w:position w:val="0"/>
          <w:sz w:val="42"/>
          <w:szCs w:val="42"/>
          <w:vertAlign w:val="superscript"/>
        </w:rPr>
        <w:t>—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DK11+330 </w:t>
      </w:r>
      <w:r>
        <w:rPr>
          <w:color w:val="000000"/>
          <w:spacing w:val="0"/>
          <w:w w:val="100"/>
          <w:position w:val="0"/>
        </w:rPr>
        <w:t xml:space="preserve">、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DK11+470 </w:t>
      </w:r>
      <w:r>
        <w:rPr>
          <w:color w:val="000000"/>
          <w:spacing w:val="0"/>
          <w:w w:val="100"/>
          <w:position w:val="0"/>
          <w:sz w:val="42"/>
          <w:szCs w:val="42"/>
          <w:vertAlign w:val="superscript"/>
        </w:rPr>
        <w:t>—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DK11+630 </w:t>
      </w:r>
      <w:r>
        <w:rPr>
          <w:color w:val="000000"/>
          <w:spacing w:val="0"/>
          <w:w w:val="100"/>
          <w:position w:val="0"/>
        </w:rPr>
        <w:t>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DK11+697 —DK11+790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DK12+430 </w:t>
      </w:r>
      <w:r>
        <w:rPr>
          <w:color w:val="000000"/>
          <w:spacing w:val="0"/>
          <w:w w:val="100"/>
          <w:position w:val="0"/>
          <w:sz w:val="42"/>
          <w:szCs w:val="42"/>
          <w:vertAlign w:val="superscript"/>
        </w:rPr>
        <w:t>—</w:t>
      </w:r>
      <w:r>
        <w:rPr>
          <w:color w:val="000000"/>
          <w:spacing w:val="0"/>
          <w:w w:val="100"/>
          <w:position w:val="0"/>
          <w:sz w:val="42"/>
          <w:szCs w:val="42"/>
        </w:rPr>
        <w:t>DK12+470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DK12+557 </w:t>
      </w:r>
      <w:r>
        <w:rPr>
          <w:color w:val="000000"/>
          <w:spacing w:val="0"/>
          <w:w w:val="100"/>
          <w:position w:val="0"/>
        </w:rPr>
        <w:t>一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DK12+593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DK12+864 </w:t>
      </w:r>
      <w:r>
        <w:rPr>
          <w:color w:val="000000"/>
          <w:spacing w:val="0"/>
          <w:w w:val="100"/>
          <w:position w:val="0"/>
          <w:sz w:val="42"/>
          <w:szCs w:val="42"/>
          <w:vertAlign w:val="superscript"/>
        </w:rPr>
        <w:t>—</w:t>
      </w:r>
      <w:r>
        <w:rPr>
          <w:color w:val="000000"/>
          <w:spacing w:val="0"/>
          <w:w w:val="100"/>
          <w:position w:val="0"/>
          <w:sz w:val="42"/>
          <w:szCs w:val="42"/>
        </w:rPr>
        <w:t>DK12+910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DK12+993 </w:t>
      </w:r>
      <w:r>
        <w:rPr>
          <w:color w:val="000000"/>
          <w:spacing w:val="0"/>
          <w:w w:val="100"/>
          <w:position w:val="0"/>
          <w:sz w:val="42"/>
          <w:szCs w:val="42"/>
          <w:vertAlign w:val="superscript"/>
        </w:rPr>
        <w:t>—</w:t>
      </w:r>
      <w:r>
        <w:rPr>
          <w:color w:val="000000"/>
          <w:spacing w:val="0"/>
          <w:w w:val="100"/>
          <w:position w:val="0"/>
          <w:sz w:val="42"/>
          <w:szCs w:val="42"/>
        </w:rPr>
        <w:t>DK13+023</w:t>
      </w:r>
      <w:r>
        <w:rPr>
          <w:color w:val="000000"/>
          <w:spacing w:val="0"/>
          <w:w w:val="100"/>
          <w:position w:val="0"/>
        </w:rPr>
        <w:t>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DK13+150 —DK13+175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DK13+683 </w:t>
      </w:r>
      <w:r>
        <w:rPr>
          <w:color w:val="000000"/>
          <w:spacing w:val="0"/>
          <w:w w:val="100"/>
          <w:position w:val="0"/>
          <w:sz w:val="42"/>
          <w:szCs w:val="42"/>
          <w:vertAlign w:val="superscript"/>
        </w:rPr>
        <w:t>—</w:t>
      </w:r>
      <w:r>
        <w:rPr>
          <w:color w:val="000000"/>
          <w:spacing w:val="0"/>
          <w:w w:val="100"/>
          <w:position w:val="0"/>
          <w:sz w:val="42"/>
          <w:szCs w:val="42"/>
        </w:rPr>
        <w:t>DK13+703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DK14+175 </w:t>
      </w:r>
      <w:r>
        <w:rPr>
          <w:color w:val="000000"/>
          <w:spacing w:val="0"/>
          <w:w w:val="100"/>
          <w:position w:val="0"/>
        </w:rPr>
        <w:t>一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16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DK14+198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60"/>
        <w:jc w:val="left"/>
      </w:pPr>
      <w:bookmarkStart w:id="12" w:name="bookmark12"/>
      <w:r>
        <w:rPr>
          <w:color w:val="000000"/>
          <w:spacing w:val="0"/>
          <w:w w:val="100"/>
          <w:position w:val="0"/>
        </w:rPr>
        <w:t>（</w:t>
      </w:r>
      <w:bookmarkEnd w:id="12"/>
      <w:r>
        <w:rPr>
          <w:color w:val="000000"/>
          <w:spacing w:val="0"/>
          <w:w w:val="100"/>
          <w:position w:val="0"/>
        </w:rPr>
        <w:t>二）、进度控制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所有的水泥搅拌桩工程必须符合总进度计划要求，工期要求为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160"/>
        <w:jc w:val="both"/>
      </w:pPr>
      <w:r>
        <w:rPr>
          <w:color w:val="000000"/>
          <w:spacing w:val="0"/>
          <w:w w:val="100"/>
          <w:position w:val="0"/>
          <w:sz w:val="42"/>
          <w:szCs w:val="42"/>
        </w:rPr>
        <w:t>2010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42"/>
          <w:szCs w:val="42"/>
        </w:rPr>
        <w:t>7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42"/>
          <w:szCs w:val="42"/>
        </w:rPr>
        <w:t>10</w:t>
      </w:r>
      <w:r>
        <w:rPr>
          <w:color w:val="000000"/>
          <w:spacing w:val="0"/>
          <w:w w:val="100"/>
          <w:position w:val="0"/>
        </w:rPr>
        <w:t>日一</w:t>
      </w:r>
      <w:r>
        <w:rPr>
          <w:color w:val="000000"/>
          <w:spacing w:val="0"/>
          <w:w w:val="100"/>
          <w:position w:val="0"/>
          <w:sz w:val="42"/>
          <w:szCs w:val="42"/>
        </w:rPr>
        <w:t>2010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42"/>
          <w:szCs w:val="42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42"/>
          <w:szCs w:val="42"/>
        </w:rPr>
        <w:t>25</w:t>
      </w:r>
      <w:r>
        <w:rPr>
          <w:color w:val="000000"/>
          <w:spacing w:val="0"/>
          <w:w w:val="100"/>
          <w:position w:val="0"/>
        </w:rPr>
        <w:t>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6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四</w:t>
      </w:r>
      <w:bookmarkEnd w:id="13"/>
      <w:r>
        <w:rPr>
          <w:color w:val="000000"/>
          <w:spacing w:val="0"/>
          <w:w w:val="100"/>
          <w:position w:val="0"/>
        </w:rPr>
        <w:t>、施工组织机构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60"/>
        <w:jc w:val="both"/>
        <w:sectPr>
          <w:type w:val="nextPage"/>
          <w:pgSz w:w="18218" w:h="25258"/>
          <w:pgMar w:top="2347" w:right="2591" w:bottom="2501" w:left="2744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施工组织机构框图：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7242175" cy="1003427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2175" cy="1003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941" w:lineRule="exact"/>
        <w:ind w:left="0" w:right="0"/>
        <w:jc w:val="both"/>
      </w:pPr>
      <w:bookmarkStart w:id="14" w:name="bookmark14"/>
      <w:bookmarkStart w:id="15" w:name="bookmark15"/>
      <w:bookmarkStart w:id="16" w:name="bookmark16"/>
      <w:bookmarkStart w:id="17" w:name="bookmark17"/>
      <w:r>
        <w:rPr>
          <w:color w:val="000000"/>
          <w:spacing w:val="0"/>
          <w:w w:val="100"/>
          <w:position w:val="0"/>
        </w:rPr>
        <w:t>五</w:t>
      </w:r>
      <w:bookmarkEnd w:id="16"/>
      <w:r>
        <w:rPr>
          <w:color w:val="000000"/>
          <w:spacing w:val="0"/>
          <w:w w:val="100"/>
          <w:position w:val="0"/>
        </w:rPr>
        <w:t>、施工质量要求</w:t>
      </w:r>
      <w:bookmarkEnd w:id="14"/>
      <w:bookmarkEnd w:id="15"/>
      <w:bookmarkEnd w:id="17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40" w:line="941" w:lineRule="exact"/>
        <w:ind w:left="160" w:right="0" w:firstLine="840"/>
        <w:jc w:val="left"/>
        <w:sectPr>
          <w:type w:val="nextPage"/>
          <w:pgSz w:w="18218" w:h="25258"/>
          <w:pgMar w:top="2347" w:right="2591" w:bottom="2501" w:left="2744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水泥搅拌桩加固剂采用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P.O </w:t>
      </w:r>
      <w:r>
        <w:rPr>
          <w:color w:val="000000"/>
          <w:spacing w:val="0"/>
          <w:w w:val="100"/>
          <w:position w:val="0"/>
          <w:sz w:val="42"/>
          <w:szCs w:val="42"/>
        </w:rPr>
        <w:t>42</w:t>
      </w:r>
      <w:r>
        <w:rPr>
          <w:color w:val="000000"/>
          <w:spacing w:val="0"/>
          <w:w w:val="100"/>
          <w:position w:val="0"/>
        </w:rPr>
        <w:t>.号水泥，水灰比控制在</w:t>
      </w:r>
      <w:r>
        <w:rPr>
          <w:color w:val="000000"/>
          <w:spacing w:val="0"/>
          <w:w w:val="100"/>
          <w:position w:val="0"/>
          <w:sz w:val="42"/>
          <w:szCs w:val="42"/>
        </w:rPr>
        <w:t>0</w:t>
      </w:r>
      <w:r>
        <w:rPr>
          <w:color w:val="000000"/>
          <w:spacing w:val="0"/>
          <w:w w:val="100"/>
          <w:position w:val="0"/>
        </w:rPr>
        <w:t>.厂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0.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5 </w:t>
      </w:r>
      <w:r>
        <w:rPr>
          <w:color w:val="000000"/>
          <w:spacing w:val="0"/>
          <w:w w:val="100"/>
          <w:position w:val="0"/>
        </w:rPr>
        <w:t>成桩桩径不小于设计值，每米水泥用量</w:t>
      </w:r>
      <w:r>
        <w:rPr>
          <w:color w:val="000000"/>
          <w:spacing w:val="0"/>
          <w:w w:val="100"/>
          <w:position w:val="0"/>
          <w:sz w:val="42"/>
          <w:szCs w:val="42"/>
        </w:rPr>
        <w:t>52—58kg</w:t>
      </w:r>
      <w:r>
        <w:rPr>
          <w:color w:val="000000"/>
          <w:spacing w:val="0"/>
          <w:w w:val="100"/>
          <w:position w:val="0"/>
        </w:rPr>
        <w:t>。均匀搅拌，成桩 顶面比设计标高高出</w:t>
      </w:r>
      <w:r>
        <w:rPr>
          <w:color w:val="000000"/>
          <w:spacing w:val="0"/>
          <w:w w:val="100"/>
          <w:position w:val="0"/>
          <w:sz w:val="42"/>
          <w:szCs w:val="42"/>
        </w:rPr>
        <w:t>30—50cm</w:t>
      </w:r>
      <w:r>
        <w:rPr>
          <w:color w:val="000000"/>
          <w:spacing w:val="0"/>
          <w:w w:val="100"/>
          <w:position w:val="0"/>
        </w:rPr>
        <w:t>，单桩承载力达到设计值，搅拌桩施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40" w:line="941" w:lineRule="exact"/>
        <w:ind w:left="160" w:right="0" w:firstLine="840"/>
        <w:jc w:val="left"/>
      </w:pPr>
      <w:r>
        <w:rPr>
          <w:color w:val="000000"/>
          <w:spacing w:val="0"/>
          <w:w w:val="100"/>
          <w:position w:val="0"/>
        </w:rPr>
        <w:t xml:space="preserve"> 工后地基承载力标准值不小于设计值。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50"/>
        <w:gridCol w:w="4598"/>
        <w:gridCol w:w="61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22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  <w:sz w:val="46"/>
                <w:szCs w:val="46"/>
              </w:rPr>
              <w:t>水泥搅拌桩施工允许误差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3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序号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项目</w:t>
            </w:r>
          </w:p>
        </w:tc>
        <w:tc>
          <w:tcPr>
            <w:tcW w:w="6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允许偏差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桩体直径</w:t>
            </w:r>
          </w:p>
        </w:tc>
        <w:tc>
          <w:tcPr>
            <w:tcW w:w="6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不小于设计值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桩体间距</w:t>
            </w:r>
          </w:p>
        </w:tc>
        <w:tc>
          <w:tcPr>
            <w:tcW w:w="6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±100mm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3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垂直度</w:t>
            </w:r>
          </w:p>
        </w:tc>
        <w:tc>
          <w:tcPr>
            <w:tcW w:w="6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1.50%</w:t>
            </w:r>
          </w:p>
        </w:tc>
      </w:tr>
    </w:tbl>
    <w:p>
      <w:pPr>
        <w:widowControl w:val="0"/>
        <w:spacing w:after="179" w:line="1" w:lineRule="exact"/>
      </w:pPr>
    </w:p>
    <w:p>
      <w:pPr>
        <w:pStyle w:val="31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/>
        <w:jc w:val="left"/>
      </w:pPr>
      <w:bookmarkStart w:id="18" w:name="bookmark18"/>
      <w:bookmarkStart w:id="19" w:name="bookmark19"/>
      <w:bookmarkStart w:id="20" w:name="bookmark20"/>
      <w:bookmarkStart w:id="21" w:name="bookmark21"/>
      <w:r>
        <w:rPr>
          <w:b w:val="0"/>
          <w:bCs w:val="0"/>
          <w:color w:val="000000"/>
          <w:spacing w:val="0"/>
          <w:w w:val="100"/>
          <w:position w:val="0"/>
        </w:rPr>
        <w:t>六</w:t>
      </w:r>
      <w:bookmarkEnd w:id="20"/>
      <w:r>
        <w:rPr>
          <w:b w:val="0"/>
          <w:bCs w:val="0"/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施工工艺及方法</w:t>
      </w:r>
      <w:bookmarkEnd w:id="18"/>
      <w:bookmarkEnd w:id="19"/>
      <w:bookmarkEnd w:id="21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</w:pPr>
      <w:bookmarkStart w:id="22" w:name="bookmark22"/>
      <w:r>
        <w:rPr>
          <w:color w:val="000000"/>
          <w:spacing w:val="0"/>
          <w:w w:val="100"/>
          <w:position w:val="0"/>
        </w:rPr>
        <w:t>（</w:t>
      </w:r>
      <w:bookmarkEnd w:id="22"/>
      <w:r>
        <w:rPr>
          <w:color w:val="000000"/>
          <w:spacing w:val="0"/>
          <w:w w:val="100"/>
          <w:position w:val="0"/>
        </w:rPr>
        <w:t>一）、施工准备及测量放样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160" w:right="0" w:firstLine="840"/>
        <w:jc w:val="both"/>
      </w:pPr>
      <w:r>
        <w:rPr>
          <w:color w:val="000000"/>
          <w:spacing w:val="0"/>
          <w:w w:val="100"/>
          <w:position w:val="0"/>
        </w:rPr>
        <w:t>搅拌桩施工前，备齐施工机械机具和材料，接通电力，施工劳力 进场，进行需施作喷浆作业地点的地面表皮清除，查明地下线路管道 情况后进行场地平整，桩位放线，一切准备就绪后，进行搅拌桩作业。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64"/>
        </w:tabs>
        <w:bidi w:val="0"/>
        <w:spacing w:before="0" w:after="0" w:line="937" w:lineRule="exact"/>
        <w:ind w:left="160" w:right="0" w:firstLine="0"/>
        <w:jc w:val="both"/>
      </w:pPr>
      <w:bookmarkStart w:id="23" w:name="bookmark23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23"/>
      <w:r>
        <w:rPr>
          <w:color w:val="000000"/>
          <w:spacing w:val="0"/>
          <w:w w:val="100"/>
          <w:position w:val="0"/>
        </w:rPr>
        <w:t>、</w:t>
        <w:tab/>
        <w:t>场地清理：施工前，应按技术规范要求进行场地清理。清理后的 场地应平整，无杂草、树根等垃圾。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64"/>
        </w:tabs>
        <w:bidi w:val="0"/>
        <w:spacing w:before="0" w:after="0" w:line="937" w:lineRule="exact"/>
        <w:ind w:left="160" w:right="0" w:firstLine="0"/>
        <w:jc w:val="both"/>
      </w:pPr>
      <w:bookmarkStart w:id="24" w:name="bookmark24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24"/>
      <w:r>
        <w:rPr>
          <w:color w:val="000000"/>
          <w:spacing w:val="0"/>
          <w:w w:val="100"/>
          <w:position w:val="0"/>
        </w:rPr>
        <w:t>、</w:t>
        <w:tab/>
        <w:t>布桩图：开工前，根据施工设计图按各分段里程画出布桩图。布 桩图上应标明线路中心、里程、路基底宽线、每个桩应编号、量出设 计桩长，布桩图报监理工程师，确定验收后，方可施工。处理地段水 泥搅拌桩桩径均为①</w:t>
      </w:r>
      <w:r>
        <w:rPr>
          <w:color w:val="000000"/>
          <w:spacing w:val="0"/>
          <w:w w:val="100"/>
          <w:position w:val="0"/>
          <w:sz w:val="42"/>
          <w:szCs w:val="42"/>
        </w:rPr>
        <w:t>500mm</w:t>
      </w:r>
      <w:r>
        <w:rPr>
          <w:color w:val="000000"/>
          <w:spacing w:val="0"/>
          <w:w w:val="100"/>
          <w:position w:val="0"/>
        </w:rPr>
        <w:t>，桩间距</w:t>
      </w:r>
      <w:r>
        <w:rPr>
          <w:color w:val="000000"/>
          <w:spacing w:val="0"/>
          <w:w w:val="100"/>
          <w:position w:val="0"/>
          <w:sz w:val="42"/>
          <w:szCs w:val="42"/>
        </w:rPr>
        <w:t>1.1—1.2m</w:t>
      </w:r>
      <w:r>
        <w:rPr>
          <w:color w:val="000000"/>
          <w:spacing w:val="0"/>
          <w:w w:val="100"/>
          <w:position w:val="0"/>
        </w:rPr>
        <w:t xml:space="preserve">，按等边三角形梅花 型排列。施工时，桩底高程不高于设计标高，桩顶高程不低于设计标 </w:t>
      </w:r>
      <w:r>
        <w:rPr>
          <w:color w:val="000000"/>
          <w:spacing w:val="0"/>
          <w:w w:val="100"/>
          <w:position w:val="0"/>
        </w:rPr>
        <w:t>高。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77"/>
        </w:tabs>
        <w:bidi w:val="0"/>
        <w:spacing w:before="0" w:after="0" w:line="941" w:lineRule="exact"/>
        <w:ind w:left="140" w:right="0" w:firstLine="0"/>
        <w:jc w:val="both"/>
        <w:sectPr>
          <w:type w:val="nextPage"/>
          <w:pgSz w:w="18218" w:h="25258"/>
          <w:pgMar w:top="2347" w:right="2591" w:bottom="2501" w:left="2744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bookmarkStart w:id="25" w:name="bookmark25"/>
      <w:r>
        <w:rPr>
          <w:color w:val="000000"/>
          <w:spacing w:val="0"/>
          <w:w w:val="100"/>
          <w:position w:val="0"/>
          <w:sz w:val="42"/>
          <w:szCs w:val="42"/>
        </w:rPr>
        <w:t>3</w:t>
      </w:r>
      <w:bookmarkEnd w:id="25"/>
      <w:r>
        <w:rPr>
          <w:color w:val="000000"/>
          <w:spacing w:val="0"/>
          <w:w w:val="100"/>
          <w:position w:val="0"/>
        </w:rPr>
        <w:t>、</w:t>
        <w:tab/>
        <w:t>测量放样：对设计单位移交的导线点，水准点，施工前会同甲方</w:t>
      </w:r>
      <w:r>
        <w:rPr>
          <w:color w:val="000000"/>
          <w:spacing w:val="0"/>
          <w:w w:val="100"/>
          <w:position w:val="0"/>
        </w:rPr>
        <w:t xml:space="preserve"> 和监理工程师进行复核，确认无误后使用。测量人员按施工设计图，</w:t>
      </w:r>
      <w:r>
        <w:rPr>
          <w:color w:val="000000"/>
          <w:spacing w:val="0"/>
          <w:w w:val="100"/>
          <w:position w:val="0"/>
        </w:rPr>
        <w:t xml:space="preserve"> 进行搅拌桩桩位、原地面标高、等有关测量放样工作。测放桩位按设</w:t>
      </w:r>
      <w:r>
        <w:rPr>
          <w:color w:val="000000"/>
          <w:spacing w:val="0"/>
          <w:w w:val="100"/>
          <w:position w:val="0"/>
        </w:rPr>
        <w:t xml:space="preserve"> 计要求进行，在确定孔位时，需经复核确认后方可进入下一施工工序，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77"/>
        </w:tabs>
        <w:bidi w:val="0"/>
        <w:spacing w:before="0" w:after="0" w:line="941" w:lineRule="exact"/>
        <w:ind w:left="14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 为保证桩位的准确性，桩位必须打入木桩或插入竹片作为桩位标记。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77"/>
        </w:tabs>
        <w:bidi w:val="0"/>
        <w:spacing w:before="0" w:after="0" w:line="938" w:lineRule="exact"/>
        <w:ind w:left="140" w:right="0" w:firstLine="0"/>
        <w:jc w:val="both"/>
      </w:pPr>
      <w:bookmarkStart w:id="26" w:name="bookmark26"/>
      <w:r>
        <w:rPr>
          <w:color w:val="000000"/>
          <w:spacing w:val="0"/>
          <w:w w:val="100"/>
          <w:position w:val="0"/>
          <w:sz w:val="42"/>
          <w:szCs w:val="42"/>
        </w:rPr>
        <w:t>4</w:t>
      </w:r>
      <w:bookmarkEnd w:id="26"/>
      <w:r>
        <w:rPr>
          <w:color w:val="000000"/>
          <w:spacing w:val="0"/>
          <w:w w:val="100"/>
          <w:position w:val="0"/>
        </w:rPr>
        <w:t>、</w:t>
        <w:tab/>
        <w:t>材料：搅拌桩施工采用加固料为水泥，其质量、规格应符合设计 要求，并具有出厂质保单及出厂试验报告，确保在有效期内使用，严 禁使用过期、受潮、结块、变质的劣质水泥。运到工地的加固料水 泥），应对水泥质量进行抽样检验，一般要求每批量</w:t>
      </w:r>
      <w:r>
        <w:rPr>
          <w:color w:val="000000"/>
          <w:spacing w:val="0"/>
          <w:w w:val="100"/>
          <w:position w:val="0"/>
          <w:sz w:val="42"/>
          <w:szCs w:val="42"/>
        </w:rPr>
        <w:t>100</w:t>
      </w:r>
      <w:r>
        <w:rPr>
          <w:color w:val="000000"/>
          <w:spacing w:val="0"/>
          <w:w w:val="100"/>
          <w:position w:val="0"/>
        </w:rPr>
        <w:t>吨最少抽检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1 </w:t>
      </w:r>
      <w:r>
        <w:rPr>
          <w:color w:val="000000"/>
          <w:spacing w:val="0"/>
          <w:w w:val="100"/>
          <w:position w:val="0"/>
        </w:rPr>
        <w:t>组。试验结果报监理工程师签认后方可投入使用。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77"/>
        </w:tabs>
        <w:bidi w:val="0"/>
        <w:spacing w:before="0" w:after="0" w:line="937" w:lineRule="exact"/>
        <w:ind w:left="140" w:right="0" w:firstLine="0"/>
        <w:jc w:val="both"/>
      </w:pPr>
      <w:bookmarkStart w:id="27" w:name="bookmark27"/>
      <w:r>
        <w:rPr>
          <w:color w:val="000000"/>
          <w:spacing w:val="0"/>
          <w:w w:val="100"/>
          <w:position w:val="0"/>
          <w:sz w:val="42"/>
          <w:szCs w:val="42"/>
        </w:rPr>
        <w:t>5</w:t>
      </w:r>
      <w:bookmarkEnd w:id="27"/>
      <w:r>
        <w:rPr>
          <w:color w:val="000000"/>
          <w:spacing w:val="0"/>
          <w:w w:val="100"/>
          <w:position w:val="0"/>
        </w:rPr>
        <w:t>、</w:t>
        <w:tab/>
        <w:t>水泥土强度试验：施工前应详细了解各施工现场的地质情况，选 取有代表性的土层位置，钻孔取出一定数量的试样土进行必要的软土 物理性质、含水量、有机质含量试验和水泥土配合比强度试验，以验 证软土的性质和设计的水泥土搅拌桩）强度能否达到要求。试验结果 均应及时以书面报告形式提交监理工程师审查核实，如与原地质钻探 资料和设计要求不符，应通知设计方。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140" w:right="0" w:firstLine="0"/>
        <w:jc w:val="both"/>
      </w:pPr>
      <w:bookmarkStart w:id="28" w:name="bookmark28"/>
      <w:r>
        <w:rPr>
          <w:color w:val="000000"/>
          <w:spacing w:val="0"/>
          <w:w w:val="100"/>
          <w:position w:val="0"/>
        </w:rPr>
        <w:t>（</w:t>
      </w:r>
      <w:bookmarkEnd w:id="28"/>
      <w:r>
        <w:rPr>
          <w:color w:val="000000"/>
          <w:spacing w:val="0"/>
          <w:w w:val="100"/>
          <w:position w:val="0"/>
        </w:rPr>
        <w:t>二）、钻机就位及调直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140" w:right="0" w:firstLine="840"/>
        <w:jc w:val="both"/>
      </w:pPr>
      <w:r>
        <w:rPr>
          <w:color w:val="000000"/>
          <w:spacing w:val="0"/>
          <w:w w:val="100"/>
          <w:position w:val="0"/>
        </w:rPr>
        <w:t>组装架立搅拌桩机。检查主机各部的连接，液压系统、电气系统、 粉喷系统各部分安装试调情况及浆曜、管路的密封连接情况是否正 常，做好必要的调整和紧固工作，排除异常情况后，方可进行操作。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浆罐装满料后，进料口加盖密封。安装钻机时，将钻机对准桩位，调 平桩机机身以保证桩的垂直度。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54"/>
        </w:tabs>
        <w:bidi w:val="0"/>
        <w:spacing w:before="0" w:after="0" w:line="937" w:lineRule="exact"/>
        <w:ind w:left="0" w:right="0" w:firstLine="0"/>
        <w:jc w:val="both"/>
      </w:pPr>
      <w:bookmarkStart w:id="29" w:name="bookmark29"/>
      <w:r>
        <w:rPr>
          <w:color w:val="000000"/>
          <w:spacing w:val="0"/>
          <w:w w:val="100"/>
          <w:position w:val="0"/>
        </w:rPr>
        <w:t>（</w:t>
      </w:r>
      <w:bookmarkEnd w:id="29"/>
      <w:r>
        <w:rPr>
          <w:color w:val="000000"/>
          <w:spacing w:val="0"/>
          <w:w w:val="100"/>
          <w:position w:val="0"/>
        </w:rPr>
        <w:t>三）</w:t>
        <w:tab/>
        <w:t>、钻进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840"/>
        <w:jc w:val="both"/>
        <w:sectPr>
          <w:type w:val="nextPage"/>
          <w:pgSz w:w="18218" w:h="25258"/>
          <w:pgMar w:top="2347" w:right="2591" w:bottom="2501" w:left="2744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桩机调正后，启动主电机钻进，待搅拌钻头接近地面时，启动空</w:t>
      </w:r>
      <w:r>
        <w:rPr>
          <w:color w:val="000000"/>
          <w:spacing w:val="0"/>
          <w:w w:val="100"/>
          <w:position w:val="0"/>
        </w:rPr>
        <w:t xml:space="preserve"> 压机送气。钻深由深度尺盘确定，其数值应等于设计加固深度和桩机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 横移槽距地面高度之和。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54"/>
        </w:tabs>
        <w:bidi w:val="0"/>
        <w:spacing w:before="0" w:after="0" w:line="937" w:lineRule="exact"/>
        <w:ind w:left="0" w:right="0" w:firstLine="0"/>
        <w:jc w:val="both"/>
      </w:pPr>
      <w:bookmarkStart w:id="30" w:name="bookmark30"/>
      <w:r>
        <w:rPr>
          <w:color w:val="000000"/>
          <w:spacing w:val="0"/>
          <w:w w:val="100"/>
          <w:position w:val="0"/>
        </w:rPr>
        <w:t>（</w:t>
      </w:r>
      <w:bookmarkEnd w:id="30"/>
      <w:r>
        <w:rPr>
          <w:color w:val="000000"/>
          <w:spacing w:val="0"/>
          <w:w w:val="100"/>
          <w:position w:val="0"/>
        </w:rPr>
        <w:t>四）</w:t>
        <w:tab/>
        <w:t>、钻至设计标高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当深度尺盘达到预定数量后，停止钻机，钻头反转，但不提升， 等待送料。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54"/>
        </w:tabs>
        <w:bidi w:val="0"/>
        <w:spacing w:before="0" w:after="0" w:line="937" w:lineRule="exact"/>
        <w:ind w:left="0" w:right="0" w:firstLine="0"/>
        <w:jc w:val="both"/>
      </w:pPr>
      <w:bookmarkStart w:id="31" w:name="bookmark31"/>
      <w:r>
        <w:rPr>
          <w:color w:val="000000"/>
          <w:spacing w:val="0"/>
          <w:w w:val="100"/>
          <w:position w:val="0"/>
        </w:rPr>
        <w:t>（</w:t>
      </w:r>
      <w:bookmarkEnd w:id="31"/>
      <w:r>
        <w:rPr>
          <w:color w:val="000000"/>
          <w:spacing w:val="0"/>
          <w:w w:val="100"/>
          <w:position w:val="0"/>
        </w:rPr>
        <w:t>五）</w:t>
        <w:tab/>
        <w:t>、送料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07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打开送料阀门，关闭送气阀门，喷送加固浆液。当浆液到达出浆 口后，应喷浆坐底</w:t>
      </w:r>
      <w:r>
        <w:rPr>
          <w:color w:val="000000"/>
          <w:spacing w:val="0"/>
          <w:w w:val="100"/>
          <w:position w:val="0"/>
          <w:sz w:val="42"/>
          <w:szCs w:val="42"/>
        </w:rPr>
        <w:t>30s</w:t>
      </w:r>
      <w:r>
        <w:rPr>
          <w:color w:val="000000"/>
          <w:spacing w:val="0"/>
          <w:w w:val="100"/>
          <w:position w:val="0"/>
        </w:rPr>
        <w:t>，使浆液完全到达桩底端。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54"/>
        </w:tabs>
        <w:bidi w:val="0"/>
        <w:spacing w:before="0" w:after="0" w:line="930" w:lineRule="exact"/>
        <w:ind w:left="0" w:right="0" w:firstLine="0"/>
        <w:jc w:val="both"/>
      </w:pPr>
      <w:bookmarkStart w:id="32" w:name="bookmark32"/>
      <w:r>
        <w:rPr>
          <w:color w:val="000000"/>
          <w:spacing w:val="0"/>
          <w:w w:val="100"/>
          <w:position w:val="0"/>
        </w:rPr>
        <w:t>（</w:t>
      </w:r>
      <w:bookmarkEnd w:id="32"/>
      <w:r>
        <w:rPr>
          <w:color w:val="000000"/>
          <w:spacing w:val="0"/>
          <w:w w:val="100"/>
          <w:position w:val="0"/>
        </w:rPr>
        <w:t>六）</w:t>
        <w:tab/>
        <w:t>、提升钻头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确认加固浆液已到桩底后提升搅拌钻头，一般在桩底停滞</w:t>
      </w:r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color w:val="000000"/>
          <w:spacing w:val="0"/>
          <w:w w:val="100"/>
          <w:position w:val="0"/>
        </w:rPr>
        <w:t>一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4 </w:t>
      </w:r>
      <w:r>
        <w:rPr>
          <w:color w:val="000000"/>
          <w:spacing w:val="0"/>
          <w:w w:val="100"/>
          <w:position w:val="0"/>
        </w:rPr>
        <w:t>分钟，即可保证加固浆液到达桩底，提升到设计标高时停止喷浆，停 止喷浆深度应结合搅拌提升的速度确定。在尚未喷桩的情况下严禁进 行钻机提升工作。搅拌头上提喷浆时的提升速度为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0.5—0.8m/min, </w:t>
      </w:r>
      <w:r>
        <w:rPr>
          <w:color w:val="000000"/>
          <w:spacing w:val="0"/>
          <w:w w:val="100"/>
          <w:position w:val="0"/>
        </w:rPr>
        <w:t>喷浆压力为</w:t>
      </w:r>
      <w:r>
        <w:rPr>
          <w:color w:val="000000"/>
          <w:spacing w:val="0"/>
          <w:w w:val="100"/>
          <w:position w:val="0"/>
          <w:sz w:val="42"/>
          <w:szCs w:val="42"/>
        </w:rPr>
        <w:t>0.4—0.6MPa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32"/>
        </w:tabs>
        <w:bidi w:val="0"/>
        <w:spacing w:before="0" w:after="0" w:line="926" w:lineRule="exact"/>
        <w:ind w:left="0" w:right="0" w:firstLine="0"/>
        <w:jc w:val="both"/>
      </w:pPr>
      <w:bookmarkStart w:id="33" w:name="bookmark33"/>
      <w:r>
        <w:rPr>
          <w:color w:val="000000"/>
          <w:spacing w:val="0"/>
          <w:w w:val="100"/>
          <w:position w:val="0"/>
        </w:rPr>
        <w:t>（</w:t>
      </w:r>
      <w:bookmarkEnd w:id="33"/>
      <w:r>
        <w:rPr>
          <w:color w:val="000000"/>
          <w:spacing w:val="0"/>
          <w:w w:val="100"/>
          <w:position w:val="0"/>
        </w:rPr>
        <w:t>七）</w:t>
        <w:tab/>
        <w:t>、停止提升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both"/>
      </w:pPr>
      <w:bookmarkStart w:id="34" w:name="bookmark34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34"/>
      <w:r>
        <w:rPr>
          <w:color w:val="000000"/>
          <w:spacing w:val="0"/>
          <w:w w:val="100"/>
          <w:position w:val="0"/>
        </w:rPr>
        <w:t>、打开送气阀门，然后关闭送料阀，保持空压机运转，搅拌钻头提 升到桩顶时停止提升，在原位转动两分钟，以保证桩头的均匀密实、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重复搅拌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917" w:lineRule="exact"/>
        <w:ind w:left="0" w:right="0" w:firstLine="0"/>
        <w:jc w:val="both"/>
      </w:pPr>
      <w:bookmarkStart w:id="35" w:name="bookmark35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35"/>
      <w:r>
        <w:rPr>
          <w:color w:val="000000"/>
          <w:spacing w:val="0"/>
          <w:w w:val="100"/>
          <w:position w:val="0"/>
        </w:rPr>
        <w:t>、将搅拌钻头边旋转边向下钻至设计桩底深度，然后再提升出地面 进行第二次搅拌。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（九）、停机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将搅拌钻头提升到地面以上，停止主电机，停止空压机，填写施 工记录。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both"/>
        <w:sectPr>
          <w:type w:val="nextPage"/>
          <w:pgSz w:w="18218" w:h="25258"/>
          <w:pgMar w:top="2347" w:right="2591" w:bottom="2501" w:left="2744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（十）、桩机移位：利用桩机液压系统，将桩机移到下一个桩位施工。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（十一）、搅拌施工完成后，在搅拌桩顶按照设计铺填</w:t>
      </w:r>
      <w:r>
        <w:rPr>
          <w:color w:val="000000"/>
          <w:spacing w:val="0"/>
          <w:w w:val="100"/>
          <w:position w:val="0"/>
          <w:sz w:val="42"/>
          <w:szCs w:val="42"/>
        </w:rPr>
        <w:t>50cm</w:t>
      </w:r>
      <w:r>
        <w:rPr>
          <w:color w:val="000000"/>
          <w:spacing w:val="0"/>
          <w:w w:val="100"/>
          <w:position w:val="0"/>
        </w:rPr>
        <w:t>砂垫层。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bookmarkStart w:id="36" w:name="bookmark36"/>
      <w:bookmarkStart w:id="37" w:name="bookmark37"/>
      <w:bookmarkStart w:id="38" w:name="bookmark38"/>
      <w:r>
        <w:rPr>
          <w:color w:val="000000"/>
          <w:spacing w:val="0"/>
          <w:w w:val="100"/>
          <w:position w:val="0"/>
        </w:rPr>
        <w:t>七搅拌桩施工质量控制</w:t>
      </w:r>
      <w:bookmarkEnd w:id="36"/>
      <w:bookmarkEnd w:id="37"/>
      <w:bookmarkEnd w:id="38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54"/>
        </w:tabs>
        <w:bidi w:val="0"/>
        <w:spacing w:before="0" w:after="0" w:line="938" w:lineRule="exact"/>
        <w:ind w:left="0" w:right="0" w:firstLine="0"/>
        <w:jc w:val="both"/>
      </w:pPr>
      <w:bookmarkStart w:id="39" w:name="bookmark39"/>
      <w:r>
        <w:rPr>
          <w:color w:val="000000"/>
          <w:spacing w:val="0"/>
          <w:w w:val="100"/>
          <w:position w:val="0"/>
        </w:rPr>
        <w:t>（</w:t>
      </w:r>
      <w:bookmarkEnd w:id="39"/>
      <w:r>
        <w:rPr>
          <w:color w:val="000000"/>
          <w:spacing w:val="0"/>
          <w:w w:val="100"/>
          <w:position w:val="0"/>
        </w:rPr>
        <w:t>一）</w:t>
        <w:tab/>
        <w:t>、严格控制水泥等材料质量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按照设计要求选用水泥的品种标号，并采取防潮、防雨淋措施， 坚持先进库的水泥先用，后进库的水泥后用，避免水泥因放置时间长 使标号降低。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54"/>
        </w:tabs>
        <w:bidi w:val="0"/>
        <w:spacing w:before="0" w:after="0" w:line="938" w:lineRule="exact"/>
        <w:ind w:left="0" w:right="0" w:firstLine="0"/>
        <w:jc w:val="both"/>
      </w:pPr>
      <w:bookmarkStart w:id="40" w:name="bookmark40"/>
      <w:r>
        <w:rPr>
          <w:color w:val="000000"/>
          <w:spacing w:val="0"/>
          <w:w w:val="100"/>
          <w:position w:val="0"/>
        </w:rPr>
        <w:t>（</w:t>
      </w:r>
      <w:bookmarkEnd w:id="40"/>
      <w:r>
        <w:rPr>
          <w:color w:val="000000"/>
          <w:spacing w:val="0"/>
          <w:w w:val="100"/>
          <w:position w:val="0"/>
        </w:rPr>
        <w:t>二）</w:t>
        <w:tab/>
        <w:t>、加强管理工作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27"/>
        </w:tabs>
        <w:bidi w:val="0"/>
        <w:spacing w:before="0" w:after="0" w:line="938" w:lineRule="exact"/>
        <w:ind w:left="0" w:right="0" w:firstLine="0"/>
        <w:jc w:val="both"/>
      </w:pPr>
      <w:bookmarkStart w:id="41" w:name="bookmark41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41"/>
      <w:r>
        <w:rPr>
          <w:color w:val="000000"/>
          <w:spacing w:val="0"/>
          <w:w w:val="100"/>
          <w:position w:val="0"/>
        </w:rPr>
        <w:t>、</w:t>
        <w:tab/>
        <w:t>制定具体的施工管理措施和适用的施工方法，对施工人员进行技 术培训、技术交底、使作业人员心中有数。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27"/>
        </w:tabs>
        <w:bidi w:val="0"/>
        <w:spacing w:before="0" w:after="0" w:line="965" w:lineRule="exact"/>
        <w:ind w:left="0" w:right="0" w:firstLine="0"/>
        <w:jc w:val="both"/>
      </w:pPr>
      <w:bookmarkStart w:id="42" w:name="bookmark42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42"/>
      <w:r>
        <w:rPr>
          <w:color w:val="000000"/>
          <w:spacing w:val="0"/>
          <w:w w:val="100"/>
          <w:position w:val="0"/>
        </w:rPr>
        <w:t>、</w:t>
        <w:tab/>
        <w:t>指派技术水平高、精通地基加固知识的技术人员作技术指导或现 场负责，使施工全过程处于规范化、规程化控制状态。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27"/>
        </w:tabs>
        <w:bidi w:val="0"/>
        <w:spacing w:before="0" w:after="0" w:line="938" w:lineRule="exact"/>
        <w:ind w:left="0" w:right="0" w:firstLine="0"/>
        <w:jc w:val="both"/>
      </w:pPr>
      <w:bookmarkStart w:id="43" w:name="bookmark43"/>
      <w:r>
        <w:rPr>
          <w:color w:val="000000"/>
          <w:spacing w:val="0"/>
          <w:w w:val="100"/>
          <w:position w:val="0"/>
          <w:sz w:val="42"/>
          <w:szCs w:val="42"/>
        </w:rPr>
        <w:t>3</w:t>
      </w:r>
      <w:bookmarkEnd w:id="43"/>
      <w:r>
        <w:rPr>
          <w:color w:val="000000"/>
          <w:spacing w:val="0"/>
          <w:w w:val="100"/>
          <w:position w:val="0"/>
        </w:rPr>
        <w:t>、</w:t>
        <w:tab/>
        <w:t>配备完整的制桩设备，具有可靠性和配套性机械，满足设计要求。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54"/>
        </w:tabs>
        <w:bidi w:val="0"/>
        <w:spacing w:before="0" w:after="0" w:line="938" w:lineRule="exact"/>
        <w:ind w:left="0" w:right="0" w:firstLine="0"/>
        <w:jc w:val="both"/>
      </w:pPr>
      <w:bookmarkStart w:id="44" w:name="bookmark44"/>
      <w:r>
        <w:rPr>
          <w:color w:val="000000"/>
          <w:spacing w:val="0"/>
          <w:w w:val="100"/>
          <w:position w:val="0"/>
        </w:rPr>
        <w:t>（</w:t>
      </w:r>
      <w:bookmarkEnd w:id="44"/>
      <w:r>
        <w:rPr>
          <w:color w:val="000000"/>
          <w:spacing w:val="0"/>
          <w:w w:val="100"/>
          <w:position w:val="0"/>
        </w:rPr>
        <w:t>三）</w:t>
        <w:tab/>
        <w:t>、确保加固桩体强度和均匀性。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bookmarkStart w:id="45" w:name="bookmark45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45"/>
      <w:r>
        <w:rPr>
          <w:color w:val="000000"/>
          <w:spacing w:val="0"/>
          <w:w w:val="100"/>
          <w:position w:val="0"/>
        </w:rPr>
        <w:t xml:space="preserve">、施工时派人做好成桩记录，详细记录每根桩的位置、编号、喷浆 </w:t>
      </w:r>
      <w:r>
        <w:rPr>
          <w:color w:val="000000"/>
          <w:spacing w:val="0"/>
          <w:w w:val="100"/>
          <w:position w:val="0"/>
        </w:rPr>
        <w:t>量及喷浆深度复搅深度等，发现问题及时纠正或采取补救措施。 成桩过程派专人监视发送设备，避免输浆管道发生堵塞。严格按要求 控制喷浆量和提升速度，以保证桩体内每一深度均得到充分拌合。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left"/>
      </w:pPr>
      <w:bookmarkStart w:id="46" w:name="bookmark46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46"/>
      <w:r>
        <w:rPr>
          <w:color w:val="000000"/>
          <w:spacing w:val="0"/>
          <w:w w:val="100"/>
          <w:position w:val="0"/>
        </w:rPr>
        <w:t>、为保证成桩直径及搅拌均匀性程度，对使用的钻头定期复核检查， 对直径磨耗过大的钻头进行维修和更换。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left"/>
      </w:pPr>
      <w:bookmarkStart w:id="47" w:name="bookmark47"/>
      <w:r>
        <w:rPr>
          <w:color w:val="000000"/>
          <w:spacing w:val="0"/>
          <w:w w:val="100"/>
          <w:position w:val="0"/>
        </w:rPr>
        <w:t>（</w:t>
      </w:r>
      <w:bookmarkEnd w:id="47"/>
      <w:r>
        <w:rPr>
          <w:color w:val="000000"/>
          <w:spacing w:val="0"/>
          <w:w w:val="100"/>
          <w:position w:val="0"/>
        </w:rPr>
        <w:t>四）、加固效果检查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90"/>
        </w:tabs>
        <w:bidi w:val="0"/>
        <w:spacing w:before="0" w:after="0" w:line="941" w:lineRule="exact"/>
        <w:ind w:left="0" w:right="0" w:firstLine="0"/>
        <w:jc w:val="left"/>
        <w:sectPr>
          <w:type w:val="nextPage"/>
          <w:pgSz w:w="18218" w:h="25258"/>
          <w:pgMar w:top="2347" w:right="2591" w:bottom="2501" w:left="2744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bookmarkStart w:id="48" w:name="bookmark48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48"/>
      <w:r>
        <w:rPr>
          <w:color w:val="000000"/>
          <w:spacing w:val="0"/>
          <w:w w:val="100"/>
          <w:position w:val="0"/>
        </w:rPr>
        <w:t>、</w:t>
        <w:tab/>
        <w:t>在桩的不同部位切取试块，送至试验室分割成与室内试块相同尺 寸的试件，比较相同龄期室内外试块强度。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90"/>
        </w:tabs>
        <w:bidi w:val="0"/>
        <w:spacing w:before="0" w:after="0" w:line="936" w:lineRule="exact"/>
        <w:ind w:left="0" w:right="0" w:firstLine="0"/>
        <w:jc w:val="left"/>
      </w:pPr>
      <w:bookmarkStart w:id="49" w:name="bookmark49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49"/>
      <w:r>
        <w:rPr>
          <w:color w:val="000000"/>
          <w:spacing w:val="0"/>
          <w:w w:val="100"/>
          <w:position w:val="0"/>
        </w:rPr>
        <w:t>、</w:t>
        <w:tab/>
        <w:t>做复合地基荷载试验，实测加固后的复合地基是否符合设计要求。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八、施工管理及注意事项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3"/>
        </w:tabs>
        <w:bidi w:val="0"/>
        <w:spacing w:before="0" w:after="0" w:line="936" w:lineRule="exact"/>
        <w:ind w:left="0" w:right="0" w:firstLine="0"/>
        <w:jc w:val="left"/>
      </w:pPr>
      <w:bookmarkStart w:id="50" w:name="bookmark50"/>
      <w:r>
        <w:rPr>
          <w:color w:val="000000"/>
          <w:spacing w:val="0"/>
          <w:w w:val="100"/>
          <w:position w:val="0"/>
        </w:rPr>
        <w:t>（</w:t>
      </w:r>
      <w:bookmarkEnd w:id="50"/>
      <w:r>
        <w:rPr>
          <w:color w:val="000000"/>
          <w:spacing w:val="0"/>
          <w:w w:val="100"/>
          <w:position w:val="0"/>
        </w:rPr>
        <w:t>一）</w:t>
        <w:tab/>
        <w:t>、施工过程中必须作好施工记录和计量记录，检查重点有：加 固料质量和用量、桩长、制桩过程有无断桩，桩体均匀、搅拌的转速、 提升时间、复搅长度、补桩和补搅等。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3"/>
        </w:tabs>
        <w:bidi w:val="0"/>
        <w:spacing w:before="0" w:after="0" w:line="946" w:lineRule="exact"/>
        <w:ind w:left="0" w:right="0" w:firstLine="0"/>
        <w:jc w:val="left"/>
      </w:pPr>
      <w:bookmarkStart w:id="51" w:name="bookmark51"/>
      <w:r>
        <w:rPr>
          <w:color w:val="000000"/>
          <w:spacing w:val="0"/>
          <w:w w:val="100"/>
          <w:position w:val="0"/>
        </w:rPr>
        <w:t>（</w:t>
      </w:r>
      <w:bookmarkEnd w:id="51"/>
      <w:r>
        <w:rPr>
          <w:color w:val="000000"/>
          <w:spacing w:val="0"/>
          <w:w w:val="100"/>
          <w:position w:val="0"/>
        </w:rPr>
        <w:t>二）</w:t>
        <w:tab/>
        <w:t>、搅拌桩施工应有自动记录桩身长度、单位桩长水泥用量并能 监测水泥是否到达喷浆孔底的自动记量装置。试桩过程中应对该自动 装置进行校核，正式施工过程中应不定期检查。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8"/>
        </w:tabs>
        <w:bidi w:val="0"/>
        <w:spacing w:before="0" w:after="0" w:line="946" w:lineRule="exact"/>
        <w:ind w:left="0" w:right="0" w:firstLine="0"/>
        <w:jc w:val="left"/>
      </w:pPr>
      <w:bookmarkStart w:id="52" w:name="bookmark52"/>
      <w:r>
        <w:rPr>
          <w:color w:val="000000"/>
          <w:spacing w:val="0"/>
          <w:w w:val="100"/>
          <w:position w:val="0"/>
        </w:rPr>
        <w:t>（</w:t>
      </w:r>
      <w:bookmarkEnd w:id="52"/>
      <w:r>
        <w:rPr>
          <w:color w:val="000000"/>
          <w:spacing w:val="0"/>
          <w:w w:val="100"/>
          <w:position w:val="0"/>
        </w:rPr>
        <w:t>三）</w:t>
        <w:tab/>
        <w:t>、施工环保及安全：必须采取有效的措施，防止搅拌桩施工对 环境的污染粉尘、污水、噪音等）和干扰附近既有道路上的车辆正常 行驶。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8"/>
        </w:tabs>
        <w:bidi w:val="0"/>
        <w:spacing w:before="0" w:after="0" w:line="946" w:lineRule="exact"/>
        <w:ind w:left="0" w:right="0" w:firstLine="0"/>
        <w:jc w:val="left"/>
      </w:pPr>
      <w:bookmarkStart w:id="53" w:name="bookmark53"/>
      <w:r>
        <w:rPr>
          <w:color w:val="000000"/>
          <w:spacing w:val="0"/>
          <w:w w:val="100"/>
          <w:position w:val="0"/>
        </w:rPr>
        <w:t>（</w:t>
      </w:r>
      <w:bookmarkEnd w:id="53"/>
      <w:r>
        <w:rPr>
          <w:color w:val="000000"/>
          <w:spacing w:val="0"/>
          <w:w w:val="100"/>
          <w:position w:val="0"/>
        </w:rPr>
        <w:t>四）</w:t>
        <w:tab/>
        <w:t xml:space="preserve">、搅拌桩施工根据施工工艺及工艺性试验确定的操作参数进 行，并随时注意记录压力、喷浆量、钻机钻进与提升速度、孔底电流 </w:t>
      </w:r>
      <w:r>
        <w:rPr>
          <w:color w:val="000000"/>
          <w:spacing w:val="0"/>
          <w:w w:val="100"/>
          <w:position w:val="0"/>
        </w:rPr>
        <w:t>等有关参数。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3"/>
        </w:tabs>
        <w:bidi w:val="0"/>
        <w:spacing w:before="0" w:after="0" w:line="934" w:lineRule="exact"/>
        <w:ind w:left="0" w:right="0" w:firstLine="0"/>
        <w:jc w:val="both"/>
        <w:rPr>
          <w:sz w:val="42"/>
          <w:szCs w:val="42"/>
        </w:rPr>
      </w:pPr>
      <w:bookmarkStart w:id="54" w:name="bookmark54"/>
      <w:r>
        <w:rPr>
          <w:color w:val="000000"/>
          <w:spacing w:val="0"/>
          <w:w w:val="100"/>
          <w:position w:val="0"/>
          <w:sz w:val="38"/>
          <w:szCs w:val="38"/>
        </w:rPr>
        <w:t>（</w:t>
      </w:r>
      <w:bookmarkEnd w:id="54"/>
      <w:r>
        <w:rPr>
          <w:color w:val="000000"/>
          <w:spacing w:val="0"/>
          <w:w w:val="100"/>
          <w:position w:val="0"/>
          <w:sz w:val="38"/>
          <w:szCs w:val="38"/>
        </w:rPr>
        <w:t>五）</w:t>
        <w:tab/>
        <w:t>、施工中应严格控制喷浆、停浆时间、钻进深度、钻机垂直度 及水平位置、停浆面标高、复搅深度等。终钻提升的确定，应以穿透 淤泥层为原则。水泥损耗量不得大于</w:t>
      </w:r>
      <w:r>
        <w:rPr>
          <w:color w:val="000000"/>
          <w:spacing w:val="0"/>
          <w:w w:val="100"/>
          <w:position w:val="0"/>
          <w:sz w:val="42"/>
          <w:szCs w:val="42"/>
        </w:rPr>
        <w:t>2kg/m</w:t>
      </w:r>
      <w:r>
        <w:rPr>
          <w:color w:val="000000"/>
          <w:spacing w:val="0"/>
          <w:w w:val="100"/>
          <w:position w:val="0"/>
          <w:sz w:val="42"/>
          <w:szCs w:val="42"/>
          <w:vertAlign w:val="subscript"/>
        </w:rPr>
        <w:t>o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8"/>
        </w:tabs>
        <w:bidi w:val="0"/>
        <w:spacing w:before="0" w:after="0" w:line="934" w:lineRule="exact"/>
        <w:ind w:left="0" w:right="0" w:firstLine="0"/>
        <w:jc w:val="both"/>
      </w:pPr>
      <w:bookmarkStart w:id="55" w:name="bookmark55"/>
      <w:r>
        <w:rPr>
          <w:color w:val="000000"/>
          <w:spacing w:val="0"/>
          <w:w w:val="100"/>
          <w:position w:val="0"/>
        </w:rPr>
        <w:t>（</w:t>
      </w:r>
      <w:bookmarkEnd w:id="55"/>
      <w:r>
        <w:rPr>
          <w:color w:val="000000"/>
          <w:spacing w:val="0"/>
          <w:w w:val="100"/>
          <w:position w:val="0"/>
        </w:rPr>
        <w:t>六）</w:t>
        <w:tab/>
        <w:t>、施工中不得中途中断喷浆，确保桩长。在尚未到达设计桩底 标高和尚未喷浆的情况下进行钻杆提升作业；若因停电或机械故障等 原因而中断喷浆时，应将钻机下钻至断浆点下不小于</w:t>
      </w:r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</w:rPr>
        <w:t>米的位置，待 恢复供浆时再喷浆提升。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3"/>
        </w:tabs>
        <w:bidi w:val="0"/>
        <w:spacing w:before="0" w:after="0" w:line="934" w:lineRule="exact"/>
        <w:ind w:left="0" w:right="0" w:firstLine="0"/>
        <w:jc w:val="both"/>
      </w:pPr>
      <w:bookmarkStart w:id="56" w:name="bookmark56"/>
      <w:r>
        <w:rPr>
          <w:color w:val="000000"/>
          <w:spacing w:val="0"/>
          <w:w w:val="100"/>
          <w:position w:val="0"/>
        </w:rPr>
        <w:t>（</w:t>
      </w:r>
      <w:bookmarkEnd w:id="56"/>
      <w:r>
        <w:rPr>
          <w:color w:val="000000"/>
          <w:spacing w:val="0"/>
          <w:w w:val="100"/>
          <w:position w:val="0"/>
        </w:rPr>
        <w:t>七）</w:t>
        <w:tab/>
        <w:t>、按设计的喷浆量喷浆，施工中发现喷浆量不足时，应及时对</w:t>
      </w:r>
      <w:r>
        <w:rPr>
          <w:color w:val="000000"/>
          <w:spacing w:val="0"/>
          <w:w w:val="100"/>
          <w:position w:val="0"/>
        </w:rPr>
        <w:t xml:space="preserve"> 原桩复钻复喷，复喷的喷浆量仍不应小于设计用量。施工过程中应随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https://d.book118.com/907023012200006050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3"/>
        </w:tabs>
        <w:bidi w:val="0"/>
        <w:spacing w:before="0" w:after="0" w:line="934" w:lineRule="exact"/>
        <w:ind w:left="0" w:right="0" w:firstLine="0"/>
        <w:jc w:val="both"/>
      </w:pPr>
    </w:p>
    <w:sectPr>
      <w:type w:val="nextPage"/>
      <w:pgSz w:w="18218" w:h="25258"/>
      <w:pgMar w:top="2347" w:right="2591" w:bottom="2501" w:left="2744" w:header="0" w:footer="3" w:gutter="0"/>
      <w:pgNumType w:start="11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CBF0C41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4C71260C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5A0F9FB5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721A70C9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7D32837E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标题 #3_"/>
    <w:basedOn w:val="DefaultParagraphFont"/>
    <w:link w:val="31"/>
    <w:rPr>
      <w:rFonts w:ascii="SimSun" w:eastAsia="SimSun" w:hAnsi="SimSun" w:cs="SimSun"/>
      <w:b/>
      <w:bCs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a0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2">
    <w:name w:val="图片标题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3"/>
    <w:rPr>
      <w:rFonts w:ascii="SimHei" w:eastAsia="SimHei" w:hAnsi="SimHei" w:cs="SimHei"/>
      <w:b/>
      <w:bCs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/>
      <w:bCs/>
      <w:i w:val="0"/>
      <w:iCs w:val="0"/>
      <w:smallCaps w:val="0"/>
      <w:strike w:val="0"/>
      <w:sz w:val="70"/>
      <w:szCs w:val="70"/>
      <w:u w:val="none"/>
      <w:shd w:val="clear" w:color="auto" w:fill="auto"/>
    </w:rPr>
  </w:style>
  <w:style w:type="character" w:customStyle="1" w:styleId="21">
    <w:name w:val="标题 #2_"/>
    <w:basedOn w:val="DefaultParagraphFont"/>
    <w:link w:val="24"/>
    <w:rPr>
      <w:rFonts w:ascii="SimHei" w:eastAsia="SimHei" w:hAnsi="SimHei" w:cs="SimHei"/>
      <w:b/>
      <w:bCs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line="940" w:lineRule="exact"/>
      <w:ind w:firstLine="16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line="480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  <w:spacing w:line="480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a5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22">
    <w:name w:val="图片标题 (2)"/>
    <w:basedOn w:val="Normal"/>
    <w:link w:val="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23">
    <w:name w:val="正文文本 (2)"/>
    <w:basedOn w:val="Normal"/>
    <w:link w:val="20"/>
    <w:pPr>
      <w:widowControl w:val="0"/>
      <w:shd w:val="clear" w:color="auto" w:fill="auto"/>
      <w:spacing w:after="790" w:line="840" w:lineRule="exact"/>
      <w:jc w:val="center"/>
    </w:pPr>
    <w:rPr>
      <w:rFonts w:ascii="SimHei" w:eastAsia="SimHei" w:hAnsi="SimHei" w:cs="SimHei"/>
      <w:b/>
      <w:bCs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700"/>
      <w:jc w:val="center"/>
      <w:outlineLvl w:val="0"/>
    </w:pPr>
    <w:rPr>
      <w:rFonts w:ascii="SimHei" w:eastAsia="SimHei" w:hAnsi="SimHei" w:cs="SimHei"/>
      <w:b/>
      <w:bCs/>
      <w:i w:val="0"/>
      <w:iCs w:val="0"/>
      <w:smallCaps w:val="0"/>
      <w:strike w:val="0"/>
      <w:sz w:val="70"/>
      <w:szCs w:val="70"/>
      <w:u w:val="none"/>
      <w:shd w:val="clear" w:color="auto" w:fill="auto"/>
    </w:rPr>
  </w:style>
  <w:style w:type="paragraph" w:customStyle="1" w:styleId="24">
    <w:name w:val="标题 #2"/>
    <w:basedOn w:val="Normal"/>
    <w:link w:val="21"/>
    <w:pPr>
      <w:widowControl w:val="0"/>
      <w:shd w:val="clear" w:color="auto" w:fill="auto"/>
      <w:spacing w:after="1850"/>
      <w:ind w:left="3820"/>
      <w:outlineLvl w:val="1"/>
    </w:pPr>
    <w:rPr>
      <w:rFonts w:ascii="SimHei" w:eastAsia="SimHei" w:hAnsi="SimHei" w:cs="SimHei"/>
      <w:b/>
      <w:bCs/>
      <w:i w:val="0"/>
      <w:iCs w:val="0"/>
      <w:smallCaps w:val="0"/>
      <w:strike w:val="0"/>
      <w:sz w:val="52"/>
      <w:szCs w:val="5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90702301220000605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