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SPB项目建设总纲及方案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30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_Toc18304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82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_Toc7182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_Toc25683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_Toc24426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37" w:history="1">
        <w:r>
          <w:rPr>
            <w:rFonts w:ascii="仿宋" w:eastAsia="仿宋" w:hAnsi="仿宋" w:cs="仿宋" w:hint="eastAsia"/>
            <w:lang w:eastAsia="zh-CN"/>
          </w:rPr>
          <w:t>二、SPB项目概论</w:t>
        </w:r>
        <w:r>
          <w:tab/>
        </w:r>
        <w:r>
          <w:fldChar w:fldCharType="begin"/>
        </w:r>
        <w:r>
          <w:instrText xml:space="preserve"> PAGEREF _Toc16737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_Toc29946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_Toc5154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80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_Toc30080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_Toc3797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_Toc23739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_Toc28366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_Toc10485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51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_Toc15951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_Toc13316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_Toc28169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1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_Toc31041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77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_Toc19377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_Toc22595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_Toc18011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_Toc8795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34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_Toc13934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_Toc28976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4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_Toc20074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_Toc30437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1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_Toc17131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6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_Toc15526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_Toc27514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15" w:history="1">
        <w:r>
          <w:rPr>
            <w:rFonts w:ascii="仿宋" w:eastAsia="仿宋" w:hAnsi="仿宋" w:cs="仿宋" w:hint="eastAsia"/>
            <w:lang w:eastAsia="zh-CN"/>
          </w:rPr>
          <w:t>八、环境保护与绿色发展</w:t>
        </w:r>
        <w:r>
          <w:tab/>
        </w:r>
        <w:r>
          <w:fldChar w:fldCharType="begin"/>
        </w:r>
        <w:r>
          <w:instrText xml:space="preserve"> PAGEREF _Toc10915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6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_Toc27436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5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_Toc19635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32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_Toc10032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8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_Toc8498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_Toc17068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7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_Toc27627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47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_Toc21147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7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_Toc5367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_Toc20876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69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_Toc7169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_Toc23157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_Toc10837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_Toc10992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24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_Toc25240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_Toc12453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_Toc17187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_Toc17063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14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_Toc22614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5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_Toc28425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_Toc9821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_Toc17930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_Toc11834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3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_Toc6003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5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_Toc20505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_Toc31782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72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_Toc7472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_Toc5361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_Toc32189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_Toc28957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7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_Toc29667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70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_Toc25170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_Toc19056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_Toc28873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35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_Toc14035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_Toc31205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_Toc28622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_Toc5283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_Toc1703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16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_Toc29316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_Toc32480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_Toc26851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0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_Toc16580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_Toc28113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_Toc9547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1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_Toc27881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_Toc3614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6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_Toc15296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30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182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683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SPB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426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6737"/>
      <w:r>
        <w:rPr>
          <w:rFonts w:ascii="仿宋" w:eastAsia="仿宋" w:hAnsi="仿宋" w:cs="仿宋" w:hint="eastAsia"/>
          <w:sz w:val="28"/>
          <w:lang w:eastAsia="zh-CN"/>
        </w:rPr>
        <w:t>二、SPB项目概论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994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SPB项目的申报单位是“XXX实业发展公司”，这是一家在其所处行业内备受尊敬的企业。公司自成立以来，通过其在SPB项目中表现出的创新精神和卓越执行力，在市场上赢得了显著的地位。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该公司的法定代表人秦XX，在SPB项目及其他多个行业领域中都有着显著的贡献。秦XX以其出色的领导才能和敏锐的商业洞察力，带领公司在SPB项目等多个领域实现了持续的成长和成功。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SPB项目的重要合作伙伴。公司专注于[行业名称]领域，以创新作为驱动力，不断推动技术进步和市场扩张。在SPB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SPB项目中展现了强劲的增长和稳定的财务表现。公司通过有效的策略，在SPB项目中扩大了其市场份额并增强了盈利能力。同时，公司积极承担社会责任，参与各类社会公益项目，增强了其在SPB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154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SPB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SPB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0080"/>
      <w:r>
        <w:rPr>
          <w:rFonts w:ascii="仿宋" w:eastAsia="仿宋" w:hAnsi="仿宋" w:cs="仿宋" w:hint="eastAsia"/>
          <w:sz w:val="28"/>
          <w:lang w:eastAsia="zh-CN"/>
        </w:rPr>
        <w:t>三、经济影响分析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797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直接收益：假设SPB项目的产品或服务年销售收入为XX万元。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净现值（NPV）是评估项目总收益与总成本现值的差额。假设项目预计持续XX年，每年的净收益为（年直接收益</w:t>
      </w:r>
      <w:r>
        <w:rPr>
          <w:rFonts w:ascii="仿宋" w:eastAsia="仿宋" w:hAnsi="仿宋" w:cs="仿宋" w:hint="eastAsia"/>
          <w:sz w:val="28"/>
          <w:lang w:eastAsia="zh-CN"/>
        </w:rPr>
        <w:t xml:space="preserve"> 年运营成本），折现率假定为XX%，则NPV计算为：NPV</w:t>
      </w:r>
      <w:r>
        <w:rPr>
          <w:rFonts w:ascii="仿宋" w:eastAsia="仿宋" w:hAnsi="仿宋" w:cs="仿宋" w:hint="eastAsia"/>
          <w:sz w:val="28"/>
          <w:lang w:eastAsia="zh-CN"/>
        </w:rPr>
        <w:t xml:space="preserve"> =</w:t>
      </w:r>
      <w:r>
        <w:rPr>
          <w:rFonts w:ascii="仿宋" w:eastAsia="仿宋" w:hAnsi="仿宋" w:cs="仿宋" w:hint="eastAsia"/>
          <w:sz w:val="28"/>
          <w:lang w:eastAsia="zh-CN"/>
        </w:rPr>
        <w:t xml:space="preserve"> ∑</w:t>
      </w:r>
      <w:r>
        <w:rPr>
          <w:rFonts w:ascii="仿宋" w:eastAsia="仿宋" w:hAnsi="仿宋" w:cs="仿宋" w:hint="eastAsia"/>
          <w:sz w:val="28"/>
          <w:lang w:eastAsia="zh-CN"/>
        </w:rPr>
        <w:t xml:space="preserve"> [（年净收益）</w:t>
      </w:r>
      <w:r>
        <w:rPr>
          <w:rFonts w:ascii="仿宋" w:eastAsia="仿宋" w:hAnsi="仿宋" w:cs="仿宋" w:hint="eastAsia"/>
          <w:sz w:val="28"/>
          <w:lang w:eastAsia="zh-CN"/>
        </w:rPr>
        <w:t xml:space="preserve"> /</w:t>
      </w:r>
      <w:r>
        <w:rPr>
          <w:rFonts w:ascii="仿宋" w:eastAsia="仿宋" w:hAnsi="仿宋" w:cs="仿宋" w:hint="eastAsia"/>
          <w:sz w:val="28"/>
          <w:lang w:eastAsia="zh-CN"/>
        </w:rPr>
        <w:t xml:space="preserve"> （1</w:t>
      </w:r>
      <w:r>
        <w:rPr>
          <w:rFonts w:ascii="仿宋" w:eastAsia="仿宋" w:hAnsi="仿宋" w:cs="仿宋" w:hint="eastAsia"/>
          <w:sz w:val="28"/>
          <w:lang w:eastAsia="zh-CN"/>
        </w:rPr>
        <w:t xml:space="preserve"> +</w:t>
      </w:r>
      <w:r>
        <w:rPr>
          <w:rFonts w:ascii="仿宋" w:eastAsia="仿宋" w:hAnsi="仿宋" w:cs="仿宋" w:hint="eastAsia"/>
          <w:sz w:val="28"/>
          <w:lang w:eastAsia="zh-CN"/>
        </w:rPr>
        <w:t xml:space="preserve"> 折现率）^年份]</w:t>
      </w:r>
      <w:r>
        <w:rPr>
          <w:rFonts w:ascii="仿宋" w:eastAsia="仿宋" w:hAnsi="仿宋" w:cs="仿宋" w:hint="eastAsia"/>
          <w:sz w:val="28"/>
          <w:lang w:eastAsia="zh-CN"/>
        </w:rPr>
        <w:t xml:space="preserve">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风险和灵敏度分析：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风险分析包括考虑市场波动、成本超支和收入不达预期等因素对项目经济效益的影响。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灵敏度分析则涉及改变关键假设（如销售收入、原材料成本、能源价格）来观察NPV和IRR的变化，从而评估这些变量对项目经济效益的影响程度。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长期效益与可持续性考虑：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除了直接的经济效益，项目的长期效益，如提升品牌形象、增强市场竞争力和推动行业创新，虽难以量化，但对企业的长期发展极为重要。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可持续性考虑包括项目对环境和社会的积极影响，如减少环境污染、创造就业机会和促进地区经济发展，这些效益虽不直接体现在财务报表上，却对企业的社会责任和长期可持续性至关重要。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3739"/>
      <w:r>
        <w:rPr>
          <w:rFonts w:ascii="仿宋" w:eastAsia="仿宋" w:hAnsi="仿宋" w:cs="仿宋" w:hint="eastAsia"/>
          <w:sz w:val="28"/>
          <w:lang w:eastAsia="zh-CN"/>
        </w:rPr>
        <w:t>(二)、行业影响分析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竞争格局变化：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https://d.book118.com/907034165125006040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SPB项目建设总纲及方案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4659FD"/>
    <w:rsid w:val="0F4659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07034165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2024-02-03T06:11:00Z</dcterms:created>
  <dcterms:modified xsi:type="dcterms:W3CDTF">2024-02-03T06:11:27Z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96387FA3B4754C12B29E67CE87A27BE5_11</vt:lpwstr>
  </property>
  <property fmtid="{D5CDD505-2E9C-101B-9397-08002B2CF9AE}" pid="3" name="KSOProductBuildVer">
    <vt:lpwstr>2052-12.1.0.16250</vt:lpwstr>
  </property>
</Properties>
</file>