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生物农药及微生物农药项目规划设计方案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04" w:history="1">
        <w:r>
          <w:rPr>
            <w:rFonts w:ascii="仿宋" w:eastAsia="仿宋" w:hAnsi="仿宋" w:cs="仿宋" w:hint="eastAsia"/>
            <w:lang w:eastAsia="zh-CN"/>
          </w:rPr>
          <w:t>概论</w:t>
        </w:r>
        <w:r>
          <w:tab/>
        </w:r>
        <w:r>
          <w:fldChar w:fldCharType="begin"/>
        </w:r>
        <w:r>
          <w:instrText xml:space="preserve"> PAGEREF _Toc24204 \h </w:instrText>
        </w:r>
        <w:r>
          <w:fldChar w:fldCharType="separate"/>
        </w:r>
        <w:r>
          <w:t>3</w:t>
        </w:r>
        <w:r>
          <w:fldChar w:fldCharType="end"/>
        </w:r>
      </w:hyperlink>
    </w:p>
    <w:p>
      <w:pPr>
        <w:pStyle w:val="TOC1"/>
        <w:tabs>
          <w:tab w:val="right" w:leader="dot" w:pos="8306"/>
        </w:tabs>
      </w:pPr>
      <w:hyperlink w:anchor="_Toc17183" w:history="1">
        <w:r>
          <w:rPr>
            <w:rFonts w:ascii="仿宋" w:eastAsia="仿宋" w:hAnsi="仿宋" w:cs="仿宋" w:hint="eastAsia"/>
            <w:lang w:eastAsia="zh-CN"/>
          </w:rPr>
          <w:t>一、生物农药及微生物农药项目可持续发展</w:t>
        </w:r>
        <w:r>
          <w:tab/>
        </w:r>
        <w:r>
          <w:fldChar w:fldCharType="begin"/>
        </w:r>
        <w:r>
          <w:instrText xml:space="preserve"> PAGEREF _Toc17183 \h </w:instrText>
        </w:r>
        <w:r>
          <w:fldChar w:fldCharType="separate"/>
        </w:r>
        <w:r>
          <w:t>3</w:t>
        </w:r>
        <w:r>
          <w:fldChar w:fldCharType="end"/>
        </w:r>
      </w:hyperlink>
    </w:p>
    <w:p>
      <w:pPr>
        <w:pStyle w:val="TOC2"/>
        <w:tabs>
          <w:tab w:val="right" w:leader="dot" w:pos="8306"/>
        </w:tabs>
      </w:pPr>
      <w:hyperlink w:anchor="_Toc6600" w:history="1">
        <w:r>
          <w:rPr>
            <w:rFonts w:ascii="仿宋" w:eastAsia="仿宋" w:hAnsi="仿宋" w:cs="仿宋" w:hint="eastAsia"/>
            <w:lang w:eastAsia="zh-CN"/>
          </w:rPr>
          <w:t>(一)、可持续战略与实践</w:t>
        </w:r>
        <w:r>
          <w:tab/>
        </w:r>
        <w:r>
          <w:fldChar w:fldCharType="begin"/>
        </w:r>
        <w:r>
          <w:instrText xml:space="preserve"> PAGEREF _Toc6600 \h </w:instrText>
        </w:r>
        <w:r>
          <w:fldChar w:fldCharType="separate"/>
        </w:r>
        <w:r>
          <w:t>3</w:t>
        </w:r>
        <w:r>
          <w:fldChar w:fldCharType="end"/>
        </w:r>
      </w:hyperlink>
    </w:p>
    <w:p>
      <w:pPr>
        <w:pStyle w:val="TOC2"/>
        <w:tabs>
          <w:tab w:val="right" w:leader="dot" w:pos="8306"/>
        </w:tabs>
      </w:pPr>
      <w:hyperlink w:anchor="_Toc29012" w:history="1">
        <w:r>
          <w:rPr>
            <w:rFonts w:ascii="仿宋" w:eastAsia="仿宋" w:hAnsi="仿宋" w:cs="仿宋" w:hint="eastAsia"/>
            <w:lang w:eastAsia="zh-CN"/>
          </w:rPr>
          <w:t>(二)、环保与社会责任</w:t>
        </w:r>
        <w:r>
          <w:tab/>
        </w:r>
        <w:r>
          <w:fldChar w:fldCharType="begin"/>
        </w:r>
        <w:r>
          <w:instrText xml:space="preserve"> PAGEREF _Toc29012 \h </w:instrText>
        </w:r>
        <w:r>
          <w:fldChar w:fldCharType="separate"/>
        </w:r>
        <w:r>
          <w:t>4</w:t>
        </w:r>
        <w:r>
          <w:fldChar w:fldCharType="end"/>
        </w:r>
      </w:hyperlink>
    </w:p>
    <w:p>
      <w:pPr>
        <w:pStyle w:val="TOC1"/>
        <w:tabs>
          <w:tab w:val="right" w:leader="dot" w:pos="8306"/>
        </w:tabs>
      </w:pPr>
      <w:hyperlink w:anchor="_Toc24069" w:history="1">
        <w:r>
          <w:rPr>
            <w:rFonts w:ascii="仿宋" w:eastAsia="仿宋" w:hAnsi="仿宋" w:cs="仿宋" w:hint="eastAsia"/>
            <w:lang w:eastAsia="zh-CN"/>
          </w:rPr>
          <w:t>二、生物农药及微生物农药项目文档管理</w:t>
        </w:r>
        <w:r>
          <w:tab/>
        </w:r>
        <w:r>
          <w:fldChar w:fldCharType="begin"/>
        </w:r>
        <w:r>
          <w:instrText xml:space="preserve"> PAGEREF _Toc24069 \h </w:instrText>
        </w:r>
        <w:r>
          <w:fldChar w:fldCharType="separate"/>
        </w:r>
        <w:r>
          <w:t>5</w:t>
        </w:r>
        <w:r>
          <w:fldChar w:fldCharType="end"/>
        </w:r>
      </w:hyperlink>
    </w:p>
    <w:p>
      <w:pPr>
        <w:pStyle w:val="TOC2"/>
        <w:tabs>
          <w:tab w:val="right" w:leader="dot" w:pos="8306"/>
        </w:tabs>
      </w:pPr>
      <w:hyperlink w:anchor="_Toc27682" w:history="1">
        <w:r>
          <w:rPr>
            <w:rFonts w:ascii="仿宋" w:eastAsia="仿宋" w:hAnsi="仿宋" w:cs="仿宋" w:hint="eastAsia"/>
            <w:lang w:eastAsia="zh-CN"/>
          </w:rPr>
          <w:t>(一)、文档编制与审查</w:t>
        </w:r>
        <w:r>
          <w:tab/>
        </w:r>
        <w:r>
          <w:fldChar w:fldCharType="begin"/>
        </w:r>
        <w:r>
          <w:instrText xml:space="preserve"> PAGEREF _Toc27682 \h </w:instrText>
        </w:r>
        <w:r>
          <w:fldChar w:fldCharType="separate"/>
        </w:r>
        <w:r>
          <w:t>5</w:t>
        </w:r>
        <w:r>
          <w:fldChar w:fldCharType="end"/>
        </w:r>
      </w:hyperlink>
    </w:p>
    <w:p>
      <w:pPr>
        <w:pStyle w:val="TOC2"/>
        <w:tabs>
          <w:tab w:val="right" w:leader="dot" w:pos="8306"/>
        </w:tabs>
      </w:pPr>
      <w:hyperlink w:anchor="_Toc31408" w:history="1">
        <w:r>
          <w:rPr>
            <w:rFonts w:ascii="仿宋" w:eastAsia="仿宋" w:hAnsi="仿宋" w:cs="仿宋" w:hint="eastAsia"/>
            <w:lang w:eastAsia="zh-CN"/>
          </w:rPr>
          <w:t>(二)、文档发布与分发</w:t>
        </w:r>
        <w:r>
          <w:tab/>
        </w:r>
        <w:r>
          <w:fldChar w:fldCharType="begin"/>
        </w:r>
        <w:r>
          <w:instrText xml:space="preserve"> PAGEREF _Toc31408 \h </w:instrText>
        </w:r>
        <w:r>
          <w:fldChar w:fldCharType="separate"/>
        </w:r>
        <w:r>
          <w:t>6</w:t>
        </w:r>
        <w:r>
          <w:fldChar w:fldCharType="end"/>
        </w:r>
      </w:hyperlink>
    </w:p>
    <w:p>
      <w:pPr>
        <w:pStyle w:val="TOC2"/>
        <w:tabs>
          <w:tab w:val="right" w:leader="dot" w:pos="8306"/>
        </w:tabs>
      </w:pPr>
      <w:hyperlink w:anchor="_Toc17417" w:history="1">
        <w:r>
          <w:rPr>
            <w:rFonts w:ascii="仿宋" w:eastAsia="仿宋" w:hAnsi="仿宋" w:cs="仿宋" w:hint="eastAsia"/>
            <w:lang w:eastAsia="zh-CN"/>
          </w:rPr>
          <w:t>(三)、文档存档与归档</w:t>
        </w:r>
        <w:r>
          <w:tab/>
        </w:r>
        <w:r>
          <w:fldChar w:fldCharType="begin"/>
        </w:r>
        <w:r>
          <w:instrText xml:space="preserve"> PAGEREF _Toc17417 \h </w:instrText>
        </w:r>
        <w:r>
          <w:fldChar w:fldCharType="separate"/>
        </w:r>
        <w:r>
          <w:t>7</w:t>
        </w:r>
        <w:r>
          <w:fldChar w:fldCharType="end"/>
        </w:r>
      </w:hyperlink>
    </w:p>
    <w:p>
      <w:pPr>
        <w:pStyle w:val="TOC1"/>
        <w:tabs>
          <w:tab w:val="right" w:leader="dot" w:pos="8306"/>
        </w:tabs>
      </w:pPr>
      <w:hyperlink w:anchor="_Toc27107" w:history="1">
        <w:r>
          <w:rPr>
            <w:rFonts w:ascii="仿宋" w:eastAsia="仿宋" w:hAnsi="仿宋" w:cs="仿宋" w:hint="eastAsia"/>
            <w:lang w:eastAsia="zh-CN"/>
          </w:rPr>
          <w:t>三、生物农药及微生物农药项目绩效评估</w:t>
        </w:r>
        <w:r>
          <w:tab/>
        </w:r>
        <w:r>
          <w:fldChar w:fldCharType="begin"/>
        </w:r>
        <w:r>
          <w:instrText xml:space="preserve"> PAGEREF _Toc27107 \h </w:instrText>
        </w:r>
        <w:r>
          <w:fldChar w:fldCharType="separate"/>
        </w:r>
        <w:r>
          <w:t>8</w:t>
        </w:r>
        <w:r>
          <w:fldChar w:fldCharType="end"/>
        </w:r>
      </w:hyperlink>
    </w:p>
    <w:p>
      <w:pPr>
        <w:pStyle w:val="TOC2"/>
        <w:tabs>
          <w:tab w:val="right" w:leader="dot" w:pos="8306"/>
        </w:tabs>
      </w:pPr>
      <w:hyperlink w:anchor="_Toc4053" w:history="1">
        <w:r>
          <w:rPr>
            <w:rFonts w:ascii="仿宋" w:eastAsia="仿宋" w:hAnsi="仿宋" w:cs="仿宋" w:hint="eastAsia"/>
            <w:lang w:eastAsia="zh-CN"/>
          </w:rPr>
          <w:t>(一)、绩效评估指标</w:t>
        </w:r>
        <w:r>
          <w:tab/>
        </w:r>
        <w:r>
          <w:fldChar w:fldCharType="begin"/>
        </w:r>
        <w:r>
          <w:instrText xml:space="preserve"> PAGEREF _Toc4053 \h </w:instrText>
        </w:r>
        <w:r>
          <w:fldChar w:fldCharType="separate"/>
        </w:r>
        <w:r>
          <w:t>8</w:t>
        </w:r>
        <w:r>
          <w:fldChar w:fldCharType="end"/>
        </w:r>
      </w:hyperlink>
    </w:p>
    <w:p>
      <w:pPr>
        <w:pStyle w:val="TOC2"/>
        <w:tabs>
          <w:tab w:val="right" w:leader="dot" w:pos="8306"/>
        </w:tabs>
      </w:pPr>
      <w:hyperlink w:anchor="_Toc16369" w:history="1">
        <w:r>
          <w:rPr>
            <w:rFonts w:ascii="仿宋" w:eastAsia="仿宋" w:hAnsi="仿宋" w:cs="仿宋" w:hint="eastAsia"/>
            <w:lang w:eastAsia="zh-CN"/>
          </w:rPr>
          <w:t>(二)、绩效评估方法</w:t>
        </w:r>
        <w:r>
          <w:tab/>
        </w:r>
        <w:r>
          <w:fldChar w:fldCharType="begin"/>
        </w:r>
        <w:r>
          <w:instrText xml:space="preserve"> PAGEREF _Toc16369 \h </w:instrText>
        </w:r>
        <w:r>
          <w:fldChar w:fldCharType="separate"/>
        </w:r>
        <w:r>
          <w:t>10</w:t>
        </w:r>
        <w:r>
          <w:fldChar w:fldCharType="end"/>
        </w:r>
      </w:hyperlink>
    </w:p>
    <w:p>
      <w:pPr>
        <w:pStyle w:val="TOC2"/>
        <w:tabs>
          <w:tab w:val="right" w:leader="dot" w:pos="8306"/>
        </w:tabs>
      </w:pPr>
      <w:hyperlink w:anchor="_Toc20600" w:history="1">
        <w:r>
          <w:rPr>
            <w:rFonts w:ascii="仿宋" w:eastAsia="仿宋" w:hAnsi="仿宋" w:cs="仿宋" w:hint="eastAsia"/>
            <w:lang w:eastAsia="zh-CN"/>
          </w:rPr>
          <w:t>(三)、绩效评估周期</w:t>
        </w:r>
        <w:r>
          <w:tab/>
        </w:r>
        <w:r>
          <w:fldChar w:fldCharType="begin"/>
        </w:r>
        <w:r>
          <w:instrText xml:space="preserve"> PAGEREF _Toc20600 \h </w:instrText>
        </w:r>
        <w:r>
          <w:fldChar w:fldCharType="separate"/>
        </w:r>
        <w:r>
          <w:t>11</w:t>
        </w:r>
        <w:r>
          <w:fldChar w:fldCharType="end"/>
        </w:r>
      </w:hyperlink>
    </w:p>
    <w:p>
      <w:pPr>
        <w:pStyle w:val="TOC1"/>
        <w:tabs>
          <w:tab w:val="right" w:leader="dot" w:pos="8306"/>
        </w:tabs>
      </w:pPr>
      <w:hyperlink w:anchor="_Toc26691" w:history="1">
        <w:r>
          <w:rPr>
            <w:rFonts w:ascii="仿宋" w:eastAsia="仿宋" w:hAnsi="仿宋" w:cs="仿宋" w:hint="eastAsia"/>
            <w:lang w:eastAsia="zh-CN"/>
          </w:rPr>
          <w:t>四、工艺说明</w:t>
        </w:r>
        <w:r>
          <w:tab/>
        </w:r>
        <w:r>
          <w:fldChar w:fldCharType="begin"/>
        </w:r>
        <w:r>
          <w:instrText xml:space="preserve"> PAGEREF _Toc26691 \h </w:instrText>
        </w:r>
        <w:r>
          <w:fldChar w:fldCharType="separate"/>
        </w:r>
        <w:r>
          <w:t>12</w:t>
        </w:r>
        <w:r>
          <w:fldChar w:fldCharType="end"/>
        </w:r>
      </w:hyperlink>
    </w:p>
    <w:p>
      <w:pPr>
        <w:pStyle w:val="TOC2"/>
        <w:tabs>
          <w:tab w:val="right" w:leader="dot" w:pos="8306"/>
        </w:tabs>
      </w:pPr>
      <w:hyperlink w:anchor="_Toc238" w:history="1">
        <w:r>
          <w:rPr>
            <w:rFonts w:ascii="仿宋" w:eastAsia="仿宋" w:hAnsi="仿宋" w:cs="仿宋" w:hint="eastAsia"/>
            <w:lang w:eastAsia="zh-CN"/>
          </w:rPr>
          <w:t>(一)、技术管理特点</w:t>
        </w:r>
        <w:r>
          <w:tab/>
        </w:r>
        <w:r>
          <w:fldChar w:fldCharType="begin"/>
        </w:r>
        <w:r>
          <w:instrText xml:space="preserve"> PAGEREF _Toc238 \h </w:instrText>
        </w:r>
        <w:r>
          <w:fldChar w:fldCharType="separate"/>
        </w:r>
        <w:r>
          <w:t>12</w:t>
        </w:r>
        <w:r>
          <w:fldChar w:fldCharType="end"/>
        </w:r>
      </w:hyperlink>
    </w:p>
    <w:p>
      <w:pPr>
        <w:pStyle w:val="TOC2"/>
        <w:tabs>
          <w:tab w:val="right" w:leader="dot" w:pos="8306"/>
        </w:tabs>
      </w:pPr>
      <w:hyperlink w:anchor="_Toc8760" w:history="1">
        <w:r>
          <w:rPr>
            <w:rFonts w:ascii="仿宋" w:eastAsia="仿宋" w:hAnsi="仿宋" w:cs="仿宋" w:hint="eastAsia"/>
            <w:lang w:eastAsia="zh-CN"/>
          </w:rPr>
          <w:t>(二)、生物农药及微生物农药项目工艺技术设计方案</w:t>
        </w:r>
        <w:r>
          <w:tab/>
        </w:r>
        <w:r>
          <w:fldChar w:fldCharType="begin"/>
        </w:r>
        <w:r>
          <w:instrText xml:space="preserve"> PAGEREF _Toc8760 \h </w:instrText>
        </w:r>
        <w:r>
          <w:fldChar w:fldCharType="separate"/>
        </w:r>
        <w:r>
          <w:t>13</w:t>
        </w:r>
        <w:r>
          <w:fldChar w:fldCharType="end"/>
        </w:r>
      </w:hyperlink>
    </w:p>
    <w:p>
      <w:pPr>
        <w:pStyle w:val="TOC2"/>
        <w:tabs>
          <w:tab w:val="right" w:leader="dot" w:pos="8306"/>
        </w:tabs>
      </w:pPr>
      <w:hyperlink w:anchor="_Toc6695" w:history="1">
        <w:r>
          <w:rPr>
            <w:rFonts w:ascii="仿宋" w:eastAsia="仿宋" w:hAnsi="仿宋" w:cs="仿宋" w:hint="eastAsia"/>
            <w:lang w:eastAsia="zh-CN"/>
          </w:rPr>
          <w:t>(三)、设备选型方案</w:t>
        </w:r>
        <w:r>
          <w:tab/>
        </w:r>
        <w:r>
          <w:fldChar w:fldCharType="begin"/>
        </w:r>
        <w:r>
          <w:instrText xml:space="preserve"> PAGEREF _Toc6695 \h </w:instrText>
        </w:r>
        <w:r>
          <w:fldChar w:fldCharType="separate"/>
        </w:r>
        <w:r>
          <w:t>14</w:t>
        </w:r>
        <w:r>
          <w:fldChar w:fldCharType="end"/>
        </w:r>
      </w:hyperlink>
    </w:p>
    <w:p>
      <w:pPr>
        <w:pStyle w:val="TOC1"/>
        <w:tabs>
          <w:tab w:val="right" w:leader="dot" w:pos="8306"/>
        </w:tabs>
      </w:pPr>
      <w:hyperlink w:anchor="_Toc1509" w:history="1">
        <w:r>
          <w:rPr>
            <w:rFonts w:ascii="仿宋" w:eastAsia="仿宋" w:hAnsi="仿宋" w:cs="仿宋" w:hint="eastAsia"/>
            <w:lang w:eastAsia="zh-CN"/>
          </w:rPr>
          <w:t>五、生物农药及微生物农药项目概论</w:t>
        </w:r>
        <w:r>
          <w:tab/>
        </w:r>
        <w:r>
          <w:fldChar w:fldCharType="begin"/>
        </w:r>
        <w:r>
          <w:instrText xml:space="preserve"> PAGEREF _Toc1509 \h </w:instrText>
        </w:r>
        <w:r>
          <w:fldChar w:fldCharType="separate"/>
        </w:r>
        <w:r>
          <w:t>16</w:t>
        </w:r>
        <w:r>
          <w:fldChar w:fldCharType="end"/>
        </w:r>
      </w:hyperlink>
    </w:p>
    <w:p>
      <w:pPr>
        <w:pStyle w:val="TOC2"/>
        <w:tabs>
          <w:tab w:val="right" w:leader="dot" w:pos="8306"/>
        </w:tabs>
      </w:pPr>
      <w:hyperlink w:anchor="_Toc21311" w:history="1">
        <w:r>
          <w:rPr>
            <w:rFonts w:ascii="仿宋" w:eastAsia="仿宋" w:hAnsi="仿宋" w:cs="仿宋" w:hint="eastAsia"/>
            <w:lang w:eastAsia="zh-CN"/>
          </w:rPr>
          <w:t>(一)、生物农药及微生物农药项目概况</w:t>
        </w:r>
        <w:r>
          <w:tab/>
        </w:r>
        <w:r>
          <w:fldChar w:fldCharType="begin"/>
        </w:r>
        <w:r>
          <w:instrText xml:space="preserve"> PAGEREF _Toc21311 \h </w:instrText>
        </w:r>
        <w:r>
          <w:fldChar w:fldCharType="separate"/>
        </w:r>
        <w:r>
          <w:t>16</w:t>
        </w:r>
        <w:r>
          <w:fldChar w:fldCharType="end"/>
        </w:r>
      </w:hyperlink>
    </w:p>
    <w:p>
      <w:pPr>
        <w:pStyle w:val="TOC2"/>
        <w:tabs>
          <w:tab w:val="right" w:leader="dot" w:pos="8306"/>
        </w:tabs>
      </w:pPr>
      <w:hyperlink w:anchor="_Toc22497" w:history="1">
        <w:r>
          <w:rPr>
            <w:rFonts w:ascii="仿宋" w:eastAsia="仿宋" w:hAnsi="仿宋" w:cs="仿宋" w:hint="eastAsia"/>
            <w:lang w:eastAsia="zh-CN"/>
          </w:rPr>
          <w:t>(二)、生物农药及微生物农药项目目标</w:t>
        </w:r>
        <w:r>
          <w:tab/>
        </w:r>
        <w:r>
          <w:fldChar w:fldCharType="begin"/>
        </w:r>
        <w:r>
          <w:instrText xml:space="preserve"> PAGEREF _Toc22497 \h </w:instrText>
        </w:r>
        <w:r>
          <w:fldChar w:fldCharType="separate"/>
        </w:r>
        <w:r>
          <w:t>18</w:t>
        </w:r>
        <w:r>
          <w:fldChar w:fldCharType="end"/>
        </w:r>
      </w:hyperlink>
    </w:p>
    <w:p>
      <w:pPr>
        <w:pStyle w:val="TOC2"/>
        <w:tabs>
          <w:tab w:val="right" w:leader="dot" w:pos="8306"/>
        </w:tabs>
      </w:pPr>
      <w:hyperlink w:anchor="_Toc26777" w:history="1">
        <w:r>
          <w:rPr>
            <w:rFonts w:ascii="仿宋" w:eastAsia="仿宋" w:hAnsi="仿宋" w:cs="仿宋" w:hint="eastAsia"/>
            <w:lang w:eastAsia="zh-CN"/>
          </w:rPr>
          <w:t>(三)、生物农药及微生物农药项目提出的理由</w:t>
        </w:r>
        <w:r>
          <w:tab/>
        </w:r>
        <w:r>
          <w:fldChar w:fldCharType="begin"/>
        </w:r>
        <w:r>
          <w:instrText xml:space="preserve"> PAGEREF _Toc26777 \h </w:instrText>
        </w:r>
        <w:r>
          <w:fldChar w:fldCharType="separate"/>
        </w:r>
        <w:r>
          <w:t>19</w:t>
        </w:r>
        <w:r>
          <w:fldChar w:fldCharType="end"/>
        </w:r>
      </w:hyperlink>
    </w:p>
    <w:p>
      <w:pPr>
        <w:pStyle w:val="TOC2"/>
        <w:tabs>
          <w:tab w:val="right" w:leader="dot" w:pos="8306"/>
        </w:tabs>
      </w:pPr>
      <w:hyperlink w:anchor="_Toc27789" w:history="1">
        <w:r>
          <w:rPr>
            <w:rFonts w:ascii="仿宋" w:eastAsia="仿宋" w:hAnsi="仿宋" w:cs="仿宋" w:hint="eastAsia"/>
            <w:lang w:eastAsia="zh-CN"/>
          </w:rPr>
          <w:t>(四)、生物农药及微生物农药项目意义</w:t>
        </w:r>
        <w:r>
          <w:tab/>
        </w:r>
        <w:r>
          <w:fldChar w:fldCharType="begin"/>
        </w:r>
        <w:r>
          <w:instrText xml:space="preserve"> PAGEREF _Toc27789 \h </w:instrText>
        </w:r>
        <w:r>
          <w:fldChar w:fldCharType="separate"/>
        </w:r>
        <w:r>
          <w:t>21</w:t>
        </w:r>
        <w:r>
          <w:fldChar w:fldCharType="end"/>
        </w:r>
      </w:hyperlink>
    </w:p>
    <w:p>
      <w:pPr>
        <w:pStyle w:val="TOC2"/>
        <w:tabs>
          <w:tab w:val="right" w:leader="dot" w:pos="8306"/>
        </w:tabs>
      </w:pPr>
      <w:hyperlink w:anchor="_Toc18571" w:history="1">
        <w:r>
          <w:rPr>
            <w:rFonts w:ascii="仿宋" w:eastAsia="仿宋" w:hAnsi="仿宋" w:cs="仿宋" w:hint="eastAsia"/>
            <w:lang w:eastAsia="zh-CN"/>
          </w:rPr>
          <w:t>(五)、生物农药及微生物农药项目背景</w:t>
        </w:r>
        <w:r>
          <w:tab/>
        </w:r>
        <w:r>
          <w:fldChar w:fldCharType="begin"/>
        </w:r>
        <w:r>
          <w:instrText xml:space="preserve"> PAGEREF _Toc18571 \h </w:instrText>
        </w:r>
        <w:r>
          <w:fldChar w:fldCharType="separate"/>
        </w:r>
        <w:r>
          <w:t>22</w:t>
        </w:r>
        <w:r>
          <w:fldChar w:fldCharType="end"/>
        </w:r>
      </w:hyperlink>
    </w:p>
    <w:p>
      <w:pPr>
        <w:pStyle w:val="TOC1"/>
        <w:tabs>
          <w:tab w:val="right" w:leader="dot" w:pos="8306"/>
        </w:tabs>
      </w:pPr>
      <w:hyperlink w:anchor="_Toc7794" w:history="1">
        <w:r>
          <w:rPr>
            <w:rFonts w:ascii="仿宋" w:eastAsia="仿宋" w:hAnsi="仿宋" w:cs="仿宋" w:hint="eastAsia"/>
            <w:lang w:eastAsia="zh-CN"/>
          </w:rPr>
          <w:t>六、生物农药及微生物农药项目危机管理</w:t>
        </w:r>
        <w:r>
          <w:tab/>
        </w:r>
        <w:r>
          <w:fldChar w:fldCharType="begin"/>
        </w:r>
        <w:r>
          <w:instrText xml:space="preserve"> PAGEREF _Toc7794 \h </w:instrText>
        </w:r>
        <w:r>
          <w:fldChar w:fldCharType="separate"/>
        </w:r>
        <w:r>
          <w:t>23</w:t>
        </w:r>
        <w:r>
          <w:fldChar w:fldCharType="end"/>
        </w:r>
      </w:hyperlink>
    </w:p>
    <w:p>
      <w:pPr>
        <w:pStyle w:val="TOC2"/>
        <w:tabs>
          <w:tab w:val="right" w:leader="dot" w:pos="8306"/>
        </w:tabs>
      </w:pPr>
      <w:hyperlink w:anchor="_Toc15045" w:history="1">
        <w:r>
          <w:rPr>
            <w:rFonts w:ascii="仿宋" w:eastAsia="仿宋" w:hAnsi="仿宋" w:cs="仿宋" w:hint="eastAsia"/>
            <w:lang w:eastAsia="zh-CN"/>
          </w:rPr>
          <w:t>(一)、危机预警与识别</w:t>
        </w:r>
        <w:r>
          <w:tab/>
        </w:r>
        <w:r>
          <w:fldChar w:fldCharType="begin"/>
        </w:r>
        <w:r>
          <w:instrText xml:space="preserve"> PAGEREF _Toc15045 \h </w:instrText>
        </w:r>
        <w:r>
          <w:fldChar w:fldCharType="separate"/>
        </w:r>
        <w:r>
          <w:t>23</w:t>
        </w:r>
        <w:r>
          <w:fldChar w:fldCharType="end"/>
        </w:r>
      </w:hyperlink>
    </w:p>
    <w:p>
      <w:pPr>
        <w:pStyle w:val="TOC2"/>
        <w:tabs>
          <w:tab w:val="right" w:leader="dot" w:pos="8306"/>
        </w:tabs>
      </w:pPr>
      <w:hyperlink w:anchor="_Toc14504" w:history="1">
        <w:r>
          <w:rPr>
            <w:rFonts w:ascii="仿宋" w:eastAsia="仿宋" w:hAnsi="仿宋" w:cs="仿宋" w:hint="eastAsia"/>
            <w:lang w:eastAsia="zh-CN"/>
          </w:rPr>
          <w:t>(二)、危机应对与恢复</w:t>
        </w:r>
        <w:r>
          <w:tab/>
        </w:r>
        <w:r>
          <w:fldChar w:fldCharType="begin"/>
        </w:r>
        <w:r>
          <w:instrText xml:space="preserve"> PAGEREF _Toc14504 \h </w:instrText>
        </w:r>
        <w:r>
          <w:fldChar w:fldCharType="separate"/>
        </w:r>
        <w:r>
          <w:t>24</w:t>
        </w:r>
        <w:r>
          <w:fldChar w:fldCharType="end"/>
        </w:r>
      </w:hyperlink>
    </w:p>
    <w:p>
      <w:pPr>
        <w:pStyle w:val="TOC1"/>
        <w:tabs>
          <w:tab w:val="right" w:leader="dot" w:pos="8306"/>
        </w:tabs>
      </w:pPr>
      <w:hyperlink w:anchor="_Toc32665" w:history="1">
        <w:r>
          <w:rPr>
            <w:rFonts w:ascii="仿宋" w:eastAsia="仿宋" w:hAnsi="仿宋" w:cs="仿宋" w:hint="eastAsia"/>
            <w:lang w:eastAsia="zh-CN"/>
          </w:rPr>
          <w:t>七、生产安全保护</w:t>
        </w:r>
        <w:r>
          <w:tab/>
        </w:r>
        <w:r>
          <w:fldChar w:fldCharType="begin"/>
        </w:r>
        <w:r>
          <w:instrText xml:space="preserve"> PAGEREF _Toc32665 \h </w:instrText>
        </w:r>
        <w:r>
          <w:fldChar w:fldCharType="separate"/>
        </w:r>
        <w:r>
          <w:t>26</w:t>
        </w:r>
        <w:r>
          <w:fldChar w:fldCharType="end"/>
        </w:r>
      </w:hyperlink>
    </w:p>
    <w:p>
      <w:pPr>
        <w:pStyle w:val="TOC2"/>
        <w:tabs>
          <w:tab w:val="right" w:leader="dot" w:pos="8306"/>
        </w:tabs>
      </w:pPr>
      <w:hyperlink w:anchor="_Toc32104" w:history="1">
        <w:r>
          <w:rPr>
            <w:rFonts w:ascii="仿宋" w:eastAsia="仿宋" w:hAnsi="仿宋" w:cs="仿宋" w:hint="eastAsia"/>
            <w:lang w:eastAsia="zh-CN"/>
          </w:rPr>
          <w:t>(一)、消防安全</w:t>
        </w:r>
        <w:r>
          <w:tab/>
        </w:r>
        <w:r>
          <w:fldChar w:fldCharType="begin"/>
        </w:r>
        <w:r>
          <w:instrText xml:space="preserve"> PAGEREF _Toc32104 \h </w:instrText>
        </w:r>
        <w:r>
          <w:fldChar w:fldCharType="separate"/>
        </w:r>
        <w:r>
          <w:t>26</w:t>
        </w:r>
        <w:r>
          <w:fldChar w:fldCharType="end"/>
        </w:r>
      </w:hyperlink>
    </w:p>
    <w:p>
      <w:pPr>
        <w:pStyle w:val="TOC2"/>
        <w:tabs>
          <w:tab w:val="right" w:leader="dot" w:pos="8306"/>
        </w:tabs>
      </w:pPr>
      <w:hyperlink w:anchor="_Toc3783" w:history="1">
        <w:r>
          <w:rPr>
            <w:rFonts w:ascii="仿宋" w:eastAsia="仿宋" w:hAnsi="仿宋" w:cs="仿宋" w:hint="eastAsia"/>
            <w:lang w:eastAsia="zh-CN"/>
          </w:rPr>
          <w:t>(二)、防火防爆总图布置措施</w:t>
        </w:r>
        <w:r>
          <w:tab/>
        </w:r>
        <w:r>
          <w:fldChar w:fldCharType="begin"/>
        </w:r>
        <w:r>
          <w:instrText xml:space="preserve"> PAGEREF _Toc3783 \h </w:instrText>
        </w:r>
        <w:r>
          <w:fldChar w:fldCharType="separate"/>
        </w:r>
        <w:r>
          <w:t>27</w:t>
        </w:r>
        <w:r>
          <w:fldChar w:fldCharType="end"/>
        </w:r>
      </w:hyperlink>
    </w:p>
    <w:p>
      <w:pPr>
        <w:pStyle w:val="TOC2"/>
        <w:tabs>
          <w:tab w:val="right" w:leader="dot" w:pos="8306"/>
        </w:tabs>
      </w:pPr>
      <w:hyperlink w:anchor="_Toc29235" w:history="1">
        <w:r>
          <w:rPr>
            <w:rFonts w:ascii="仿宋" w:eastAsia="仿宋" w:hAnsi="仿宋" w:cs="仿宋" w:hint="eastAsia"/>
            <w:lang w:eastAsia="zh-CN"/>
          </w:rPr>
          <w:t>(三)、自然灾害防范措施</w:t>
        </w:r>
        <w:r>
          <w:tab/>
        </w:r>
        <w:r>
          <w:fldChar w:fldCharType="begin"/>
        </w:r>
        <w:r>
          <w:instrText xml:space="preserve"> PAGEREF _Toc29235 \h </w:instrText>
        </w:r>
        <w:r>
          <w:fldChar w:fldCharType="separate"/>
        </w:r>
        <w:r>
          <w:t>28</w:t>
        </w:r>
        <w:r>
          <w:fldChar w:fldCharType="end"/>
        </w:r>
      </w:hyperlink>
    </w:p>
    <w:p>
      <w:pPr>
        <w:pStyle w:val="TOC2"/>
        <w:tabs>
          <w:tab w:val="right" w:leader="dot" w:pos="8306"/>
        </w:tabs>
      </w:pPr>
      <w:hyperlink w:anchor="_Toc6534" w:history="1">
        <w:r>
          <w:rPr>
            <w:rFonts w:ascii="仿宋" w:eastAsia="仿宋" w:hAnsi="仿宋" w:cs="仿宋" w:hint="eastAsia"/>
            <w:lang w:eastAsia="zh-CN"/>
          </w:rPr>
          <w:t>(四)、安全色及安全标志使用要求</w:t>
        </w:r>
        <w:r>
          <w:tab/>
        </w:r>
        <w:r>
          <w:fldChar w:fldCharType="begin"/>
        </w:r>
        <w:r>
          <w:instrText xml:space="preserve"> PAGEREF _Toc6534 \h </w:instrText>
        </w:r>
        <w:r>
          <w:fldChar w:fldCharType="separate"/>
        </w:r>
        <w:r>
          <w:t>29</w:t>
        </w:r>
        <w:r>
          <w:fldChar w:fldCharType="end"/>
        </w:r>
      </w:hyperlink>
    </w:p>
    <w:p>
      <w:pPr>
        <w:pStyle w:val="TOC2"/>
        <w:tabs>
          <w:tab w:val="right" w:leader="dot" w:pos="8306"/>
        </w:tabs>
      </w:pPr>
      <w:hyperlink w:anchor="_Toc9783" w:history="1">
        <w:r>
          <w:rPr>
            <w:rFonts w:ascii="仿宋" w:eastAsia="仿宋" w:hAnsi="仿宋" w:cs="仿宋" w:hint="eastAsia"/>
            <w:lang w:eastAsia="zh-CN"/>
          </w:rPr>
          <w:t>(五)、防尘防毒措施</w:t>
        </w:r>
        <w:r>
          <w:tab/>
        </w:r>
        <w:r>
          <w:fldChar w:fldCharType="begin"/>
        </w:r>
        <w:r>
          <w:instrText xml:space="preserve"> PAGEREF _Toc9783 \h </w:instrText>
        </w:r>
        <w:r>
          <w:fldChar w:fldCharType="separate"/>
        </w:r>
        <w:r>
          <w:t>30</w:t>
        </w:r>
        <w:r>
          <w:fldChar w:fldCharType="end"/>
        </w:r>
      </w:hyperlink>
    </w:p>
    <w:p>
      <w:pPr>
        <w:pStyle w:val="TOC2"/>
        <w:tabs>
          <w:tab w:val="right" w:leader="dot" w:pos="8306"/>
        </w:tabs>
      </w:pPr>
      <w:hyperlink w:anchor="_Toc20950" w:history="1">
        <w:r>
          <w:rPr>
            <w:rFonts w:ascii="仿宋" w:eastAsia="仿宋" w:hAnsi="仿宋" w:cs="仿宋" w:hint="eastAsia"/>
            <w:lang w:eastAsia="zh-CN"/>
          </w:rPr>
          <w:t>(六)、防静电、触电防护及防雷措施</w:t>
        </w:r>
        <w:r>
          <w:tab/>
        </w:r>
        <w:r>
          <w:fldChar w:fldCharType="begin"/>
        </w:r>
        <w:r>
          <w:instrText xml:space="preserve"> PAGEREF _Toc20950 \h </w:instrText>
        </w:r>
        <w:r>
          <w:fldChar w:fldCharType="separate"/>
        </w:r>
        <w:r>
          <w:t>31</w:t>
        </w:r>
        <w:r>
          <w:fldChar w:fldCharType="end"/>
        </w:r>
      </w:hyperlink>
    </w:p>
    <w:p>
      <w:pPr>
        <w:pStyle w:val="TOC2"/>
        <w:tabs>
          <w:tab w:val="right" w:leader="dot" w:pos="8306"/>
        </w:tabs>
      </w:pPr>
      <w:hyperlink w:anchor="_Toc3289" w:history="1">
        <w:r>
          <w:rPr>
            <w:rFonts w:ascii="仿宋" w:eastAsia="仿宋" w:hAnsi="仿宋" w:cs="仿宋" w:hint="eastAsia"/>
            <w:lang w:eastAsia="zh-CN"/>
          </w:rPr>
          <w:t>(七)、机械设备安全保障措施</w:t>
        </w:r>
        <w:r>
          <w:tab/>
        </w:r>
        <w:r>
          <w:fldChar w:fldCharType="begin"/>
        </w:r>
        <w:r>
          <w:instrText xml:space="preserve"> PAGEREF _Toc3289 \h </w:instrText>
        </w:r>
        <w:r>
          <w:fldChar w:fldCharType="separate"/>
        </w:r>
        <w:r>
          <w:t>33</w:t>
        </w:r>
        <w:r>
          <w:fldChar w:fldCharType="end"/>
        </w:r>
      </w:hyperlink>
    </w:p>
    <w:p>
      <w:pPr>
        <w:pStyle w:val="TOC1"/>
        <w:tabs>
          <w:tab w:val="right" w:leader="dot" w:pos="8306"/>
        </w:tabs>
      </w:pPr>
      <w:hyperlink w:anchor="_Toc18783" w:history="1">
        <w:r>
          <w:rPr>
            <w:rFonts w:ascii="仿宋" w:eastAsia="仿宋" w:hAnsi="仿宋" w:cs="仿宋" w:hint="eastAsia"/>
            <w:lang w:eastAsia="zh-CN"/>
          </w:rPr>
          <w:t>八、生物农药及微生物农药项目计划安排</w:t>
        </w:r>
        <w:r>
          <w:tab/>
        </w:r>
        <w:r>
          <w:fldChar w:fldCharType="begin"/>
        </w:r>
        <w:r>
          <w:instrText xml:space="preserve"> PAGEREF _Toc18783 \h </w:instrText>
        </w:r>
        <w:r>
          <w:fldChar w:fldCharType="separate"/>
        </w:r>
        <w:r>
          <w:t>34</w:t>
        </w:r>
        <w:r>
          <w:fldChar w:fldCharType="end"/>
        </w:r>
      </w:hyperlink>
    </w:p>
    <w:p>
      <w:pPr>
        <w:pStyle w:val="TOC2"/>
        <w:tabs>
          <w:tab w:val="right" w:leader="dot" w:pos="8306"/>
        </w:tabs>
      </w:pPr>
      <w:hyperlink w:anchor="_Toc5516" w:history="1">
        <w:r>
          <w:rPr>
            <w:rFonts w:ascii="仿宋" w:eastAsia="仿宋" w:hAnsi="仿宋" w:cs="仿宋" w:hint="eastAsia"/>
            <w:lang w:eastAsia="zh-CN"/>
          </w:rPr>
          <w:t>(一)、建设周期</w:t>
        </w:r>
        <w:r>
          <w:tab/>
        </w:r>
        <w:r>
          <w:fldChar w:fldCharType="begin"/>
        </w:r>
        <w:r>
          <w:instrText xml:space="preserve"> PAGEREF _Toc5516 \h </w:instrText>
        </w:r>
        <w:r>
          <w:fldChar w:fldCharType="separate"/>
        </w:r>
        <w:r>
          <w:t>34</w:t>
        </w:r>
        <w:r>
          <w:fldChar w:fldCharType="end"/>
        </w:r>
      </w:hyperlink>
    </w:p>
    <w:p>
      <w:pPr>
        <w:pStyle w:val="TOC2"/>
        <w:tabs>
          <w:tab w:val="right" w:leader="dot" w:pos="8306"/>
        </w:tabs>
      </w:pPr>
      <w:hyperlink w:anchor="_Toc3190" w:history="1">
        <w:r>
          <w:rPr>
            <w:rFonts w:ascii="仿宋" w:eastAsia="仿宋" w:hAnsi="仿宋" w:cs="仿宋" w:hint="eastAsia"/>
            <w:lang w:eastAsia="zh-CN"/>
          </w:rPr>
          <w:t>(二)、建设进度</w:t>
        </w:r>
        <w:r>
          <w:tab/>
        </w:r>
        <w:r>
          <w:fldChar w:fldCharType="begin"/>
        </w:r>
        <w:r>
          <w:instrText xml:space="preserve"> PAGEREF _Toc3190 \h </w:instrText>
        </w:r>
        <w:r>
          <w:fldChar w:fldCharType="separate"/>
        </w:r>
        <w:r>
          <w:t>35</w:t>
        </w:r>
        <w:r>
          <w:fldChar w:fldCharType="end"/>
        </w:r>
      </w:hyperlink>
    </w:p>
    <w:p>
      <w:pPr>
        <w:pStyle w:val="TOC2"/>
        <w:tabs>
          <w:tab w:val="right" w:leader="dot" w:pos="8306"/>
        </w:tabs>
      </w:pPr>
      <w:hyperlink w:anchor="_Toc13147" w:history="1">
        <w:r>
          <w:rPr>
            <w:rFonts w:ascii="仿宋" w:eastAsia="仿宋" w:hAnsi="仿宋" w:cs="仿宋" w:hint="eastAsia"/>
            <w:lang w:eastAsia="zh-CN"/>
          </w:rPr>
          <w:t>(三)、进度安排注意事项</w:t>
        </w:r>
        <w:r>
          <w:tab/>
        </w:r>
        <w:r>
          <w:fldChar w:fldCharType="begin"/>
        </w:r>
        <w:r>
          <w:instrText xml:space="preserve"> PAGEREF _Toc13147 \h </w:instrText>
        </w:r>
        <w:r>
          <w:fldChar w:fldCharType="separate"/>
        </w:r>
        <w:r>
          <w:t>36</w:t>
        </w:r>
        <w:r>
          <w:fldChar w:fldCharType="end"/>
        </w:r>
      </w:hyperlink>
    </w:p>
    <w:p>
      <w:pPr>
        <w:pStyle w:val="TOC2"/>
        <w:tabs>
          <w:tab w:val="right" w:leader="dot" w:pos="8306"/>
        </w:tabs>
      </w:pPr>
      <w:hyperlink w:anchor="_Toc496" w:history="1">
        <w:r>
          <w:rPr>
            <w:rFonts w:ascii="仿宋" w:eastAsia="仿宋" w:hAnsi="仿宋" w:cs="仿宋" w:hint="eastAsia"/>
            <w:lang w:eastAsia="zh-CN"/>
          </w:rPr>
          <w:t>(四)、人力资源配置</w:t>
        </w:r>
        <w:r>
          <w:tab/>
        </w:r>
        <w:r>
          <w:fldChar w:fldCharType="begin"/>
        </w:r>
        <w:r>
          <w:instrText xml:space="preserve"> PAGEREF _Toc496 \h </w:instrText>
        </w:r>
        <w:r>
          <w:fldChar w:fldCharType="separate"/>
        </w:r>
        <w:r>
          <w:t>38</w:t>
        </w:r>
        <w:r>
          <w:fldChar w:fldCharType="end"/>
        </w:r>
      </w:hyperlink>
    </w:p>
    <w:p>
      <w:pPr>
        <w:pStyle w:val="TOC1"/>
        <w:tabs>
          <w:tab w:val="right" w:leader="dot" w:pos="8306"/>
        </w:tabs>
      </w:pPr>
      <w:hyperlink w:anchor="_Toc22997" w:history="1">
        <w:r>
          <w:rPr>
            <w:rFonts w:ascii="仿宋" w:eastAsia="仿宋" w:hAnsi="仿宋" w:cs="仿宋" w:hint="eastAsia"/>
            <w:lang w:eastAsia="zh-CN"/>
          </w:rPr>
          <w:t>九、生物农药及微生物农药项目财务管理</w:t>
        </w:r>
        <w:r>
          <w:tab/>
        </w:r>
        <w:r>
          <w:fldChar w:fldCharType="begin"/>
        </w:r>
        <w:r>
          <w:instrText xml:space="preserve"> PAGEREF _Toc22997 \h </w:instrText>
        </w:r>
        <w:r>
          <w:fldChar w:fldCharType="separate"/>
        </w:r>
        <w:r>
          <w:t>39</w:t>
        </w:r>
        <w:r>
          <w:fldChar w:fldCharType="end"/>
        </w:r>
      </w:hyperlink>
    </w:p>
    <w:p>
      <w:pPr>
        <w:pStyle w:val="TOC2"/>
        <w:tabs>
          <w:tab w:val="right" w:leader="dot" w:pos="8306"/>
        </w:tabs>
      </w:pPr>
      <w:hyperlink w:anchor="_Toc7918" w:history="1">
        <w:r>
          <w:rPr>
            <w:rFonts w:ascii="仿宋" w:eastAsia="仿宋" w:hAnsi="仿宋" w:cs="仿宋" w:hint="eastAsia"/>
            <w:lang w:eastAsia="zh-CN"/>
          </w:rPr>
          <w:t>(一)、资金需求大</w:t>
        </w:r>
        <w:r>
          <w:tab/>
        </w:r>
        <w:r>
          <w:fldChar w:fldCharType="begin"/>
        </w:r>
        <w:r>
          <w:instrText xml:space="preserve"> PAGEREF _Toc7918 \h </w:instrText>
        </w:r>
        <w:r>
          <w:fldChar w:fldCharType="separate"/>
        </w:r>
        <w:r>
          <w:t>39</w:t>
        </w:r>
        <w:r>
          <w:fldChar w:fldCharType="end"/>
        </w:r>
      </w:hyperlink>
    </w:p>
    <w:p>
      <w:pPr>
        <w:pStyle w:val="TOC2"/>
        <w:tabs>
          <w:tab w:val="right" w:leader="dot" w:pos="8306"/>
        </w:tabs>
      </w:pPr>
      <w:hyperlink w:anchor="_Toc25141" w:history="1">
        <w:r>
          <w:rPr>
            <w:rFonts w:ascii="仿宋" w:eastAsia="仿宋" w:hAnsi="仿宋" w:cs="仿宋" w:hint="eastAsia"/>
            <w:lang w:eastAsia="zh-CN"/>
          </w:rPr>
          <w:t>(二)、研发周期长</w:t>
        </w:r>
        <w:r>
          <w:tab/>
        </w:r>
        <w:r>
          <w:fldChar w:fldCharType="begin"/>
        </w:r>
        <w:r>
          <w:instrText xml:space="preserve"> PAGEREF _Toc25141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2" w:history="1">
        <w:r>
          <w:rPr>
            <w:rFonts w:ascii="仿宋" w:eastAsia="仿宋" w:hAnsi="仿宋" w:cs="仿宋" w:hint="eastAsia"/>
            <w:lang w:eastAsia="zh-CN"/>
          </w:rPr>
          <w:t>(三)、市场风险大</w:t>
        </w:r>
        <w:r>
          <w:tab/>
        </w:r>
        <w:r>
          <w:fldChar w:fldCharType="begin"/>
        </w:r>
        <w:r>
          <w:instrText xml:space="preserve"> PAGEREF _Toc13782 \h </w:instrText>
        </w:r>
        <w:r>
          <w:fldChar w:fldCharType="separate"/>
        </w:r>
        <w:r>
          <w:t>41</w:t>
        </w:r>
        <w:r>
          <w:fldChar w:fldCharType="end"/>
        </w:r>
      </w:hyperlink>
    </w:p>
    <w:p>
      <w:pPr>
        <w:pStyle w:val="TOC2"/>
        <w:tabs>
          <w:tab w:val="right" w:leader="dot" w:pos="8306"/>
        </w:tabs>
      </w:pPr>
      <w:hyperlink w:anchor="_Toc8963" w:history="1">
        <w:r>
          <w:rPr>
            <w:rFonts w:ascii="仿宋" w:eastAsia="仿宋" w:hAnsi="仿宋" w:cs="仿宋" w:hint="eastAsia"/>
            <w:lang w:eastAsia="zh-CN"/>
          </w:rPr>
          <w:t>(四)、利润率高</w:t>
        </w:r>
        <w:r>
          <w:tab/>
        </w:r>
        <w:r>
          <w:fldChar w:fldCharType="begin"/>
        </w:r>
        <w:r>
          <w:instrText xml:space="preserve"> PAGEREF _Toc8963 \h </w:instrText>
        </w:r>
        <w:r>
          <w:fldChar w:fldCharType="separate"/>
        </w:r>
        <w:r>
          <w:t>44</w:t>
        </w:r>
        <w:r>
          <w:fldChar w:fldCharType="end"/>
        </w:r>
      </w:hyperlink>
    </w:p>
    <w:p>
      <w:pPr>
        <w:pStyle w:val="TOC1"/>
        <w:tabs>
          <w:tab w:val="right" w:leader="dot" w:pos="8306"/>
        </w:tabs>
      </w:pPr>
      <w:hyperlink w:anchor="_Toc8701" w:history="1">
        <w:r>
          <w:rPr>
            <w:rFonts w:ascii="仿宋" w:eastAsia="仿宋" w:hAnsi="仿宋" w:cs="仿宋" w:hint="eastAsia"/>
            <w:lang w:eastAsia="zh-CN"/>
          </w:rPr>
          <w:t>十、生物农药及微生物农药项目社会影响</w:t>
        </w:r>
        <w:r>
          <w:tab/>
        </w:r>
        <w:r>
          <w:fldChar w:fldCharType="begin"/>
        </w:r>
        <w:r>
          <w:instrText xml:space="preserve"> PAGEREF _Toc8701 \h </w:instrText>
        </w:r>
        <w:r>
          <w:fldChar w:fldCharType="separate"/>
        </w:r>
        <w:r>
          <w:t>46</w:t>
        </w:r>
        <w:r>
          <w:fldChar w:fldCharType="end"/>
        </w:r>
      </w:hyperlink>
    </w:p>
    <w:p>
      <w:pPr>
        <w:pStyle w:val="TOC2"/>
        <w:tabs>
          <w:tab w:val="right" w:leader="dot" w:pos="8306"/>
        </w:tabs>
      </w:pPr>
      <w:hyperlink w:anchor="_Toc5503" w:history="1">
        <w:r>
          <w:rPr>
            <w:rFonts w:ascii="仿宋" w:eastAsia="仿宋" w:hAnsi="仿宋" w:cs="仿宋" w:hint="eastAsia"/>
            <w:lang w:eastAsia="zh-CN"/>
          </w:rPr>
          <w:t>(一)、社会责任与义务</w:t>
        </w:r>
        <w:r>
          <w:tab/>
        </w:r>
        <w:r>
          <w:fldChar w:fldCharType="begin"/>
        </w:r>
        <w:r>
          <w:instrText xml:space="preserve"> PAGEREF _Toc5503 \h </w:instrText>
        </w:r>
        <w:r>
          <w:fldChar w:fldCharType="separate"/>
        </w:r>
        <w:r>
          <w:t>46</w:t>
        </w:r>
        <w:r>
          <w:fldChar w:fldCharType="end"/>
        </w:r>
      </w:hyperlink>
    </w:p>
    <w:p>
      <w:pPr>
        <w:pStyle w:val="TOC2"/>
        <w:tabs>
          <w:tab w:val="right" w:leader="dot" w:pos="8306"/>
        </w:tabs>
      </w:pPr>
      <w:hyperlink w:anchor="_Toc24028" w:history="1">
        <w:r>
          <w:rPr>
            <w:rFonts w:ascii="仿宋" w:eastAsia="仿宋" w:hAnsi="仿宋" w:cs="仿宋" w:hint="eastAsia"/>
            <w:lang w:eastAsia="zh-CN"/>
          </w:rPr>
          <w:t>(二)、社会参与与沟通</w:t>
        </w:r>
        <w:r>
          <w:tab/>
        </w:r>
        <w:r>
          <w:fldChar w:fldCharType="begin"/>
        </w:r>
        <w:r>
          <w:instrText xml:space="preserve"> PAGEREF _Toc24028 \h </w:instrText>
        </w:r>
        <w:r>
          <w:fldChar w:fldCharType="separate"/>
        </w:r>
        <w:r>
          <w:t>47</w:t>
        </w:r>
        <w:r>
          <w:fldChar w:fldCharType="end"/>
        </w:r>
      </w:hyperlink>
    </w:p>
    <w:p>
      <w:pPr>
        <w:pStyle w:val="TOC1"/>
        <w:tabs>
          <w:tab w:val="right" w:leader="dot" w:pos="8306"/>
        </w:tabs>
      </w:pPr>
      <w:hyperlink w:anchor="_Toc32654" w:history="1">
        <w:r>
          <w:rPr>
            <w:rFonts w:ascii="仿宋" w:eastAsia="仿宋" w:hAnsi="仿宋" w:cs="仿宋" w:hint="eastAsia"/>
            <w:lang w:eastAsia="zh-CN"/>
          </w:rPr>
          <w:t>十一、生物农药及微生物农药项目人力资源培养与发展</w:t>
        </w:r>
        <w:r>
          <w:tab/>
        </w:r>
        <w:r>
          <w:fldChar w:fldCharType="begin"/>
        </w:r>
        <w:r>
          <w:instrText xml:space="preserve"> PAGEREF _Toc32654 \h </w:instrText>
        </w:r>
        <w:r>
          <w:fldChar w:fldCharType="separate"/>
        </w:r>
        <w:r>
          <w:t>48</w:t>
        </w:r>
        <w:r>
          <w:fldChar w:fldCharType="end"/>
        </w:r>
      </w:hyperlink>
    </w:p>
    <w:p>
      <w:pPr>
        <w:pStyle w:val="TOC2"/>
        <w:tabs>
          <w:tab w:val="right" w:leader="dot" w:pos="8306"/>
        </w:tabs>
      </w:pPr>
      <w:hyperlink w:anchor="_Toc16329" w:history="1">
        <w:r>
          <w:rPr>
            <w:rFonts w:ascii="仿宋" w:eastAsia="仿宋" w:hAnsi="仿宋" w:cs="仿宋" w:hint="eastAsia"/>
            <w:lang w:eastAsia="zh-CN"/>
          </w:rPr>
          <w:t>(一)、人才需求与规划</w:t>
        </w:r>
        <w:r>
          <w:tab/>
        </w:r>
        <w:r>
          <w:fldChar w:fldCharType="begin"/>
        </w:r>
        <w:r>
          <w:instrText xml:space="preserve"> PAGEREF _Toc16329 \h </w:instrText>
        </w:r>
        <w:r>
          <w:fldChar w:fldCharType="separate"/>
        </w:r>
        <w:r>
          <w:t>48</w:t>
        </w:r>
        <w:r>
          <w:fldChar w:fldCharType="end"/>
        </w:r>
      </w:hyperlink>
    </w:p>
    <w:p>
      <w:pPr>
        <w:pStyle w:val="TOC2"/>
        <w:tabs>
          <w:tab w:val="right" w:leader="dot" w:pos="8306"/>
        </w:tabs>
      </w:pPr>
      <w:hyperlink w:anchor="_Toc3601" w:history="1">
        <w:r>
          <w:rPr>
            <w:rFonts w:ascii="仿宋" w:eastAsia="仿宋" w:hAnsi="仿宋" w:cs="仿宋" w:hint="eastAsia"/>
            <w:lang w:eastAsia="zh-CN"/>
          </w:rPr>
          <w:t>(二)、培训与发展计划</w:t>
        </w:r>
        <w:r>
          <w:tab/>
        </w:r>
        <w:r>
          <w:fldChar w:fldCharType="begin"/>
        </w:r>
        <w:r>
          <w:instrText xml:space="preserve"> PAGEREF _Toc3601 \h </w:instrText>
        </w:r>
        <w:r>
          <w:fldChar w:fldCharType="separate"/>
        </w:r>
        <w:r>
          <w:t>49</w:t>
        </w:r>
        <w:r>
          <w:fldChar w:fldCharType="end"/>
        </w:r>
      </w:hyperlink>
    </w:p>
    <w:p>
      <w:pPr>
        <w:pStyle w:val="TOC1"/>
        <w:tabs>
          <w:tab w:val="right" w:leader="dot" w:pos="8306"/>
        </w:tabs>
      </w:pPr>
      <w:hyperlink w:anchor="_Toc14724" w:history="1">
        <w:r>
          <w:rPr>
            <w:rFonts w:ascii="仿宋" w:eastAsia="仿宋" w:hAnsi="仿宋" w:cs="仿宋" w:hint="eastAsia"/>
            <w:lang w:eastAsia="zh-CN"/>
          </w:rPr>
          <w:t>十二、生物农药及微生物农药项目人力资源管理</w:t>
        </w:r>
        <w:r>
          <w:tab/>
        </w:r>
        <w:r>
          <w:fldChar w:fldCharType="begin"/>
        </w:r>
        <w:r>
          <w:instrText xml:space="preserve"> PAGEREF _Toc14724 \h </w:instrText>
        </w:r>
        <w:r>
          <w:fldChar w:fldCharType="separate"/>
        </w:r>
        <w:r>
          <w:t>49</w:t>
        </w:r>
        <w:r>
          <w:fldChar w:fldCharType="end"/>
        </w:r>
      </w:hyperlink>
    </w:p>
    <w:p>
      <w:pPr>
        <w:pStyle w:val="TOC2"/>
        <w:tabs>
          <w:tab w:val="right" w:leader="dot" w:pos="8306"/>
        </w:tabs>
      </w:pPr>
      <w:hyperlink w:anchor="_Toc27322" w:history="1">
        <w:r>
          <w:rPr>
            <w:rFonts w:ascii="仿宋" w:eastAsia="仿宋" w:hAnsi="仿宋" w:cs="仿宋" w:hint="eastAsia"/>
            <w:lang w:eastAsia="zh-CN"/>
          </w:rPr>
          <w:t>(一)、建立健全的预算管理制度</w:t>
        </w:r>
        <w:r>
          <w:tab/>
        </w:r>
        <w:r>
          <w:fldChar w:fldCharType="begin"/>
        </w:r>
        <w:r>
          <w:instrText xml:space="preserve"> PAGEREF _Toc27322 \h </w:instrText>
        </w:r>
        <w:r>
          <w:fldChar w:fldCharType="separate"/>
        </w:r>
        <w:r>
          <w:t>49</w:t>
        </w:r>
        <w:r>
          <w:fldChar w:fldCharType="end"/>
        </w:r>
      </w:hyperlink>
    </w:p>
    <w:p>
      <w:pPr>
        <w:pStyle w:val="TOC2"/>
        <w:tabs>
          <w:tab w:val="right" w:leader="dot" w:pos="8306"/>
        </w:tabs>
      </w:pPr>
      <w:hyperlink w:anchor="_Toc6424" w:history="1">
        <w:r>
          <w:rPr>
            <w:rFonts w:ascii="仿宋" w:eastAsia="仿宋" w:hAnsi="仿宋" w:cs="仿宋" w:hint="eastAsia"/>
            <w:lang w:eastAsia="zh-CN"/>
          </w:rPr>
          <w:t>(二)、加强资金流动监控</w:t>
        </w:r>
        <w:r>
          <w:tab/>
        </w:r>
        <w:r>
          <w:fldChar w:fldCharType="begin"/>
        </w:r>
        <w:r>
          <w:instrText xml:space="preserve"> PAGEREF _Toc6424 \h </w:instrText>
        </w:r>
        <w:r>
          <w:fldChar w:fldCharType="separate"/>
        </w:r>
        <w:r>
          <w:t>51</w:t>
        </w:r>
        <w:r>
          <w:fldChar w:fldCharType="end"/>
        </w:r>
      </w:hyperlink>
    </w:p>
    <w:p>
      <w:pPr>
        <w:pStyle w:val="TOC2"/>
        <w:tabs>
          <w:tab w:val="right" w:leader="dot" w:pos="8306"/>
        </w:tabs>
      </w:pPr>
      <w:hyperlink w:anchor="_Toc29162" w:history="1">
        <w:r>
          <w:rPr>
            <w:rFonts w:ascii="仿宋" w:eastAsia="仿宋" w:hAnsi="仿宋" w:cs="仿宋" w:hint="eastAsia"/>
            <w:lang w:eastAsia="zh-CN"/>
          </w:rPr>
          <w:t>(三)、制定完善的风险控制机制</w:t>
        </w:r>
        <w:r>
          <w:tab/>
        </w:r>
        <w:r>
          <w:fldChar w:fldCharType="begin"/>
        </w:r>
        <w:r>
          <w:instrText xml:space="preserve"> PAGEREF _Toc29162 \h </w:instrText>
        </w:r>
        <w:r>
          <w:fldChar w:fldCharType="separate"/>
        </w:r>
        <w:r>
          <w:t>52</w:t>
        </w:r>
        <w:r>
          <w:fldChar w:fldCharType="end"/>
        </w:r>
      </w:hyperlink>
    </w:p>
    <w:p>
      <w:pPr>
        <w:pStyle w:val="TOC2"/>
        <w:tabs>
          <w:tab w:val="right" w:leader="dot" w:pos="8306"/>
        </w:tabs>
      </w:pPr>
      <w:hyperlink w:anchor="_Toc32227" w:history="1">
        <w:r>
          <w:rPr>
            <w:rFonts w:ascii="仿宋" w:eastAsia="仿宋" w:hAnsi="仿宋" w:cs="仿宋" w:hint="eastAsia"/>
            <w:lang w:eastAsia="zh-CN"/>
          </w:rPr>
          <w:t>(四)、优化成本管理</w:t>
        </w:r>
        <w:r>
          <w:tab/>
        </w:r>
        <w:r>
          <w:fldChar w:fldCharType="begin"/>
        </w:r>
        <w:r>
          <w:instrText xml:space="preserve"> PAGEREF _Toc32227 \h </w:instrText>
        </w:r>
        <w:r>
          <w:fldChar w:fldCharType="separate"/>
        </w:r>
        <w:r>
          <w:t>54</w:t>
        </w:r>
        <w:r>
          <w:fldChar w:fldCharType="end"/>
        </w:r>
      </w:hyperlink>
    </w:p>
    <w:p>
      <w:pPr>
        <w:pStyle w:val="TOC1"/>
        <w:tabs>
          <w:tab w:val="right" w:leader="dot" w:pos="8306"/>
        </w:tabs>
      </w:pPr>
      <w:hyperlink w:anchor="_Toc4122" w:history="1">
        <w:r>
          <w:rPr>
            <w:rFonts w:ascii="仿宋" w:eastAsia="仿宋" w:hAnsi="仿宋" w:cs="仿宋" w:hint="eastAsia"/>
            <w:lang w:eastAsia="zh-CN"/>
          </w:rPr>
          <w:t>十三、利益相关者分析与沟通计划</w:t>
        </w:r>
        <w:r>
          <w:tab/>
        </w:r>
        <w:r>
          <w:fldChar w:fldCharType="begin"/>
        </w:r>
        <w:r>
          <w:instrText xml:space="preserve"> PAGEREF _Toc4122 \h </w:instrText>
        </w:r>
        <w:r>
          <w:fldChar w:fldCharType="separate"/>
        </w:r>
        <w:r>
          <w:t>55</w:t>
        </w:r>
        <w:r>
          <w:fldChar w:fldCharType="end"/>
        </w:r>
      </w:hyperlink>
    </w:p>
    <w:p>
      <w:pPr>
        <w:pStyle w:val="TOC2"/>
        <w:tabs>
          <w:tab w:val="right" w:leader="dot" w:pos="8306"/>
        </w:tabs>
      </w:pPr>
      <w:hyperlink w:anchor="_Toc2754" w:history="1">
        <w:r>
          <w:rPr>
            <w:rFonts w:ascii="仿宋" w:eastAsia="仿宋" w:hAnsi="仿宋" w:cs="仿宋" w:hint="eastAsia"/>
            <w:lang w:eastAsia="zh-CN"/>
          </w:rPr>
          <w:t>(一)、利益相关者分析</w:t>
        </w:r>
        <w:r>
          <w:tab/>
        </w:r>
        <w:r>
          <w:fldChar w:fldCharType="begin"/>
        </w:r>
        <w:r>
          <w:instrText xml:space="preserve"> PAGEREF _Toc2754 \h </w:instrText>
        </w:r>
        <w:r>
          <w:fldChar w:fldCharType="separate"/>
        </w:r>
        <w:r>
          <w:t>55</w:t>
        </w:r>
        <w:r>
          <w:fldChar w:fldCharType="end"/>
        </w:r>
      </w:hyperlink>
    </w:p>
    <w:p>
      <w:pPr>
        <w:pStyle w:val="TOC2"/>
        <w:tabs>
          <w:tab w:val="right" w:leader="dot" w:pos="8306"/>
        </w:tabs>
      </w:pPr>
      <w:hyperlink w:anchor="_Toc19411" w:history="1">
        <w:r>
          <w:rPr>
            <w:rFonts w:ascii="仿宋" w:eastAsia="仿宋" w:hAnsi="仿宋" w:cs="仿宋" w:hint="eastAsia"/>
            <w:lang w:eastAsia="zh-CN"/>
          </w:rPr>
          <w:t>(二)、沟通计划</w:t>
        </w:r>
        <w:r>
          <w:tab/>
        </w:r>
        <w:r>
          <w:fldChar w:fldCharType="begin"/>
        </w:r>
        <w:r>
          <w:instrText xml:space="preserve"> PAGEREF _Toc19411 \h </w:instrText>
        </w:r>
        <w:r>
          <w:fldChar w:fldCharType="separate"/>
        </w:r>
        <w:r>
          <w:t>57</w:t>
        </w:r>
        <w:r>
          <w:fldChar w:fldCharType="end"/>
        </w:r>
      </w:hyperlink>
    </w:p>
    <w:p>
      <w:pPr>
        <w:pStyle w:val="TOC1"/>
        <w:tabs>
          <w:tab w:val="right" w:leader="dot" w:pos="8306"/>
        </w:tabs>
      </w:pPr>
      <w:hyperlink w:anchor="_Toc26290" w:history="1">
        <w:r>
          <w:rPr>
            <w:rFonts w:ascii="仿宋" w:eastAsia="仿宋" w:hAnsi="仿宋" w:cs="仿宋" w:hint="eastAsia"/>
            <w:lang w:eastAsia="zh-CN"/>
          </w:rPr>
          <w:t>十四、供应链管理</w:t>
        </w:r>
        <w:r>
          <w:tab/>
        </w:r>
        <w:r>
          <w:fldChar w:fldCharType="begin"/>
        </w:r>
        <w:r>
          <w:instrText xml:space="preserve"> PAGEREF _Toc26290 \h </w:instrText>
        </w:r>
        <w:r>
          <w:fldChar w:fldCharType="separate"/>
        </w:r>
        <w:r>
          <w:t>58</w:t>
        </w:r>
        <w:r>
          <w:fldChar w:fldCharType="end"/>
        </w:r>
      </w:hyperlink>
    </w:p>
    <w:p>
      <w:pPr>
        <w:pStyle w:val="TOC2"/>
        <w:tabs>
          <w:tab w:val="right" w:leader="dot" w:pos="8306"/>
        </w:tabs>
      </w:pPr>
      <w:hyperlink w:anchor="_Toc26706" w:history="1">
        <w:r>
          <w:rPr>
            <w:rFonts w:ascii="仿宋" w:eastAsia="仿宋" w:hAnsi="仿宋" w:cs="仿宋" w:hint="eastAsia"/>
            <w:lang w:eastAsia="zh-CN"/>
          </w:rPr>
          <w:t>(一)、供应链战略规划</w:t>
        </w:r>
        <w:r>
          <w:tab/>
        </w:r>
        <w:r>
          <w:fldChar w:fldCharType="begin"/>
        </w:r>
        <w:r>
          <w:instrText xml:space="preserve"> PAGEREF _Toc26706 \h </w:instrText>
        </w:r>
        <w:r>
          <w:fldChar w:fldCharType="separate"/>
        </w:r>
        <w:r>
          <w:t>58</w:t>
        </w:r>
        <w:r>
          <w:fldChar w:fldCharType="end"/>
        </w:r>
      </w:hyperlink>
    </w:p>
    <w:p>
      <w:pPr>
        <w:pStyle w:val="TOC2"/>
        <w:tabs>
          <w:tab w:val="right" w:leader="dot" w:pos="8306"/>
        </w:tabs>
      </w:pPr>
      <w:hyperlink w:anchor="_Toc26471" w:history="1">
        <w:r>
          <w:rPr>
            <w:rFonts w:ascii="仿宋" w:eastAsia="仿宋" w:hAnsi="仿宋" w:cs="仿宋" w:hint="eastAsia"/>
            <w:lang w:eastAsia="zh-CN"/>
          </w:rPr>
          <w:t>(二)、供应商选择与合作</w:t>
        </w:r>
        <w:r>
          <w:tab/>
        </w:r>
        <w:r>
          <w:fldChar w:fldCharType="begin"/>
        </w:r>
        <w:r>
          <w:instrText xml:space="preserve"> PAGEREF _Toc26471 \h </w:instrText>
        </w:r>
        <w:r>
          <w:fldChar w:fldCharType="separate"/>
        </w:r>
        <w:r>
          <w:t>59</w:t>
        </w:r>
        <w:r>
          <w:fldChar w:fldCharType="end"/>
        </w:r>
      </w:hyperlink>
    </w:p>
    <w:p>
      <w:pPr>
        <w:pStyle w:val="TOC2"/>
        <w:tabs>
          <w:tab w:val="right" w:leader="dot" w:pos="8306"/>
        </w:tabs>
      </w:pPr>
      <w:hyperlink w:anchor="_Toc11839" w:history="1">
        <w:r>
          <w:rPr>
            <w:rFonts w:ascii="仿宋" w:eastAsia="仿宋" w:hAnsi="仿宋" w:cs="仿宋" w:hint="eastAsia"/>
            <w:lang w:eastAsia="zh-CN"/>
          </w:rPr>
          <w:t>(三)、物流与库存管理</w:t>
        </w:r>
        <w:r>
          <w:tab/>
        </w:r>
        <w:r>
          <w:fldChar w:fldCharType="begin"/>
        </w:r>
        <w:r>
          <w:instrText xml:space="preserve"> PAGEREF _Toc11839 \h </w:instrText>
        </w:r>
        <w:r>
          <w:fldChar w:fldCharType="separate"/>
        </w:r>
        <w:r>
          <w:t>60</w:t>
        </w:r>
        <w:r>
          <w:fldChar w:fldCharType="end"/>
        </w:r>
      </w:hyperlink>
    </w:p>
    <w:p>
      <w:pPr>
        <w:pStyle w:val="TOC1"/>
        <w:tabs>
          <w:tab w:val="right" w:leader="dot" w:pos="8306"/>
        </w:tabs>
      </w:pPr>
      <w:hyperlink w:anchor="_Toc23971" w:history="1">
        <w:r>
          <w:rPr>
            <w:rFonts w:ascii="仿宋" w:eastAsia="仿宋" w:hAnsi="仿宋" w:cs="仿宋" w:hint="eastAsia"/>
            <w:lang w:eastAsia="zh-CN"/>
          </w:rPr>
          <w:t>十五、风险识别与分类</w:t>
        </w:r>
        <w:r>
          <w:tab/>
        </w:r>
        <w:r>
          <w:fldChar w:fldCharType="begin"/>
        </w:r>
        <w:r>
          <w:instrText xml:space="preserve"> PAGEREF _Toc23971 \h </w:instrText>
        </w:r>
        <w:r>
          <w:fldChar w:fldCharType="separate"/>
        </w:r>
        <w:r>
          <w:t>62</w:t>
        </w:r>
        <w:r>
          <w:fldChar w:fldCharType="end"/>
        </w:r>
      </w:hyperlink>
    </w:p>
    <w:p>
      <w:pPr>
        <w:pStyle w:val="TOC2"/>
        <w:tabs>
          <w:tab w:val="right" w:leader="dot" w:pos="8306"/>
        </w:tabs>
      </w:pPr>
      <w:hyperlink w:anchor="_Toc4896" w:history="1">
        <w:r>
          <w:rPr>
            <w:rFonts w:ascii="仿宋" w:eastAsia="仿宋" w:hAnsi="仿宋" w:cs="仿宋" w:hint="eastAsia"/>
            <w:lang w:eastAsia="zh-CN"/>
          </w:rPr>
          <w:t>(一)、风险识别</w:t>
        </w:r>
        <w:r>
          <w:tab/>
        </w:r>
        <w:r>
          <w:fldChar w:fldCharType="begin"/>
        </w:r>
        <w:r>
          <w:instrText xml:space="preserve"> PAGEREF _Toc4896 \h </w:instrText>
        </w:r>
        <w:r>
          <w:fldChar w:fldCharType="separate"/>
        </w:r>
        <w:r>
          <w:t>62</w:t>
        </w:r>
        <w:r>
          <w:fldChar w:fldCharType="end"/>
        </w:r>
      </w:hyperlink>
    </w:p>
    <w:p>
      <w:pPr>
        <w:pStyle w:val="TOC2"/>
        <w:tabs>
          <w:tab w:val="right" w:leader="dot" w:pos="8306"/>
        </w:tabs>
      </w:pPr>
      <w:hyperlink w:anchor="_Toc31069" w:history="1">
        <w:r>
          <w:rPr>
            <w:rFonts w:ascii="仿宋" w:eastAsia="仿宋" w:hAnsi="仿宋" w:cs="仿宋" w:hint="eastAsia"/>
            <w:lang w:eastAsia="zh-CN"/>
          </w:rPr>
          <w:t>(二)、风险分类</w:t>
        </w:r>
        <w:r>
          <w:tab/>
        </w:r>
        <w:r>
          <w:fldChar w:fldCharType="begin"/>
        </w:r>
        <w:r>
          <w:instrText xml:space="preserve"> PAGEREF _Toc31069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183"/>
      <w:r>
        <w:rPr>
          <w:rFonts w:ascii="仿宋" w:eastAsia="仿宋" w:hAnsi="仿宋" w:cs="仿宋" w:hint="eastAsia"/>
          <w:sz w:val="28"/>
          <w:lang w:eastAsia="zh-CN"/>
        </w:rPr>
        <w:t>一、生物农药及微生物农药项目可持续发展</w:t>
      </w:r>
      <w:bookmarkEnd w:id="2"/>
    </w:p>
    <w:p>
      <w:pPr>
        <w:pStyle w:val="Heading2"/>
        <w:rPr>
          <w:rFonts w:ascii="仿宋" w:eastAsia="仿宋" w:hAnsi="仿宋" w:cs="仿宋" w:hint="eastAsia"/>
          <w:lang w:eastAsia="zh-CN"/>
        </w:rPr>
      </w:pPr>
      <w:bookmarkStart w:id="3" w:name="_Toc660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微生物农药项目中，生物农药及微生物农药项目团队着眼于未来，明确了可持续发展的战略方向。制定的具体可持续发展目标包括降低资源使用、采用环保技术、最大化社会效益等。这一步骤不仅有助于生物农药及微生物农药项目在环保和社会责任方面达到最高标准，也为未来提供了明确的指引，确保生物农药及微生物农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可持续实践的融入生物农药及微生物农药项目管理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农药及微生物农药项目管理周期。从生物农药及微生物农药项目规划开始，生物农药及微生物农药项目团队就考虑了环境和社会的因素。在执行阶段，生物农药及微生物农药项目团队积极推动绿色技术的应用，优化资源利用。此外，关注员工的社会责任，通过培训和沟通活动提高员工对可持续发展的认知，使他们能够在日常工作中践行可持续实践。这些举措不仅为生物农药及微生物农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0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农药及微生物农药项目的可持续发展理念，我们深信环保与社会责任是生物农药及微生物农药项目成功的关键支柱。在生物农药及微生物农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团队通过引入先进的环保技术、建立高效的废物处理系统以及推动能源节约措施，积极履行环保责任。定期的环保监测和评估确保生物农药及微生物农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不仅致力于自身可持续发展，还注重对社会的回馈。通过支持社区生物农药及微生物农药项目、参与慈善事业、提供培训机会等方式，生物农药及微生物农药项目积极履行社会责任。与当地社区建立积极互动，关注员工的工作与生活平衡，以及员工的身心健康，是生物农药及微生物农药项目在社会责任层面的关键举措。这样的实践不仅增强了生物农药及微生物农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069"/>
      <w:r>
        <w:rPr>
          <w:rFonts w:ascii="仿宋" w:eastAsia="仿宋" w:hAnsi="仿宋" w:cs="仿宋" w:hint="eastAsia"/>
          <w:sz w:val="28"/>
          <w:lang w:eastAsia="zh-CN"/>
        </w:rPr>
        <w:t>二、生物农药及微生物农药项目文档管理</w:t>
      </w:r>
      <w:bookmarkEnd w:id="5"/>
    </w:p>
    <w:p>
      <w:pPr>
        <w:pStyle w:val="Heading2"/>
        <w:rPr>
          <w:rFonts w:ascii="仿宋" w:eastAsia="仿宋" w:hAnsi="仿宋" w:cs="仿宋" w:hint="eastAsia"/>
          <w:lang w:eastAsia="zh-CN"/>
        </w:rPr>
      </w:pPr>
      <w:bookmarkStart w:id="6" w:name="_Toc2768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生物农药及微生物农药项目高度重视文档的质量和准确性，以支持生物农药及微生物农药项目的各项活动和决策。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文档的编制始于生物农药及微生物农药项目计划的初期，我们制定了详细的文档编制计划，明确了每个文档的内容、格式和编写责任人。在生物农药及微生物农药项目启动阶段，我们首先编制了生物农药及微生物农药项目章程，明确定义了生物农药及微生物农药项目的目标、范围、风险等关键要素。随后，生物农药及微生物农药项目团队根据计划陆续编制了需求文档、设计文档、测试文档等各类文档，确保生物农药及微生物农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农药及微生物农药项目管理中的重要环节，旨在确保生物农药及微生物农药项目文档符合质量标准和生物农药及微生物农药项目需求。在生物农药及微生物农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农药及微生物农药项目相关利益方和专业领域的专家对文档进行独立审查。这有助于获取更全面、客观的反馈，确保生物农药及微生物农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在文档编制与审查方面建立了严格的管理机制，通过规范的流程和多维度的审查，确保生物农药及微生物农药项目文档的质量、准确性和可靠性，为生物农药及微生物农药项目的顺利推进提供了有力支持。</w:t>
      </w:r>
    </w:p>
    <w:p>
      <w:pPr>
        <w:pStyle w:val="Heading2"/>
        <w:ind w:firstLine="560" w:firstLineChars="200"/>
        <w:rPr>
          <w:rFonts w:ascii="仿宋" w:eastAsia="仿宋" w:hAnsi="仿宋" w:cs="仿宋" w:hint="eastAsia"/>
          <w:sz w:val="28"/>
          <w:lang w:eastAsia="zh-CN"/>
        </w:rPr>
      </w:pPr>
      <w:bookmarkStart w:id="7" w:name="_Toc3140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在生物农药及微生物农药项目中，我们致力于优化文档发布与分发过程，以确保信息的高效传递和团队间协作的顺畅进行。以下是我们采取的关键优化策略：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我们通过多渠道发布文档，包括电子邮件、生物农药及微生物农药项目管理平台、内部网站等，以满足不同团队成员的偏好和需求。多渠道发布确保了信息的全面覆盖。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我们采用了精细的权限控制，确保只有授权人员可以访问敏感信息。这种安全措施保护了生物农药及微生物农药项目文档的机密性，防止了未经授权的信息泄露。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41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物农药及微生物农药项目生命周期中一个至关重要的环节，直接关系到生物农药及微生物农药项目信息的长期保存和历史记录的完整性。在生物农药及微生物农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7107"/>
      <w:r>
        <w:rPr>
          <w:rFonts w:ascii="仿宋" w:eastAsia="仿宋" w:hAnsi="仿宋" w:cs="仿宋" w:hint="eastAsia"/>
          <w:sz w:val="28"/>
          <w:lang w:eastAsia="zh-CN"/>
        </w:rPr>
        <w:t>三、生物农药及微生物农药项目绩效评估</w:t>
      </w:r>
      <w:bookmarkEnd w:id="9"/>
    </w:p>
    <w:p>
      <w:pPr>
        <w:pStyle w:val="Heading2"/>
        <w:rPr>
          <w:rFonts w:ascii="仿宋" w:eastAsia="仿宋" w:hAnsi="仿宋" w:cs="仿宋" w:hint="eastAsia"/>
          <w:lang w:eastAsia="zh-CN"/>
        </w:rPr>
      </w:pPr>
      <w:bookmarkStart w:id="10" w:name="_Toc405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生物农药及微生物农药项目中，我们设计了一套全面的绩效评估指标，以确保生物农药及微生物农药项目的可控和成功交付。这些指标跨足生物农药及微生物农药项目目标、成本、进度和质量等多个维度，为我们提供了全面洞察生物农药及微生物农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目标达成率是我们关注的首要指标。我们设定了明确的目标，并通过定期监测和评估，迅速发现并应对潜在的目标偏差。这为生物农药及微生物农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成本绩效是另一个核心关注点。通过实际成本与预算成本的对比分析，我们深入了解成本差异的原因，及时调整资源分配，保持生物农药及微生物农药项目在经济效益方面的合理水平。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进度作为关键的绩效指标之一，得到了精心的关注。我们制定了详细的生物农药及微生物农药项目进度计划，并设立了进度符合度指标，确保实际进度与计划进度保持一致。这使我们能够快速发现和解决潜在的进度问题，保持生物农药及微生物农药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生物农药及微生物农药项目绩效的不可或缺的一环。我们引入了一系列的质量标准和客户满意度指标，以确保生物农药及微生物农药项目交付的成果在质量上达到或超越预期水平。通过持续监测这些指标，我们努力提升生物农药及微生物农药项目整体质量水平，为生物农药及微生物农药项目的成功交付提供有力保障。通过这些科学且全面的绩效评估，我们能够更好地引导生物农药及微生物农药项目的持续改进，确保生物农药及微生物农药项目目标的顺利达成。</w:t>
      </w:r>
    </w:p>
    <w:p>
      <w:pPr>
        <w:pStyle w:val="Heading2"/>
        <w:ind w:firstLine="560" w:firstLineChars="200"/>
        <w:rPr>
          <w:rFonts w:ascii="仿宋" w:eastAsia="仿宋" w:hAnsi="仿宋" w:cs="仿宋" w:hint="eastAsia"/>
          <w:sz w:val="28"/>
          <w:lang w:eastAsia="zh-CN"/>
        </w:rPr>
      </w:pPr>
      <w:bookmarkStart w:id="11" w:name="_Toc1636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绩效评估是生物农药及微生物农药项目中的关键环节，为确保生物农药及微生物农药项目达到预期目标，我们采用了多层次、多维度的绩效评估方法。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物农药及微生物农药项目的战略目标对齐，确保每个决策和行动都与生物农药及微生物农药项目整体目标保持一致。团队会定期召开战略对齐会议，审视当前工作与生物农药及微生物农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物农药及微生物农药项目进度、质量、成本和风险等方面。这些指标通过数据收集和分析，为生物农药及微生物农药项目管理团队提供了客观的评估依据。例如，我们通过生物农药及微生物农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物农药及微生物农药项目内部，还考虑了生物农药及微生物农药项目对外部环境的影响。我们定期进行干系人满意度调查，以了解各利益相关方对生物农药及微生物农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这种多层次、多角度的绩效评估方法，使得我们能够全面了解生物农药及微生物农药项目的运行状态，及时做出调整，确保生物农药及微生物农药项目在不断变化的环境中保持稳健前行。</w:t>
      </w:r>
    </w:p>
    <w:p>
      <w:pPr>
        <w:pStyle w:val="Heading2"/>
        <w:ind w:firstLine="560" w:firstLineChars="200"/>
        <w:rPr>
          <w:rFonts w:ascii="仿宋" w:eastAsia="仿宋" w:hAnsi="仿宋" w:cs="仿宋" w:hint="eastAsia"/>
          <w:sz w:val="28"/>
          <w:lang w:eastAsia="zh-CN"/>
        </w:rPr>
      </w:pPr>
      <w:bookmarkStart w:id="12" w:name="_Toc2060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为了确保生物农药及微生物农药项目的有效管理和不断优化，我们采用了精心设计的绩效评估周期。这个周期旨在实现灵活、实时和全面的评估，以适应生物农药及微生物农药项目执行中的各种挑战。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物农药及微生物农药项目的不同需求，分为短期、中期和长期。短期评估关注每个迭代或工作周期，以及时发现和解决当前任务中的问题。中期评估涵盖几个迭代，深入了解整体生物农药及微生物农药项目的趋势和性能。长期评估则着眼于整个生物农药及微生物农药项目阶段，确保生物农药及微生物农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物农药及微生物农药项目管理工具和协作平台，团队成员能够随时更新和分享生物农药及微生物农药项目数据。这种实时性的反馈机制使我们能够及时察觉潜在问题，快速调整，保持生物农药及微生物农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生物农药及微生物农药项目的决策制定密不可分。每个周期的生物农药及微生物农药项目回顾会议成为集体总结经验、识别问题深层次原因并找到创新解决方案的平台。这种定期的反思与调整机制使生物农药及微生物农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669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23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的技术管理特点体现在其创新导向。通过引入最先进的技术趋势和解决方案，生物农药及微生物农药项目致力于提升科技含量、提高质量和效率水平。这意味着我们将采用最新的工具和方法，确保生物农药及微生物农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农药及微生物农药项目技术管理的显著特征。通过整合不同领域的技术资源，我们实现了跨学科的协同工作。这有助于优化技术架构，提高整体效能。此外，整合性策略还促进了不同技术团队之间的紧密沟通和高效合作，确保生物农药及微生物农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农药及微生物农药项目所采用的技术。通过不断优化技术方案，生物农药及微生物农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农药及微生物农药项目团队将在生物农药及微生物农药项目初期识别可能的技术风险，并采取相应的预防和应对措施。通过建立健全的风险评估机制，生物农药及微生物农药项目能够在实施过程中及时发现并解决潜在的技术问题，保障生物农药及微生物农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农药及微生物农药项目中，技术将成为生物农药及微生物农药项目成功的有力支持。这一深度剖析揭示了技术管理在生物农药及微生物农药项目实施中的关键作用，为生物农药及微生物农药项目的技术基础奠定了坚实的基础。</w:t>
      </w:r>
    </w:p>
    <w:p>
      <w:pPr>
        <w:pStyle w:val="Heading2"/>
        <w:ind w:firstLine="560" w:firstLineChars="200"/>
        <w:rPr>
          <w:rFonts w:ascii="仿宋" w:eastAsia="仿宋" w:hAnsi="仿宋" w:cs="仿宋" w:hint="eastAsia"/>
          <w:sz w:val="28"/>
          <w:lang w:eastAsia="zh-CN"/>
        </w:rPr>
      </w:pPr>
      <w:bookmarkStart w:id="15" w:name="_Toc8760"/>
      <w:r>
        <w:rPr>
          <w:rFonts w:ascii="仿宋" w:eastAsia="仿宋" w:hAnsi="仿宋" w:cs="仿宋" w:hint="eastAsia"/>
          <w:sz w:val="28"/>
          <w:lang w:eastAsia="zh-CN"/>
        </w:rPr>
        <w:t>(二)、生物农药及微生物农药项目工艺技术设计方案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农药及微生物农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生物农药及微生物农药项目将严格按照相关行业规范要求进行组织。通过有效控制产品质量，生物农药及微生物农药项目将致力于为顾客提供优质的生物农药及微生物农药项目产品和良好的服务。这体现了生物农药及微生物农药项目对于生产活动合规性和质量标准的高度重视，为生物农药及微生物农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农药及微生物农药项目注重生态效益和清洁生产原则。生物农药及微生物农药项目建设将紧密结合地方特色经济发展，与社会经济发展规划和区域环境保护规划方案相协调一致。通过与当地区域自然生态系统的结合，生物农药及微生物农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农药及微生物农药项目产品具有多样化的客户需求和个性化的特点。因此，生物农药及微生物农药项目产品规格品种多样，且单批生产数量较小。为满足这一特点，生物农药及微生物农药项目承办单位将建设先进的柔性制造生产线。通过广泛应用柔性制造技术，生物农药及微生物农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农药及微生物农药项目采用的技术具有较高的技术含量和自动化水平，处于国内先进水平。这一技术选用不仅体现了对生产效率、质量和环境友好性的高标准要求，同时为生物农药及微生物农药项目的可持续发展奠定了坚实的基础。</w:t>
      </w:r>
    </w:p>
    <w:p>
      <w:pPr>
        <w:pStyle w:val="Heading2"/>
        <w:ind w:firstLine="560" w:firstLineChars="200"/>
        <w:rPr>
          <w:rFonts w:ascii="仿宋" w:eastAsia="仿宋" w:hAnsi="仿宋" w:cs="仿宋" w:hint="eastAsia"/>
          <w:sz w:val="28"/>
          <w:lang w:eastAsia="zh-CN"/>
        </w:rPr>
      </w:pPr>
      <w:bookmarkStart w:id="16" w:name="_Toc669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为确保生物农药及微生物农药项目的高效生产和技术实施，我们制定了一套精心设计的设备选型方案，以满足生物农药及微生物农药项目生产、质量和环保的要求。该方案的主要特点如下：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农药及微生物农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农药及微生物农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09"/>
      <w:r>
        <w:rPr>
          <w:rFonts w:ascii="仿宋" w:eastAsia="仿宋" w:hAnsi="仿宋" w:cs="仿宋" w:hint="eastAsia"/>
          <w:sz w:val="28"/>
          <w:lang w:eastAsia="zh-CN"/>
        </w:rPr>
        <w:t>五、生物农药及微生物农药项目概论</w:t>
      </w:r>
      <w:bookmarkEnd w:id="17"/>
    </w:p>
    <w:p>
      <w:pPr>
        <w:pStyle w:val="Heading2"/>
        <w:rPr>
          <w:rFonts w:ascii="仿宋" w:eastAsia="仿宋" w:hAnsi="仿宋" w:cs="仿宋" w:hint="eastAsia"/>
          <w:lang w:eastAsia="zh-CN"/>
        </w:rPr>
      </w:pPr>
      <w:bookmarkStart w:id="18" w:name="_Toc21311"/>
      <w:r>
        <w:rPr>
          <w:rFonts w:ascii="仿宋" w:eastAsia="仿宋" w:hAnsi="仿宋" w:cs="仿宋" w:hint="eastAsia"/>
          <w:lang w:eastAsia="zh-CN"/>
        </w:rPr>
        <w:t>(一)、生物农药及微生物农药项目概况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的起源追溯至对市场的深入洞察。市场的不断演变与变革为生物农药及微生物农药项目提供了难得的机遇。当前市场存在的需求缺口和变革的大环境共同构成了生物农药及微生物农药项目的背景。这个生物农药及微生物农药项目旨在充分利用市场机遇，填补行业中尚未满足的需求，为客户提供全新的解决方案。市场的变革和需求的增长使得这个生物农药及微生物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生物农药及微生物农药项目名称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微生物农药项目正式命名为生物农药及微生物农药。这个名称不仅仅是一个标识，更代表了生物农药及微生物农药项目的核心理念和愿景。它蕴含着生物农药及微生物农药项目所要解决问题的关键字，具有强烈的表达和辨识度，为生物农药及微生物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生物农药及微生物农药项目目标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https://d.book118.com/907043104055006030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生物农药及微生物农药项目规划设计方案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D6431"/>
    <w:rsid w:val="7C5D64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431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2024-01-10T22:26:00Z</dcterms:created>
  <dcterms:modified xsi:type="dcterms:W3CDTF">2024-01-10T22:26:18Z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E2C93F6FBF3741EBB81E82DE5647DA5B_11</vt:lpwstr>
  </property>
  <property fmtid="{D5CDD505-2E9C-101B-9397-08002B2CF9AE}" pid="3" name="KSOProductBuildVer">
    <vt:lpwstr>2052-12.1.0.16120</vt:lpwstr>
  </property>
</Properties>
</file>