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413A9" w14:paraId="09929C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413A9" w14:paraId="3EDEA5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413A9" w14:paraId="4C961C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413A9" w:rsidRPr="005413A9" w14:paraId="1ADAE482" w14:textId="7AA84EC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413A9">
        <w:rPr>
          <w:rFonts w:ascii="宋体" w:eastAsia="宋体" w:hAnsi="宋体" w:hint="eastAsia"/>
          <w:b/>
          <w:sz w:val="60"/>
        </w:rPr>
        <w:t>环己胺项目绩效评估报告</w:t>
      </w:r>
    </w:p>
    <w:p w:rsidR="005413A9" w:rsidP="005413A9" w14:paraId="4325DEB9" w14:textId="4CFCD74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413A9">
        <w:rPr>
          <w:rFonts w:ascii="仿宋" w:eastAsia="仿宋" w:hAnsi="仿宋" w:hint="eastAsia"/>
          <w:b/>
          <w:sz w:val="40"/>
        </w:rPr>
        <w:t>目录</w:t>
      </w:r>
    </w:p>
    <w:p w:rsidR="005413A9" w14:paraId="67A2BDE3" w14:textId="545245A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413A9" w14:paraId="695B9EFB" w14:textId="148037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413A9" w14:paraId="7AEEE423" w14:textId="2F1F6D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413A9" w14:paraId="39B31491" w14:textId="2C749F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413A9" w14:paraId="2628D046" w14:textId="733C52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_Toc153774632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413A9" w14:paraId="06CADFDB" w14:textId="59BAFE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_Toc153774633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413A9" w14:paraId="2FFA808B" w14:textId="264440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413A9" w14:paraId="38221FE0" w14:textId="0809B4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413A9" w14:paraId="102DA3E1" w14:textId="31E281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413A9" w14:paraId="41F49780" w14:textId="4B5AD8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413A9" w14:paraId="5F64DC25" w14:textId="49ED8E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_Toc153774638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413A9" w14:paraId="3B5E5EB1" w14:textId="35C742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413A9" w14:paraId="2E6391AE" w14:textId="3A35DC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413A9" w14:paraId="3CD890D6" w14:textId="6E5423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_Toc153774641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413A9" w14:paraId="5B39264D" w14:textId="1F028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413A9" w14:paraId="3A7F3988" w14:textId="5488C0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(二)、环己胺项目技术工艺简要分析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_Toc153774643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413A9" w14:paraId="3DCEDCEA" w14:textId="0CD8B6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_Toc153774644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413A9" w14:paraId="43FDD3ED" w14:textId="3DDCD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(四)、环己胺项目技术流程简述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_Toc153774645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413A9" w14:paraId="7BB7F98B" w14:textId="1D39E8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_Toc153774646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413A9" w14:paraId="5BED5084" w14:textId="2AF85E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五、环己胺项目承办单位基本情况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_Toc153774647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413A9" w14:paraId="3A36BE15" w14:textId="4896E23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_Toc153774648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413A9" w14:paraId="6126F535" w14:textId="036EF5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_Toc153774649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413A9" w14:paraId="2E99DA55" w14:textId="602045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_Toc153774650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413A9" w14:paraId="5F59ADD1" w14:textId="1C9C18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_Toc153774651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413A9" w14:paraId="0E6E1AF2" w14:textId="69E01F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_Toc153774652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413A9" w14:paraId="310C7E99" w14:textId="4829E6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_Toc153774653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413A9" w14:paraId="47616E67" w14:textId="35049F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_Toc153774654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413A9" w14:paraId="7FD52F72" w14:textId="356F86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_Toc153774655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413A9" w14:paraId="308A13F0" w14:textId="7AA525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_Toc153774656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413A9" w14:paraId="3C2BAAD7" w14:textId="0D49B5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_Toc153774657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413A9" w14:paraId="7245CCF9" w14:textId="6CDD9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_Toc153774658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413A9" w14:paraId="7AD5689C" w14:textId="1C8A35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_Toc153774659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413A9" w14:paraId="681B281F" w14:textId="492B5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_Toc153774660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413A9" w14:paraId="74DF2C6A" w14:textId="1742E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_Toc153774661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413A9" w14:paraId="30B7C1B7" w14:textId="4FB54F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_Toc153774662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413A9" w14:paraId="148F4FD7" w14:textId="3211D7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_Toc153774663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413A9" w14:paraId="58F6B416" w14:textId="7BF70B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_Toc153774664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413A9" w14:paraId="0B6786B0" w14:textId="40E52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_Toc153774665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413A9" w14:paraId="1DA6C77C" w14:textId="7FE7BF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(三)、环己胺项目盈利能力分析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_Toc153774666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413A9" w14:paraId="223FA6B5" w14:textId="3C0F28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_Toc153774667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413A9" w14:paraId="7EEB2C3E" w14:textId="0D60F5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_Toc153774668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413A9" w14:paraId="1F0D3319" w14:textId="193EFB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_Toc153774669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413A9" w14:paraId="586E0133" w14:textId="63B0DA8F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_Toc153774670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413A9" w14:paraId="0F30E76F" w14:textId="684209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_Toc153774671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413A9" w14:paraId="622B41FF" w14:textId="49D0B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_Toc153774672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413A9" w14:paraId="308FC814" w14:textId="293E4B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_Toc153774673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413A9" w14:paraId="16FB6516" w14:textId="1FBEDC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_Toc153774674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413A9" w14:paraId="4561AAD9" w14:textId="5BDCC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_Toc153774675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413A9" w14:paraId="4EE426F7" w14:textId="56BDE1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_Toc153774676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413A9" w14:paraId="21B7AD4C" w14:textId="653FF1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_Toc153774677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413A9" w14:paraId="1E7FEEBD" w14:textId="5DEE79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_Toc153774678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413A9" w14:paraId="2CF68FFE" w14:textId="10F5E3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_Toc153774679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413A9" w14:paraId="09FEDA1E" w14:textId="2DC4D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_Toc153774680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413A9" w14:paraId="11027862" w14:textId="50F1CB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_Toc153774681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413A9" w14:paraId="26D10605" w14:textId="25D69A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_Toc153774682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413A9" w14:paraId="3BE0AD0E" w14:textId="0568DB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_Toc153774683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413A9" w14:paraId="355BD79D" w14:textId="3C9D9D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_Toc153774684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413A9" w14:paraId="1F6B8099" w14:textId="504E66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_Toc153774685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413A9" w14:paraId="7A3129E5" w14:textId="5A9F7C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_Toc153774686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413A9" w14:paraId="4B213EDC" w14:textId="0FE9FF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_Toc153774687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413A9" w14:paraId="557563C0" w14:textId="4E2821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_Toc153774688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413A9" w14:paraId="138090D3" w14:textId="23AD58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_Toc153774689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413A9" w14:paraId="46409A7C" w14:textId="3CA94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_Toc153774690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413A9" w14:paraId="37736ADA" w14:textId="0ABBB7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_Toc153774691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413A9" w14:paraId="61D704EF" w14:textId="130E570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_Toc153774692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413A9" w14:paraId="10E53991" w14:textId="7C7FF7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_Toc153774693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413A9" w14:paraId="44DE2300" w14:textId="55FB7E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_Toc153774694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413A9" w14:paraId="18F1A11A" w14:textId="1AB8FE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_Toc153774695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413A9" w14:paraId="08BE1DB8" w14:textId="166DD5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_Toc153774696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413A9" w14:paraId="0086C2F6" w14:textId="0F5117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_Toc153774697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413A9" w14:paraId="4CF203CD" w14:textId="4AE84D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_Toc153774698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413A9" w:rsidP="005413A9" w14:paraId="018C8A12" w14:textId="7B889E4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5413A9" w:rsidP="005413A9" w14:paraId="1FCB88A3" w14:textId="52C59907">
      <w:pPr>
        <w:pStyle w:val="Heading1"/>
        <w:jc w:val="center"/>
        <w:rPr>
          <w:rFonts w:hint="eastAsia"/>
        </w:rPr>
      </w:pPr>
      <w:bookmarkStart w:id="0" w:name="_Toc153774628"/>
      <w:r w:rsidRPr="005413A9">
        <w:rPr>
          <w:rFonts w:hint="eastAsia"/>
        </w:rPr>
        <w:t>前言</w:t>
      </w:r>
      <w:bookmarkEnd w:id="0"/>
    </w:p>
    <w:p w:rsidR="005413A9" w:rsidP="005413A9" w14:paraId="056FD3C8" w14:textId="2E1C49D8">
      <w:pPr>
        <w:ind w:firstLine="560" w:firstLineChars="200"/>
        <w:rPr>
          <w:rFonts w:ascii="仿宋" w:eastAsia="仿宋" w:hAnsi="仿宋" w:hint="eastAsia"/>
          <w:sz w:val="28"/>
        </w:rPr>
      </w:pPr>
      <w:r w:rsidRPr="005413A9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5413A9" w:rsidP="005413A9" w14:paraId="39B4A221" w14:textId="61BC921F">
      <w:pPr>
        <w:pStyle w:val="Heading1"/>
        <w:rPr>
          <w:rFonts w:hint="eastAsia"/>
        </w:rPr>
      </w:pPr>
      <w:bookmarkStart w:id="1" w:name="_Toc153774629"/>
      <w:r w:rsidRPr="005413A9">
        <w:rPr>
          <w:rFonts w:hint="eastAsia"/>
        </w:rPr>
        <w:t>一、社交媒体与在线营销</w:t>
      </w:r>
      <w:bookmarkEnd w:id="1"/>
    </w:p>
    <w:p w:rsidR="005413A9" w:rsidP="005413A9" w14:paraId="6C357B15" w14:textId="5ABFB369">
      <w:pPr>
        <w:pStyle w:val="Heading2"/>
      </w:pPr>
      <w:bookmarkStart w:id="2" w:name="_Toc153774630"/>
      <w:r w:rsidRPr="005413A9">
        <w:t>(一)、社交媒体策略</w:t>
      </w:r>
      <w:bookmarkEnd w:id="2"/>
    </w:p>
    <w:p w:rsidR="005413A9" w:rsidRPr="005413A9" w:rsidP="005413A9" w14:paraId="637EB14A" w14:textId="77777777">
      <w:pPr>
        <w:ind w:firstLine="560" w:firstLineChars="200"/>
        <w:rPr>
          <w:rFonts w:ascii="仿宋" w:eastAsia="仿宋" w:hAnsi="仿宋"/>
          <w:sz w:val="28"/>
        </w:rPr>
      </w:pPr>
      <w:r w:rsidRPr="005413A9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5413A9">
        <w:rPr>
          <w:rFonts w:ascii="仿宋" w:eastAsia="仿宋" w:hAnsi="仿宋"/>
          <w:sz w:val="28"/>
        </w:rPr>
        <w:t>XXXX等。</w:t>
      </w:r>
    </w:p>
    <w:p w:rsidR="005413A9" w:rsidRPr="005413A9" w:rsidP="005413A9" w14:paraId="7E87A978" w14:textId="77777777">
      <w:pPr>
        <w:ind w:firstLine="560" w:firstLineChars="200"/>
        <w:rPr>
          <w:rFonts w:ascii="仿宋" w:eastAsia="仿宋" w:hAnsi="仿宋"/>
          <w:sz w:val="28"/>
        </w:rPr>
      </w:pPr>
      <w:r w:rsidRPr="005413A9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5413A9" w:rsidRPr="005413A9" w:rsidP="005413A9" w14:paraId="14002284" w14:textId="77777777">
      <w:pPr>
        <w:ind w:firstLine="560" w:firstLineChars="200"/>
        <w:rPr>
          <w:rFonts w:ascii="仿宋" w:eastAsia="仿宋" w:hAnsi="仿宋"/>
          <w:sz w:val="28"/>
        </w:rPr>
      </w:pPr>
      <w:r w:rsidRPr="005413A9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5413A9" w:rsidP="005413A9" w14:paraId="0BD54DC0" w14:textId="6438CDEF">
      <w:pPr>
        <w:ind w:firstLine="560" w:firstLineChars="200"/>
        <w:rPr>
          <w:rFonts w:ascii="仿宋" w:eastAsia="仿宋" w:hAnsi="仿宋" w:hint="eastAsia"/>
          <w:sz w:val="28"/>
        </w:rPr>
      </w:pPr>
      <w:r w:rsidRPr="005413A9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5413A9" w:rsidP="005413A9" w14:paraId="4B96F92D" w14:textId="79E2028B">
      <w:pPr>
        <w:pStyle w:val="Heading2"/>
      </w:pPr>
      <w:bookmarkStart w:id="3" w:name="_Toc153774631"/>
      <w:r w:rsidRPr="005413A9">
        <w:t>(二)、在线广告与内容营销</w:t>
      </w:r>
      <w:bookmarkEnd w:id="3"/>
    </w:p>
    <w:p w:rsidR="005413A9" w:rsidRPr="005413A9" w:rsidP="005413A9" w14:paraId="217EB79F" w14:textId="77777777">
      <w:pPr>
        <w:ind w:firstLine="560" w:firstLineChars="200"/>
        <w:rPr>
          <w:rFonts w:ascii="仿宋" w:eastAsia="仿宋" w:hAnsi="仿宋"/>
          <w:sz w:val="28"/>
        </w:rPr>
      </w:pPr>
      <w:r w:rsidRPr="005413A9">
        <w:rPr>
          <w:rFonts w:ascii="仿宋" w:eastAsia="仿宋" w:hAnsi="仿宋" w:hint="eastAsia"/>
          <w:sz w:val="28"/>
        </w:rPr>
        <w:t>选择合适的在线广告渠道，如</w:t>
      </w:r>
      <w:r w:rsidRPr="005413A9">
        <w:rPr>
          <w:rFonts w:ascii="仿宋" w:eastAsia="仿宋" w:hAnsi="仿宋"/>
          <w:sz w:val="28"/>
        </w:rPr>
        <w:t>xxx、社交媒体广告等。</w:t>
      </w:r>
    </w:p>
    <w:p w:rsidR="005413A9" w:rsidRPr="005413A9" w:rsidP="005413A9" w14:paraId="7AE45B39" w14:textId="77777777">
      <w:pPr>
        <w:ind w:firstLine="560" w:firstLineChars="200"/>
        <w:rPr>
          <w:rFonts w:ascii="仿宋" w:eastAsia="仿宋" w:hAnsi="仿宋"/>
          <w:sz w:val="28"/>
        </w:rPr>
      </w:pPr>
      <w:r w:rsidRPr="005413A9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5413A9" w:rsidRPr="005413A9" w:rsidP="005413A9" w14:paraId="242775E8" w14:textId="77777777">
      <w:pPr>
        <w:ind w:firstLine="560" w:firstLineChars="200"/>
        <w:rPr>
          <w:rFonts w:ascii="仿宋" w:eastAsia="仿宋" w:hAnsi="仿宋"/>
          <w:sz w:val="28"/>
        </w:rPr>
      </w:pPr>
      <w:r w:rsidRPr="005413A9">
        <w:rPr>
          <w:rFonts w:ascii="仿宋" w:eastAsia="仿宋" w:hAnsi="仿宋" w:hint="eastAsia"/>
          <w:sz w:val="28"/>
        </w:rPr>
        <w:t>制定广告预算并管理广告开支。</w:t>
      </w:r>
    </w:p>
    <w:p w:rsidR="005413A9" w:rsidRPr="005413A9" w:rsidP="005413A9" w14:paraId="1CBFDF4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5413A9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5413A9" w:rsidP="005413A9" w14:paraId="07CE9B17" w14:textId="07E5229A">
      <w:pPr>
        <w:ind w:firstLine="560" w:firstLineChars="200"/>
        <w:rPr>
          <w:rFonts w:ascii="仿宋" w:eastAsia="仿宋" w:hAnsi="仿宋" w:hint="eastAsia"/>
          <w:sz w:val="28"/>
        </w:rPr>
      </w:pPr>
      <w:r w:rsidRPr="005413A9">
        <w:rPr>
          <w:rFonts w:ascii="仿宋" w:eastAsia="仿宋" w:hAnsi="仿宋" w:hint="eastAsia"/>
          <w:sz w:val="28"/>
        </w:rPr>
        <w:t>优化网站以提高在搜索引擎上的可见性。</w:t>
      </w:r>
    </w:p>
    <w:p w:rsidR="005413A9" w:rsidP="005413A9" w14:paraId="00AB094B" w14:textId="3C902071">
      <w:pPr>
        <w:pStyle w:val="Heading2"/>
      </w:pPr>
      <w:bookmarkStart w:id="4" w:name="_Toc153774632"/>
      <w:r w:rsidRPr="005413A9">
        <w:t>(三)、社交媒体分析与ROI</w:t>
      </w:r>
      <w:bookmarkEnd w:id="4"/>
    </w:p>
    <w:p w:rsidR="005413A9" w:rsidRPr="005413A9" w:rsidP="005413A9" w14:paraId="7C612A09" w14:textId="77777777">
      <w:pPr>
        <w:ind w:firstLine="560" w:firstLineChars="200"/>
        <w:rPr>
          <w:rFonts w:ascii="仿宋" w:eastAsia="仿宋" w:hAnsi="仿宋"/>
          <w:sz w:val="28"/>
        </w:rPr>
      </w:pPr>
      <w:r w:rsidRPr="005413A9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5413A9" w:rsidRPr="005413A9" w:rsidP="005413A9" w14:paraId="4760D569" w14:textId="77777777">
      <w:pPr>
        <w:ind w:firstLine="560" w:firstLineChars="200"/>
        <w:rPr>
          <w:rFonts w:ascii="仿宋" w:eastAsia="仿宋" w:hAnsi="仿宋"/>
          <w:sz w:val="28"/>
        </w:rPr>
      </w:pPr>
      <w:r w:rsidRPr="005413A9">
        <w:rPr>
          <w:rFonts w:ascii="仿宋" w:eastAsia="仿宋" w:hAnsi="仿宋" w:hint="eastAsia"/>
          <w:sz w:val="28"/>
        </w:rPr>
        <w:t>使用分析工具如</w:t>
      </w:r>
      <w:r w:rsidRPr="005413A9">
        <w:rPr>
          <w:rFonts w:ascii="仿宋" w:eastAsia="仿宋" w:hAnsi="仿宋"/>
          <w:sz w:val="28"/>
        </w:rPr>
        <w:t>XXX、社交媒体分析工具来监测表现。</w:t>
      </w:r>
    </w:p>
    <w:p w:rsidR="005413A9" w:rsidP="005413A9" w14:paraId="36A1E2A5" w14:textId="68E7EC0B">
      <w:pPr>
        <w:ind w:firstLine="560" w:firstLineChars="200"/>
        <w:rPr>
          <w:rFonts w:ascii="仿宋" w:eastAsia="仿宋" w:hAnsi="仿宋" w:hint="eastAsia"/>
          <w:sz w:val="28"/>
        </w:rPr>
      </w:pPr>
      <w:r w:rsidRPr="005413A9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5413A9" w:rsidP="005413A9" w14:paraId="432920B2" w14:textId="1BD830EC">
      <w:pPr>
        <w:pStyle w:val="Heading1"/>
        <w:rPr>
          <w:rFonts w:hint="eastAsia"/>
        </w:rPr>
      </w:pPr>
      <w:bookmarkStart w:id="5" w:name="_Toc153774633"/>
      <w:r w:rsidRPr="005413A9">
        <w:rPr>
          <w:rFonts w:hint="eastAsia"/>
        </w:rPr>
        <w:t>二、市场预测</w:t>
      </w:r>
      <w:bookmarkEnd w:id="5"/>
    </w:p>
    <w:p w:rsidR="005413A9" w:rsidP="005413A9" w14:paraId="667283F6" w14:textId="523D504E">
      <w:pPr>
        <w:pStyle w:val="Heading2"/>
      </w:pPr>
      <w:bookmarkStart w:id="6" w:name="_Toc153774634"/>
      <w:r w:rsidRPr="005413A9">
        <w:t>(一)、行业发展概况</w:t>
      </w:r>
      <w:bookmarkEnd w:id="6"/>
    </w:p>
    <w:p w:rsidR="005413A9" w:rsidRPr="005413A9" w:rsidP="005413A9" w14:paraId="0DC19974" w14:textId="77777777">
      <w:pPr>
        <w:ind w:firstLine="560" w:firstLineChars="200"/>
        <w:rPr>
          <w:rFonts w:ascii="仿宋" w:eastAsia="仿宋" w:hAnsi="仿宋"/>
          <w:sz w:val="28"/>
        </w:rPr>
      </w:pPr>
      <w:r w:rsidRPr="005413A9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5413A9" w:rsidRPr="005413A9" w:rsidP="005413A9" w14:paraId="27E50A35" w14:textId="77777777">
      <w:pPr>
        <w:ind w:firstLine="560" w:firstLineChars="200"/>
        <w:rPr>
          <w:rFonts w:ascii="仿宋" w:eastAsia="仿宋" w:hAnsi="仿宋"/>
          <w:sz w:val="28"/>
        </w:rPr>
      </w:pPr>
      <w:r w:rsidRPr="005413A9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市场规模扩大：行业市场规模持续扩大，引起了更多投资者和企业的兴趣。这表明市场需求持续增长，为新环己胺项目的发展提供了坚实的基础。</w:t>
      </w:r>
    </w:p>
    <w:p w:rsidR="005413A9" w:rsidRPr="005413A9" w:rsidP="005413A9" w14:paraId="79229FEE" w14:textId="77777777">
      <w:pPr>
        <w:ind w:firstLine="560" w:firstLineChars="200"/>
        <w:rPr>
          <w:rFonts w:ascii="仿宋" w:eastAsia="仿宋" w:hAnsi="仿宋"/>
          <w:sz w:val="28"/>
        </w:rPr>
      </w:pPr>
      <w:r w:rsidRPr="005413A9">
        <w:rPr>
          <w:rFonts w:ascii="仿宋" w:eastAsia="仿宋" w:hAnsi="仿宋" w:hint="eastAsia"/>
          <w:sz w:val="28"/>
        </w:rPr>
        <w:t>技术创新：行业经历了技术创新的浪潮，包括</w:t>
      </w:r>
      <w:r w:rsidRPr="005413A9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5413A9" w:rsidRPr="005413A9" w:rsidP="005413A9" w14:paraId="6E69792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5413A9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竞争格局：行业内竞争激烈，有许多关键参与者。然而，一些主要公司已经占据了市场份额，而其他新进入者正在迅速崭露头角。这为环己胺项目的定位和市场占有率带来了挑战和机会。</w:t>
      </w:r>
    </w:p>
    <w:p w:rsidR="005413A9" w:rsidP="005413A9" w14:paraId="1CF2AA6E" w14:textId="5F5AAADB">
      <w:pPr>
        <w:ind w:firstLine="560" w:firstLineChars="200"/>
        <w:rPr>
          <w:rFonts w:ascii="仿宋" w:eastAsia="仿宋" w:hAnsi="仿宋" w:hint="eastAsia"/>
          <w:sz w:val="28"/>
        </w:rPr>
      </w:pPr>
      <w:r w:rsidRPr="005413A9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5413A9">
        <w:rPr>
          <w:rFonts w:ascii="仿宋" w:eastAsia="仿宋" w:hAnsi="仿宋" w:hint="eastAsia"/>
          <w:sz w:val="28"/>
        </w:rPr>
        <w:t>极影响。</w:t>
      </w:r>
    </w:p>
    <w:p w:rsidR="005413A9" w:rsidP="005413A9" w14:paraId="69E88422" w14:textId="1821F7BA">
      <w:pPr>
        <w:pStyle w:val="Heading2"/>
      </w:pPr>
      <w:bookmarkStart w:id="7" w:name="_Toc153774635"/>
      <w:r w:rsidRPr="005413A9">
        <w:t>(二)、影响行业发展主要因素</w:t>
      </w:r>
      <w:bookmarkEnd w:id="7"/>
    </w:p>
    <w:p w:rsidR="005413A9" w:rsidRPr="005413A9" w:rsidP="005413A9" w14:paraId="2D91347A" w14:textId="77777777">
      <w:pPr>
        <w:ind w:firstLine="560" w:firstLineChars="200"/>
        <w:rPr>
          <w:rFonts w:ascii="仿宋" w:eastAsia="仿宋" w:hAnsi="仿宋"/>
          <w:sz w:val="28"/>
        </w:rPr>
      </w:pPr>
      <w:r w:rsidRPr="005413A9">
        <w:rPr>
          <w:rFonts w:ascii="仿宋" w:eastAsia="仿宋" w:hAnsi="仿宋" w:hint="eastAsia"/>
          <w:sz w:val="28"/>
        </w:rPr>
        <w:t>了解行业发展的主要因素对环己胺项目的成功至关重要。下面是一些可能影响某某环己胺项目行业的主要因素：</w:t>
      </w:r>
    </w:p>
    <w:p w:rsidR="005413A9" w:rsidRPr="005413A9" w:rsidP="005413A9" w14:paraId="7088EDEE" w14:textId="77777777">
      <w:pPr>
        <w:ind w:firstLine="560" w:firstLineChars="200"/>
        <w:rPr>
          <w:rFonts w:ascii="仿宋" w:eastAsia="仿宋" w:hAnsi="仿宋"/>
          <w:sz w:val="28"/>
        </w:rPr>
      </w:pPr>
      <w:r w:rsidRPr="005413A9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市场需求：市场需求是行业发展的关键因素。了解市场需求的趋势和变化，包括产品类型和规格的需求，可以帮助环己胺项目确定市场定位和产品策略。</w:t>
      </w:r>
    </w:p>
    <w:p w:rsidR="005413A9" w:rsidRPr="005413A9" w:rsidP="005413A9" w14:paraId="58AC7FAC" w14:textId="77777777">
      <w:pPr>
        <w:ind w:firstLine="560" w:firstLineChars="200"/>
        <w:rPr>
          <w:rFonts w:ascii="仿宋" w:eastAsia="仿宋" w:hAnsi="仿宋"/>
          <w:sz w:val="28"/>
        </w:rPr>
      </w:pPr>
      <w:r w:rsidRPr="005413A9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5413A9" w:rsidRPr="005413A9" w:rsidP="005413A9" w14:paraId="1F728894" w14:textId="77777777">
      <w:pPr>
        <w:ind w:firstLine="560" w:firstLineChars="200"/>
        <w:rPr>
          <w:rFonts w:ascii="仿宋" w:eastAsia="仿宋" w:hAnsi="仿宋"/>
          <w:sz w:val="28"/>
        </w:rPr>
      </w:pPr>
      <w:r w:rsidRPr="005413A9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原材料供应：原材料的可获得性和成本可能会对生产过程和成本产生影响。了解原材料供应链的稳定性对环己胺项目至关重要。</w:t>
      </w:r>
    </w:p>
    <w:p w:rsidR="005413A9" w:rsidRPr="005413A9" w:rsidP="005413A9" w14:paraId="0F62ABA8" w14:textId="77777777">
      <w:pPr>
        <w:ind w:firstLine="560" w:firstLineChars="200"/>
        <w:rPr>
          <w:rFonts w:ascii="仿宋" w:eastAsia="仿宋" w:hAnsi="仿宋"/>
          <w:sz w:val="28"/>
        </w:rPr>
      </w:pPr>
      <w:r w:rsidRPr="005413A9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竞争格局：竞争对行业的发展产生重大影响。了解主要竞争对手的策略和市场份额，以及新进入者的威胁，可以帮助环己胺项目在市场中建立竞争优势。</w:t>
      </w:r>
    </w:p>
    <w:p w:rsidR="005413A9" w:rsidRPr="005413A9" w:rsidP="005413A9" w14:paraId="51F29CE4" w14:textId="77777777">
      <w:pPr>
        <w:ind w:firstLine="560" w:firstLineChars="200"/>
        <w:rPr>
          <w:rFonts w:ascii="仿宋" w:eastAsia="仿宋" w:hAnsi="仿宋"/>
          <w:sz w:val="28"/>
        </w:rPr>
      </w:pPr>
      <w:r w:rsidRPr="005413A9">
        <w:rPr>
          <w:rFonts w:ascii="仿宋" w:eastAsia="仿宋" w:hAnsi="仿宋" w:hint="eastAsia"/>
          <w:sz w:val="28"/>
        </w:rPr>
        <w:t>技术趋势：了解行业内的最新技术趋势和创新，可以帮助环己胺项目保持竞争力并满足市场需求。</w:t>
      </w:r>
    </w:p>
    <w:p w:rsidR="005413A9" w:rsidP="005413A9" w14:paraId="4F5040C3" w14:textId="6379C2B9">
      <w:pPr>
        <w:ind w:firstLine="560" w:firstLineChars="200"/>
        <w:rPr>
          <w:rFonts w:ascii="仿宋" w:eastAsia="仿宋" w:hAnsi="仿宋" w:hint="eastAsia"/>
          <w:sz w:val="28"/>
        </w:rPr>
      </w:pPr>
      <w:r w:rsidRPr="005413A9">
        <w:rPr>
          <w:rFonts w:ascii="仿宋" w:eastAsia="仿宋" w:hAnsi="仿宋" w:hint="eastAsia"/>
          <w:sz w:val="28"/>
        </w:rPr>
        <w:t>通过深入分析行业发展概况和主要影响因素，您可以更好地了解市场情况，为环己胺项目的市场预测提供更有力的依据。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https://d.book118.com/907134021026006032</w:t>
        </w:r>
      </w:hyperlink>
    </w:p>
    <w:p w:rsidR="005413A9" w:rsidP="005413A9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:rsidP="00442B8B" w14:paraId="176A9A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13A9" w14:paraId="0896787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:rsidP="00442B8B" w14:paraId="6FC0BB5A" w14:textId="6D7320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413A9" w14:paraId="5E83FF6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14:paraId="27D44D8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:rsidP="00442B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13A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:rsidP="00442B8B" w14:textId="6D7320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413A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:rsidP="00442B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13A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:rsidP="00442B8B" w14:textId="6D7320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413A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:rsidP="00442B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13A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:rsidP="00442B8B" w14:textId="6D7320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413A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:rsidP="00442B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13A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:rsidP="00442B8B" w14:textId="6D7320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413A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:rsidP="00442B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13A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:rsidP="00442B8B" w14:textId="6D7320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5413A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:rsidP="00442B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13A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:rsidP="00442B8B" w14:textId="6D7320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5413A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:rsidP="00442B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13A9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:rsidP="00442B8B" w14:textId="6D7320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5413A9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14:paraId="134B660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:rsidRPr="005413A9" w:rsidP="005413A9" w14:paraId="6CD82239" w14:textId="16AE8584">
    <w:pPr>
      <w:pStyle w:val="Header"/>
      <w:rPr>
        <w:rFonts w:ascii="仿宋" w:eastAsia="仿宋" w:hAnsi="仿宋"/>
      </w:rPr>
    </w:pPr>
    <w:r w:rsidRPr="005413A9">
      <w:rPr>
        <w:rFonts w:ascii="仿宋" w:eastAsia="仿宋" w:hAnsi="仿宋" w:hint="eastAsia"/>
      </w:rPr>
      <w:t>环己胺项目绩效评估报告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14:paraId="6B3F859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:rsidRPr="005413A9" w:rsidP="005413A9" w14:textId="16AE8584">
    <w:pPr>
      <w:pStyle w:val="Header"/>
      <w:rPr>
        <w:rFonts w:ascii="仿宋" w:eastAsia="仿宋" w:hAnsi="仿宋"/>
      </w:rPr>
    </w:pPr>
    <w:r w:rsidRPr="005413A9">
      <w:rPr>
        <w:rFonts w:ascii="仿宋" w:eastAsia="仿宋" w:hAnsi="仿宋" w:hint="eastAsia"/>
      </w:rPr>
      <w:t>环己胺项目绩效评估报告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:rsidRPr="005413A9" w:rsidP="005413A9" w14:textId="16AE8584">
    <w:pPr>
      <w:pStyle w:val="Header"/>
      <w:rPr>
        <w:rFonts w:ascii="仿宋" w:eastAsia="仿宋" w:hAnsi="仿宋"/>
      </w:rPr>
    </w:pPr>
    <w:r w:rsidRPr="005413A9">
      <w:rPr>
        <w:rFonts w:ascii="仿宋" w:eastAsia="仿宋" w:hAnsi="仿宋" w:hint="eastAsia"/>
      </w:rPr>
      <w:t>环己胺项目绩效评估报告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:rsidRPr="005413A9" w:rsidP="005413A9" w14:textId="16AE8584">
    <w:pPr>
      <w:pStyle w:val="Header"/>
      <w:rPr>
        <w:rFonts w:ascii="仿宋" w:eastAsia="仿宋" w:hAnsi="仿宋"/>
      </w:rPr>
    </w:pPr>
    <w:r w:rsidRPr="005413A9">
      <w:rPr>
        <w:rFonts w:ascii="仿宋" w:eastAsia="仿宋" w:hAnsi="仿宋" w:hint="eastAsia"/>
      </w:rPr>
      <w:t>环己胺项目绩效评估报告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:rsidRPr="005413A9" w:rsidP="005413A9" w14:textId="16AE8584">
    <w:pPr>
      <w:pStyle w:val="Header"/>
      <w:rPr>
        <w:rFonts w:ascii="仿宋" w:eastAsia="仿宋" w:hAnsi="仿宋"/>
      </w:rPr>
    </w:pPr>
    <w:r w:rsidRPr="005413A9">
      <w:rPr>
        <w:rFonts w:ascii="仿宋" w:eastAsia="仿宋" w:hAnsi="仿宋" w:hint="eastAsia"/>
      </w:rPr>
      <w:t>环己胺项目绩效评估报告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:rsidRPr="005413A9" w:rsidP="005413A9" w14:textId="16AE8584">
    <w:pPr>
      <w:pStyle w:val="Header"/>
      <w:rPr>
        <w:rFonts w:ascii="仿宋" w:eastAsia="仿宋" w:hAnsi="仿宋"/>
      </w:rPr>
    </w:pPr>
    <w:r w:rsidRPr="005413A9">
      <w:rPr>
        <w:rFonts w:ascii="仿宋" w:eastAsia="仿宋" w:hAnsi="仿宋" w:hint="eastAsia"/>
      </w:rPr>
      <w:t>环己胺项目绩效评估报告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:rsidRPr="005413A9" w:rsidP="005413A9" w14:textId="16AE8584">
    <w:pPr>
      <w:pStyle w:val="Header"/>
      <w:rPr>
        <w:rFonts w:ascii="仿宋" w:eastAsia="仿宋" w:hAnsi="仿宋"/>
      </w:rPr>
    </w:pPr>
    <w:r w:rsidRPr="005413A9">
      <w:rPr>
        <w:rFonts w:ascii="仿宋" w:eastAsia="仿宋" w:hAnsi="仿宋" w:hint="eastAsia"/>
      </w:rPr>
      <w:t>环己胺项目绩效评估报告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:rsidRPr="005413A9" w:rsidP="005413A9" w14:textId="16AE8584">
    <w:pPr>
      <w:pStyle w:val="Header"/>
      <w:rPr>
        <w:rFonts w:ascii="仿宋" w:eastAsia="仿宋" w:hAnsi="仿宋"/>
      </w:rPr>
    </w:pPr>
    <w:r w:rsidRPr="005413A9">
      <w:rPr>
        <w:rFonts w:ascii="仿宋" w:eastAsia="仿宋" w:hAnsi="仿宋" w:hint="eastAsia"/>
      </w:rPr>
      <w:t>环己胺项目绩效评估报告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3A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3A9"/>
    <w:rsid w:val="003D1576"/>
    <w:rsid w:val="00442B8B"/>
    <w:rsid w:val="005413A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505EE43"/>
  <w15:chartTrackingRefBased/>
  <w15:docId w15:val="{CC724298-1D98-488B-9057-9608EB6E3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413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413A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413A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413A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413A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413A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413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413A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413A9"/>
  </w:style>
  <w:style w:type="paragraph" w:styleId="TOC1">
    <w:name w:val="toc 1"/>
    <w:basedOn w:val="Normal"/>
    <w:next w:val="Normal"/>
    <w:autoRedefine/>
    <w:uiPriority w:val="39"/>
    <w:unhideWhenUsed/>
    <w:rsid w:val="005413A9"/>
  </w:style>
  <w:style w:type="paragraph" w:styleId="TOC2">
    <w:name w:val="toc 2"/>
    <w:basedOn w:val="Normal"/>
    <w:next w:val="Normal"/>
    <w:autoRedefine/>
    <w:uiPriority w:val="39"/>
    <w:unhideWhenUsed/>
    <w:rsid w:val="005413A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907134021026006032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3200</Words>
  <Characters>18244</Characters>
  <Application>Microsoft Office Word</Application>
  <DocSecurity>0</DocSecurity>
  <Lines>152</Lines>
  <Paragraphs>42</Paragraphs>
  <ScaleCrop>false</ScaleCrop>
  <Company/>
  <LinksUpToDate>false</LinksUpToDate>
  <CharactersWithSpaces>21402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2023-12-17T22:49:00Z</dcterms:created>
  <dcterms:modified xsi:type="dcterms:W3CDTF">2023-12-17T22:50:00Z</dcterms:modified>
</cp:coreProperties>
</file>