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tabs>
          <w:tab w:val="left" w:pos="9492"/>
        </w:tabs>
        <w:spacing w:before="59" w:line="242" w:lineRule="auto"/>
        <w:ind w:left="751"/>
        <w:rPr>
          <w:sz w:val="19"/>
          <w:szCs w:val="19"/>
        </w:rPr>
      </w:pPr>
      <w:r>
        <w:pict>
          <v:rect id="_x0000_s1025" style="width:26.2pt;height:841.95pt;margin-top:0;margin-left:0;mso-position-horizontal-relative:page;mso-position-vertical-relative:page;position:absolute;z-index:251659264" o:allowincell="f" filled="t" fillcolor="#8eb4e3" stroked="f"/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15.15pt;height:45.6pt;margin-top:62.84pt;margin-left:5.44pt;mso-position-horizontal-relative:page;mso-position-vertical-relative:page;position:absolute;z-index:251672576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214" w:lineRule="auto"/>
                    <w:ind w:left="20"/>
                    <w:rPr>
                      <w:sz w:val="22"/>
                      <w:szCs w:val="22"/>
                    </w:rPr>
                  </w:pPr>
                  <w:r>
                    <w:rPr>
                      <w:color w:val="FFFFFF"/>
                      <w:spacing w:val="-2"/>
                      <w:sz w:val="22"/>
                      <w:szCs w:val="22"/>
                      <w14:textOutline w14:w="4005">
                        <w14:solidFill>
                          <w14:srgbClr w14:val="FFFFFF"/>
                        </w14:solidFill>
                        <w14:prstDash w14:val="solid"/>
                        <w14:round/>
                      </w14:textOutline>
                    </w:rPr>
                    <w:t>公司研究</w:t>
                  </w:r>
                </w:p>
              </w:txbxContent>
            </v:textbox>
          </v:shape>
        </w:pict>
      </w:r>
      <w:r>
        <w:pict>
          <v:shape id="_x0000_s1027" type="#_x0000_t202" style="width:15pt;height:116.05pt;margin-top:423.61pt;margin-left:5.57pt;mso-position-horizontal-relative:page;mso-position-vertical-relative:page;position:absolute;z-index:251670528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212" w:lineRule="auto"/>
                    <w:ind w:left="20"/>
                    <w:rPr>
                      <w:sz w:val="22"/>
                      <w:szCs w:val="22"/>
                    </w:rPr>
                  </w:pPr>
                  <w:r>
                    <w:rPr>
                      <w:color w:val="FFFFFF"/>
                      <w:spacing w:val="-3"/>
                      <w:sz w:val="22"/>
                      <w:szCs w:val="22"/>
                      <w14:textOutline w14:w="4005">
                        <w14:solidFill>
                          <w14:srgbClr w14:val="FFFFFF"/>
                        </w14:solidFill>
                        <w14:prstDash w14:val="solid"/>
                        <w14:round/>
                      </w14:textOutline>
                    </w:rPr>
                    <w:t>开源证券</w:t>
                  </w:r>
                  <w:r>
                    <w:rPr>
                      <w:color w:val="FFFFFF"/>
                      <w:spacing w:val="-3"/>
                      <w:sz w:val="22"/>
                      <w:szCs w:val="22"/>
                    </w:rPr>
                    <w:t xml:space="preserve"> </w:t>
                  </w:r>
                  <w:r>
                    <w:rPr>
                      <w:color w:val="FFFFFF"/>
                      <w:spacing w:val="-3"/>
                      <w:sz w:val="22"/>
                      <w:szCs w:val="22"/>
                      <w14:textOutline w14:w="4005">
                        <w14:solidFill>
                          <w14:srgbClr w14:val="FFFFFF"/>
                        </w14:solidFill>
                        <w14:prstDash w14:val="solid"/>
                        <w14:round/>
                      </w14:textOutline>
                    </w:rPr>
                    <w:t>证券研究报告</w:t>
                  </w:r>
                </w:p>
              </w:txbxContent>
            </v:textbox>
          </v:shape>
        </w:pict>
      </w:r>
      <w:r>
        <w:pict>
          <v:shape id="_x0000_s1028" type="#_x0000_t202" style="width:26.2pt;height:175.8pt;margin-top:161.76pt;margin-left:0;mso-position-horizontal-relative:page;mso-position-vertical-relative:page;position:absolute;z-index:251663360" o:allowincell="f" filled="t" fillcolor="#c7402e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31" w:line="214" w:lineRule="auto"/>
                    <w:ind w:left="1109"/>
                    <w:rPr>
                      <w:sz w:val="22"/>
                      <w:szCs w:val="22"/>
                    </w:rPr>
                  </w:pPr>
                  <w:r>
                    <w:rPr>
                      <w:color w:val="FFFFFF"/>
                      <w:spacing w:val="-3"/>
                      <w:sz w:val="22"/>
                      <w:szCs w:val="22"/>
                      <w14:textOutline w14:w="4005">
                        <w14:solidFill>
                          <w14:srgbClr w14:val="FFFFFF"/>
                        </w14:solidFill>
                        <w14:prstDash w14:val="solid"/>
                        <w14:round/>
                      </w14:textOutline>
                    </w:rPr>
                    <w:t>公司深度报告</w:t>
                  </w:r>
                </w:p>
              </w:txbxContent>
            </v:textbox>
          </v:shape>
        </w:pict>
      </w:r>
      <w:r>
        <w:pict>
          <v:shape id="_x0000_s1029" type="#_x0000_t202" style="width:17.75pt;height:12.6pt;margin-top:175.97pt;margin-left:38.33pt;mso-position-horizontal-relative:page;mso-position-vertical-relative:page;position:absolute;z-index:25167564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17" w:lineRule="auto"/>
                    <w:jc w:val="right"/>
                  </w:pPr>
                  <w:r>
                    <w:rPr>
                      <w:spacing w:val="-30"/>
                    </w:rPr>
                    <w:t>日</w:t>
                  </w:r>
                  <w:r>
                    <w:rPr>
                      <w:spacing w:val="-16"/>
                    </w:rPr>
                    <w:t>期</w:t>
                  </w:r>
                </w:p>
              </w:txbxContent>
            </v:textbox>
          </v:shape>
        </w:pict>
      </w:r>
      <w:r>
        <w:pict>
          <v:shape id="_x0000_s1030" type="#_x0000_t202" style="width:38.35pt;height:10.3pt;margin-top:177.36pt;margin-left:146.69pt;mso-position-horizontal-relative:page;mso-position-vertical-relative:page;position:absolute;z-index:251674624" o:allowincell="f" filled="f" stroked="f">
            <o:lock v:ext="edit" aspectratio="f"/>
            <v:textbox inset="0,0,0,0">
              <w:txbxContent>
                <w:p>
                  <w:pPr>
                    <w:spacing w:before="19" w:line="192" w:lineRule="auto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2024/1/23</w:t>
                  </w:r>
                </w:p>
              </w:txbxContent>
            </v:textbox>
          </v:shape>
        </w:pict>
      </w:r>
      <w:r>
        <w:pict>
          <v:shape id="_x0000_s1031" type="#_x0000_t202" style="width:154pt;height:150.75pt;margin-top:188.38pt;margin-left:33.92pt;mso-position-horizontal-relative:page;mso-position-vertical-relative:page;position:absolute;z-index:251658240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"/>
                    <w:tblW w:w="3039" w:type="dxa"/>
                    <w:tblInd w:w="20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</w:tblPr>
                  <w:tblGrid>
                    <w:gridCol w:w="1824"/>
                    <w:gridCol w:w="1215"/>
                  </w:tblGrid>
                  <w:tr>
                    <w:tblPrEx>
                      <w:tblW w:w="3039" w:type="dxa"/>
                      <w:tblInd w:w="2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Ex>
                    <w:trPr>
                      <w:trHeight w:val="326"/>
                    </w:trPr>
                    <w:tc>
                      <w:tcPr>
                        <w:tcW w:w="1824" w:type="dxa"/>
                        <w:tcBorders>
                          <w:top w:val="single" w:sz="2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70" w:line="212" w:lineRule="auto"/>
                          <w:ind w:left="71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spacing w:val="-4"/>
                            <w:sz w:val="18"/>
                            <w:szCs w:val="18"/>
                          </w:rPr>
                          <w:t>当前股价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4"/>
                            <w:sz w:val="18"/>
                            <w:szCs w:val="18"/>
                          </w:rPr>
                          <w:t>(</w:t>
                        </w:r>
                        <w:r>
                          <w:rPr>
                            <w:spacing w:val="-4"/>
                            <w:sz w:val="18"/>
                            <w:szCs w:val="18"/>
                          </w:rPr>
                          <w:t>元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4"/>
                            <w:sz w:val="18"/>
                            <w:szCs w:val="18"/>
                          </w:rPr>
                          <w:t>)</w:t>
                        </w:r>
                      </w:p>
                    </w:tc>
                    <w:tc>
                      <w:tcPr>
                        <w:tcW w:w="1215" w:type="dxa"/>
                        <w:tcBorders>
                          <w:top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102" w:line="188" w:lineRule="auto"/>
                          <w:ind w:left="755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8"/>
                            <w:szCs w:val="18"/>
                          </w:rPr>
                          <w:t>24.06</w:t>
                        </w:r>
                      </w:p>
                    </w:tc>
                  </w:tr>
                  <w:tr>
                    <w:tblPrEx>
                      <w:tblW w:w="3039" w:type="dxa"/>
                      <w:tblInd w:w="20" w:type="dxa"/>
                      <w:tblLayout w:type="fixed"/>
                    </w:tblPrEx>
                    <w:trPr>
                      <w:trHeight w:val="312"/>
                    </w:trPr>
                    <w:tc>
                      <w:tcPr>
                        <w:tcW w:w="1824" w:type="dxa"/>
                        <w:vAlign w:val="top"/>
                      </w:tcPr>
                      <w:p>
                        <w:pPr>
                          <w:pStyle w:val="TableText"/>
                          <w:spacing w:before="56" w:line="212" w:lineRule="auto"/>
                          <w:ind w:left="53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spacing w:val="-1"/>
                            <w:sz w:val="18"/>
                            <w:szCs w:val="18"/>
                          </w:rPr>
                          <w:t>一年最高最低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8"/>
                            <w:szCs w:val="18"/>
                          </w:rPr>
                          <w:t>(</w:t>
                        </w:r>
                        <w:r>
                          <w:rPr>
                            <w:spacing w:val="-1"/>
                            <w:sz w:val="18"/>
                            <w:szCs w:val="18"/>
                          </w:rPr>
                          <w:t>元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8"/>
                            <w:szCs w:val="18"/>
                          </w:rPr>
                          <w:t>)</w:t>
                        </w:r>
                      </w:p>
                    </w:tc>
                    <w:tc>
                      <w:tcPr>
                        <w:tcW w:w="1215" w:type="dxa"/>
                        <w:vAlign w:val="top"/>
                      </w:tcPr>
                      <w:p>
                        <w:pPr>
                          <w:spacing w:before="86" w:line="190" w:lineRule="auto"/>
                          <w:ind w:left="305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8"/>
                            <w:szCs w:val="18"/>
                          </w:rPr>
                          <w:t>31.99/21.02</w:t>
                        </w:r>
                      </w:p>
                    </w:tc>
                  </w:tr>
                  <w:tr>
                    <w:tblPrEx>
                      <w:tblW w:w="3039" w:type="dxa"/>
                      <w:tblInd w:w="20" w:type="dxa"/>
                      <w:tblLayout w:type="fixed"/>
                    </w:tblPrEx>
                    <w:trPr>
                      <w:trHeight w:val="311"/>
                    </w:trPr>
                    <w:tc>
                      <w:tcPr>
                        <w:tcW w:w="1824" w:type="dxa"/>
                        <w:vAlign w:val="top"/>
                      </w:tcPr>
                      <w:p>
                        <w:pPr>
                          <w:pStyle w:val="TableText"/>
                          <w:spacing w:before="56" w:line="212" w:lineRule="auto"/>
                          <w:ind w:left="60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spacing w:val="-3"/>
                            <w:sz w:val="18"/>
                            <w:szCs w:val="18"/>
                          </w:rPr>
                          <w:t>总市值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3"/>
                            <w:sz w:val="18"/>
                            <w:szCs w:val="18"/>
                          </w:rPr>
                          <w:t>(</w:t>
                        </w:r>
                        <w:r>
                          <w:rPr>
                            <w:spacing w:val="-3"/>
                            <w:sz w:val="18"/>
                            <w:szCs w:val="18"/>
                          </w:rPr>
                          <w:t>亿元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3"/>
                            <w:sz w:val="18"/>
                            <w:szCs w:val="18"/>
                          </w:rPr>
                          <w:t>)</w:t>
                        </w:r>
                      </w:p>
                    </w:tc>
                    <w:tc>
                      <w:tcPr>
                        <w:tcW w:w="1215" w:type="dxa"/>
                        <w:vAlign w:val="top"/>
                      </w:tcPr>
                      <w:p>
                        <w:pPr>
                          <w:spacing w:before="88" w:line="188" w:lineRule="auto"/>
                          <w:ind w:left="758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  <w:sz w:val="18"/>
                            <w:szCs w:val="18"/>
                          </w:rPr>
                          <w:t>96.60</w:t>
                        </w:r>
                      </w:p>
                    </w:tc>
                  </w:tr>
                  <w:tr>
                    <w:tblPrEx>
                      <w:tblW w:w="3039" w:type="dxa"/>
                      <w:tblInd w:w="20" w:type="dxa"/>
                      <w:tblLayout w:type="fixed"/>
                    </w:tblPrEx>
                    <w:trPr>
                      <w:trHeight w:val="311"/>
                    </w:trPr>
                    <w:tc>
                      <w:tcPr>
                        <w:tcW w:w="1824" w:type="dxa"/>
                        <w:vAlign w:val="top"/>
                      </w:tcPr>
                      <w:p>
                        <w:pPr>
                          <w:pStyle w:val="TableText"/>
                          <w:spacing w:before="57" w:line="212" w:lineRule="auto"/>
                          <w:ind w:left="57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spacing w:val="-2"/>
                            <w:sz w:val="18"/>
                            <w:szCs w:val="18"/>
                          </w:rPr>
                          <w:t>流通市值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  <w:sz w:val="18"/>
                            <w:szCs w:val="18"/>
                          </w:rPr>
                          <w:t>(</w:t>
                        </w:r>
                        <w:r>
                          <w:rPr>
                            <w:spacing w:val="-2"/>
                            <w:sz w:val="18"/>
                            <w:szCs w:val="18"/>
                          </w:rPr>
                          <w:t>亿元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  <w:sz w:val="18"/>
                            <w:szCs w:val="18"/>
                          </w:rPr>
                          <w:t>)</w:t>
                        </w:r>
                      </w:p>
                    </w:tc>
                    <w:tc>
                      <w:tcPr>
                        <w:tcW w:w="1215" w:type="dxa"/>
                        <w:vAlign w:val="top"/>
                      </w:tcPr>
                      <w:p>
                        <w:pPr>
                          <w:spacing w:before="89" w:line="188" w:lineRule="auto"/>
                          <w:ind w:left="853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3"/>
                            <w:sz w:val="18"/>
                            <w:szCs w:val="18"/>
                          </w:rPr>
                          <w:t>8.58</w:t>
                        </w:r>
                      </w:p>
                    </w:tc>
                  </w:tr>
                  <w:tr>
                    <w:tblPrEx>
                      <w:tblW w:w="3039" w:type="dxa"/>
                      <w:tblInd w:w="20" w:type="dxa"/>
                      <w:tblLayout w:type="fixed"/>
                    </w:tblPrEx>
                    <w:trPr>
                      <w:trHeight w:val="312"/>
                    </w:trPr>
                    <w:tc>
                      <w:tcPr>
                        <w:tcW w:w="1824" w:type="dxa"/>
                        <w:vAlign w:val="top"/>
                      </w:tcPr>
                      <w:p>
                        <w:pPr>
                          <w:pStyle w:val="TableText"/>
                          <w:spacing w:before="59" w:line="212" w:lineRule="auto"/>
                          <w:ind w:left="60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spacing w:val="-3"/>
                            <w:sz w:val="18"/>
                            <w:szCs w:val="18"/>
                          </w:rPr>
                          <w:t>总股本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3"/>
                            <w:sz w:val="18"/>
                            <w:szCs w:val="18"/>
                          </w:rPr>
                          <w:t>(</w:t>
                        </w:r>
                        <w:r>
                          <w:rPr>
                            <w:spacing w:val="-3"/>
                            <w:sz w:val="18"/>
                            <w:szCs w:val="18"/>
                          </w:rPr>
                          <w:t>亿股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3"/>
                            <w:sz w:val="18"/>
                            <w:szCs w:val="18"/>
                          </w:rPr>
                          <w:t>)</w:t>
                        </w:r>
                      </w:p>
                    </w:tc>
                    <w:tc>
                      <w:tcPr>
                        <w:tcW w:w="1215" w:type="dxa"/>
                        <w:vAlign w:val="top"/>
                      </w:tcPr>
                      <w:p>
                        <w:pPr>
                          <w:spacing w:before="90" w:line="188" w:lineRule="auto"/>
                          <w:ind w:left="845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8"/>
                            <w:szCs w:val="18"/>
                          </w:rPr>
                          <w:t>4.02</w:t>
                        </w:r>
                      </w:p>
                    </w:tc>
                  </w:tr>
                  <w:tr>
                    <w:tblPrEx>
                      <w:tblW w:w="3039" w:type="dxa"/>
                      <w:tblInd w:w="20" w:type="dxa"/>
                      <w:tblLayout w:type="fixed"/>
                    </w:tblPrEx>
                    <w:trPr>
                      <w:trHeight w:val="312"/>
                    </w:trPr>
                    <w:tc>
                      <w:tcPr>
                        <w:tcW w:w="1824" w:type="dxa"/>
                        <w:vAlign w:val="top"/>
                      </w:tcPr>
                      <w:p>
                        <w:pPr>
                          <w:pStyle w:val="TableText"/>
                          <w:spacing w:before="59" w:line="212" w:lineRule="auto"/>
                          <w:ind w:left="57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spacing w:val="-2"/>
                            <w:sz w:val="18"/>
                            <w:szCs w:val="18"/>
                          </w:rPr>
                          <w:t>流通股本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  <w:sz w:val="18"/>
                            <w:szCs w:val="18"/>
                          </w:rPr>
                          <w:t>(</w:t>
                        </w:r>
                        <w:r>
                          <w:rPr>
                            <w:spacing w:val="-2"/>
                            <w:sz w:val="18"/>
                            <w:szCs w:val="18"/>
                          </w:rPr>
                          <w:t>亿股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  <w:sz w:val="18"/>
                            <w:szCs w:val="18"/>
                          </w:rPr>
                          <w:t>)</w:t>
                        </w:r>
                      </w:p>
                    </w:tc>
                    <w:tc>
                      <w:tcPr>
                        <w:tcW w:w="1215" w:type="dxa"/>
                        <w:vAlign w:val="top"/>
                      </w:tcPr>
                      <w:p>
                        <w:pPr>
                          <w:spacing w:before="90" w:line="188" w:lineRule="auto"/>
                          <w:ind w:left="849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  <w:sz w:val="18"/>
                            <w:szCs w:val="18"/>
                          </w:rPr>
                          <w:t>0.36</w:t>
                        </w:r>
                      </w:p>
                    </w:tc>
                  </w:tr>
                  <w:tr>
                    <w:tblPrEx>
                      <w:tblW w:w="3039" w:type="dxa"/>
                      <w:tblInd w:w="20" w:type="dxa"/>
                      <w:tblLayout w:type="fixed"/>
                    </w:tblPrEx>
                    <w:trPr>
                      <w:trHeight w:val="309"/>
                    </w:trPr>
                    <w:tc>
                      <w:tcPr>
                        <w:tcW w:w="1824" w:type="dxa"/>
                        <w:tcBorders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59" w:line="212" w:lineRule="auto"/>
                          <w:ind w:left="50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spacing w:val="-2"/>
                            <w:sz w:val="18"/>
                            <w:szCs w:val="18"/>
                          </w:rPr>
                          <w:t>近</w:t>
                        </w:r>
                        <w:r>
                          <w:rPr>
                            <w:spacing w:val="-29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  <w:sz w:val="18"/>
                            <w:szCs w:val="18"/>
                          </w:rPr>
                          <w:t xml:space="preserve">3 </w:t>
                        </w:r>
                        <w:r>
                          <w:rPr>
                            <w:spacing w:val="-2"/>
                            <w:sz w:val="18"/>
                            <w:szCs w:val="18"/>
                          </w:rPr>
                          <w:t>个月换手率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  <w:sz w:val="18"/>
                            <w:szCs w:val="18"/>
                          </w:rPr>
                          <w:t>(%)</w:t>
                        </w:r>
                      </w:p>
                    </w:tc>
                    <w:tc>
                      <w:tcPr>
                        <w:tcW w:w="1215" w:type="dxa"/>
                        <w:tcBorders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90" w:line="188" w:lineRule="auto"/>
                          <w:ind w:left="670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  <w:sz w:val="18"/>
                            <w:szCs w:val="18"/>
                          </w:rPr>
                          <w:t>622.29</w:t>
                        </w:r>
                      </w:p>
                    </w:tc>
                  </w:tr>
                  <w:tr>
                    <w:tblPrEx>
                      <w:tblW w:w="3039" w:type="dxa"/>
                      <w:tblInd w:w="20" w:type="dxa"/>
                      <w:tblLayout w:type="fixed"/>
                    </w:tblPrEx>
                    <w:trPr>
                      <w:trHeight w:val="766"/>
                    </w:trPr>
                    <w:tc>
                      <w:tcPr>
                        <w:tcW w:w="3039" w:type="dxa"/>
                        <w:gridSpan w:val="2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spacing w:line="28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78" w:line="220" w:lineRule="auto"/>
                          <w:ind w:left="36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pacing w:val="-1"/>
                            <w:sz w:val="24"/>
                            <w:szCs w:val="24"/>
                            <w14:textOutline w14:w="4354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股价走势图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32" type="#_x0000_t202" style="width:123.05pt;height:11.6pt;margin-top:344.58pt;margin-left:48.2pt;mso-position-horizontal-relative:page;mso-position-vertical-relative:page;position:absolute;z-index:25167155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tabs>
                      <w:tab w:val="left" w:pos="435"/>
                    </w:tabs>
                    <w:spacing w:before="20" w:line="220" w:lineRule="auto"/>
                    <w:ind w:left="20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strike/>
                      <w:sz w:val="16"/>
                      <w:szCs w:val="16"/>
                    </w:rPr>
                    <w:tab/>
                  </w:r>
                  <w:r>
                    <w:rPr>
                      <w:spacing w:val="-41"/>
                      <w:sz w:val="16"/>
                      <w:szCs w:val="16"/>
                    </w:rPr>
                    <w:t xml:space="preserve"> </w:t>
                  </w:r>
                  <w:r>
                    <w:rPr>
                      <w:spacing w:val="-1"/>
                      <w:sz w:val="16"/>
                      <w:szCs w:val="16"/>
                    </w:rPr>
                    <w:t>致欧科技</w:t>
                  </w:r>
                  <w:r>
                    <w:rPr>
                      <w:spacing w:val="-1"/>
                      <w:sz w:val="16"/>
                      <w:szCs w:val="16"/>
                    </w:rPr>
                    <w:t xml:space="preserve">    </w:t>
                  </w:r>
                  <w:r>
                    <w:rPr>
                      <w:strike/>
                      <w:spacing w:val="3"/>
                      <w:sz w:val="16"/>
                      <w:szCs w:val="16"/>
                    </w:rPr>
                    <w:t xml:space="preserve">     </w:t>
                  </w:r>
                  <w:r>
                    <w:rPr>
                      <w:spacing w:val="-36"/>
                      <w:sz w:val="16"/>
                      <w:szCs w:val="16"/>
                    </w:rPr>
                    <w:t xml:space="preserve"> </w:t>
                  </w:r>
                  <w:r>
                    <w:rPr>
                      <w:spacing w:val="-1"/>
                      <w:sz w:val="16"/>
                      <w:szCs w:val="16"/>
                    </w:rPr>
                    <w:t>沪深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300</w:t>
                  </w:r>
                </w:p>
              </w:txbxContent>
            </v:textbox>
          </v:shape>
        </w:pict>
      </w:r>
      <w:r>
        <w:pict>
          <v:shape id="_x0000_s1033" type="#_x0000_t202" style="width:80.95pt;height:28.85pt;margin-top:358.2pt;margin-left:37.81pt;mso-position-horizontal-relative:page;mso-position-vertical-relative:page;position:absolute;z-index:251669504" o:allowincell="f" filled="f" stroked="f">
            <o:lock v:ext="edit" aspectratio="f"/>
            <v:textbox inset="0,0,0,0">
              <w:txbxContent>
                <w:p>
                  <w:pPr>
                    <w:spacing w:before="19" w:line="197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13"/>
                      <w:szCs w:val="13"/>
                    </w:rPr>
                    <w:t>20%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13"/>
                      <w:szCs w:val="13"/>
                    </w:rPr>
                    <w:t xml:space="preserve">  </w:t>
                  </w:r>
                  <w:r>
                    <w:rPr>
                      <w:position w:val="3"/>
                      <w:sz w:val="13"/>
                      <w:szCs w:val="13"/>
                    </w:rPr>
                    <w:drawing>
                      <wp:inline distT="0" distB="0" distL="0" distR="0">
                        <wp:extent cx="27432" cy="9143"/>
                        <wp:effectExtent l="0" t="0" r="0" b="0"/>
                        <wp:docPr id="4" name="IM 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IM 4"/>
                                <pic:cNvPicPr/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432" cy="914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spacing w:before="138" w:line="231" w:lineRule="auto"/>
                    <w:ind w:left="33"/>
                    <w:rPr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  <w:t>10%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13"/>
                      <w:szCs w:val="13"/>
                    </w:rPr>
                    <w:t xml:space="preserve">  </w:t>
                  </w:r>
                  <w:r>
                    <w:rPr>
                      <w:position w:val="3"/>
                      <w:sz w:val="13"/>
                      <w:szCs w:val="13"/>
                    </w:rPr>
                    <w:drawing>
                      <wp:inline distT="0" distB="0" distL="0" distR="0">
                        <wp:extent cx="27432" cy="9143"/>
                        <wp:effectExtent l="0" t="0" r="0" b="0"/>
                        <wp:docPr id="6" name="IM 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" name="IM 6"/>
                                <pic:cNvPicPr/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432" cy="914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3"/>
                      <w:szCs w:val="13"/>
                    </w:rPr>
                    <w:t xml:space="preserve">                     </w:t>
                  </w:r>
                  <w:r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  <w:t xml:space="preserve">              </w:t>
                  </w:r>
                  <w:r>
                    <w:rPr>
                      <w:position w:val="-16"/>
                      <w:sz w:val="13"/>
                      <w:szCs w:val="13"/>
                    </w:rPr>
                    <w:drawing>
                      <wp:inline distT="0" distB="0" distL="0" distR="0">
                        <wp:extent cx="28956" cy="175259"/>
                        <wp:effectExtent l="0" t="0" r="0" b="0"/>
                        <wp:docPr id="8" name="IM 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 8"/>
                                <pic:cNvPicPr/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8956" cy="1752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034" type="#_x0000_t202" style="width:133.65pt;height:70.8pt;margin-top:360.68pt;margin-left:45.11pt;mso-position-horizontal-relative:page;mso-position-vertical-relative:page;position:absolute;z-index:251662336" o:allowincell="f" filled="f" stroked="f">
            <o:lock v:ext="edit" aspectratio="f"/>
            <v:textbox inset="0,0,0,0">
              <w:txbxContent>
                <w:p>
                  <w:pPr>
                    <w:spacing w:before="20"/>
                    <w:ind w:left="2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13"/>
                      <w:szCs w:val="13"/>
                    </w:rPr>
                    <w:t>2023-01</w:t>
                  </w:r>
                  <w:r>
                    <w:rPr>
                      <w:position w:val="-61"/>
                      <w:sz w:val="13"/>
                      <w:szCs w:val="13"/>
                    </w:rPr>
                    <w:drawing>
                      <wp:inline distT="0" distB="0" distL="0" distR="0">
                        <wp:extent cx="0" cy="873252"/>
                        <wp:effectExtent l="0" t="0" r="0" b="0"/>
                        <wp:docPr id="10" name="IM 1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" name="IM 10"/>
                                <pic:cNvPicPr/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0" cy="87325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13"/>
                      <w:szCs w:val="13"/>
                    </w:rPr>
                    <w:t xml:space="preserve">         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13"/>
                      <w:szCs w:val="13"/>
                    </w:rPr>
                    <w:t xml:space="preserve">2023-05          2023-09                </w:t>
                  </w:r>
                </w:p>
              </w:txbxContent>
            </v:textbox>
          </v:shape>
        </w:pict>
      </w:r>
      <w:r>
        <w:pict>
          <v:shape id="_x0000_s1035" type="#_x0000_t202" style="width:136.95pt;height:17.25pt;margin-top:379.88pt;margin-left:41.42pt;mso-position-horizontal-relative:page;mso-position-vertical-relative:page;position:absolute;z-index:251666432" o:allowincell="f" filled="f" stroked="f">
            <o:lock v:ext="edit" aspectratio="f"/>
            <v:textbox inset="0,0,0,0">
              <w:txbxContent>
                <w:p>
                  <w:pPr>
                    <w:spacing w:before="20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13"/>
                      <w:szCs w:val="13"/>
                    </w:rPr>
                    <w:t>0%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13"/>
                      <w:szCs w:val="13"/>
                    </w:rPr>
                    <w:t xml:space="preserve">  </w:t>
                  </w:r>
                  <w:r>
                    <w:rPr>
                      <w:position w:val="-8"/>
                      <w:sz w:val="13"/>
                      <w:szCs w:val="13"/>
                    </w:rPr>
                    <w:drawing>
                      <wp:inline distT="0" distB="0" distL="0" distR="0">
                        <wp:extent cx="457200" cy="91440"/>
                        <wp:effectExtent l="0" t="0" r="0" b="0"/>
                        <wp:docPr id="12" name="IM 1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" name="IM 12"/>
                                <pic:cNvPicPr/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7200" cy="914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strike/>
                      <w:spacing w:val="6"/>
                      <w:sz w:val="13"/>
                      <w:szCs w:val="13"/>
                    </w:rPr>
                    <w:t xml:space="preserve">   </w:t>
                  </w:r>
                  <w:r>
                    <w:rPr>
                      <w:sz w:val="13"/>
                      <w:szCs w:val="13"/>
                    </w:rPr>
                    <w:drawing>
                      <wp:inline distT="0" distB="0" distL="0" distR="0">
                        <wp:extent cx="9144" cy="25908"/>
                        <wp:effectExtent l="0" t="0" r="0" b="0"/>
                        <wp:docPr id="14" name="IM 1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" name="IM 14"/>
                                <pic:cNvPicPr/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144" cy="259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strike/>
                      <w:sz w:val="13"/>
                      <w:szCs w:val="13"/>
                    </w:rPr>
                    <w:t xml:space="preserve">            </w:t>
                  </w:r>
                  <w:r>
                    <w:rPr>
                      <w:position w:val="-9"/>
                      <w:sz w:val="13"/>
                      <w:szCs w:val="13"/>
                    </w:rPr>
                    <w:drawing>
                      <wp:inline distT="0" distB="0" distL="0" distR="0">
                        <wp:extent cx="755904" cy="193548"/>
                        <wp:effectExtent l="0" t="0" r="0" b="0"/>
                        <wp:docPr id="16" name="IM 1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" name="IM 16"/>
                                <pic:cNvPicPr/>
                              </pic:nvPicPr>
                              <pic:blipFill>
                                <a:blip xmlns:r="http://schemas.openxmlformats.org/officeDocument/2006/relationships"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55904" cy="19354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036" style="width:2.55pt;height:1.85pt;margin-top:383.04pt;margin-left:116.52pt;mso-position-horizontal-relative:page;mso-position-vertical-relative:page;position:absolute;z-index:251676672" coordorigin="0,0" coordsize="50,37" o:allowincell="f" path="m15,20l34,15e" filled="f" strokecolor="#c30000" strokeweight="1.56pt">
            <v:stroke endcap="round" opacity="52428f"/>
          </v:shape>
        </w:pict>
      </w:r>
      <w:r>
        <w:pict>
          <v:shape id="_x0000_s1037" type="#_x0000_t202" style="width:140.7pt;height:20.85pt;margin-top:395pt;margin-left:35.62pt;mso-position-horizontal-relative:page;mso-position-vertical-relative:page;position:absolute;z-index:251668480" o:allowincell="f" filled="f" stroked="f">
            <o:lock v:ext="edit" aspectratio="f"/>
            <v:textbox inset="0,0,0,0">
              <w:txbxContent>
                <w:p>
                  <w:pPr>
                    <w:spacing w:before="20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13"/>
                      <w:szCs w:val="13"/>
                    </w:rPr>
                    <w:t>-10%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13"/>
                      <w:szCs w:val="13"/>
                    </w:rPr>
                    <w:t xml:space="preserve">  </w:t>
                  </w:r>
                  <w:r>
                    <w:rPr>
                      <w:position w:val="3"/>
                      <w:sz w:val="13"/>
                      <w:szCs w:val="13"/>
                    </w:rPr>
                    <w:drawing>
                      <wp:inline distT="0" distB="0" distL="0" distR="0">
                        <wp:extent cx="27432" cy="9143"/>
                        <wp:effectExtent l="0" t="0" r="0" b="0"/>
                        <wp:docPr id="18" name="IM 1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" name="IM 18"/>
                                <pic:cNvPicPr/>
                              </pic:nvPicPr>
                              <pic:blipFill>
                                <a:blip xmlns:r="http://schemas.openxmlformats.org/officeDocument/2006/relationships"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432" cy="914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  <w:t xml:space="preserve">                        </w:t>
                  </w:r>
                  <w:r>
                    <w:rPr>
                      <w:position w:val="-19"/>
                      <w:sz w:val="13"/>
                      <w:szCs w:val="13"/>
                    </w:rPr>
                    <w:drawing>
                      <wp:inline distT="0" distB="0" distL="0" distR="0">
                        <wp:extent cx="996695" cy="239268"/>
                        <wp:effectExtent l="0" t="0" r="0" b="0"/>
                        <wp:docPr id="20" name="IM 2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" name="IM 20"/>
                                <pic:cNvPicPr/>
                              </pic:nvPicPr>
                              <pic:blipFill>
                                <a:blip xmlns:r="http://schemas.openxmlformats.org/officeDocument/2006/relationships"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96695" cy="2392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038" type="#_x0000_t202" style="width:143.1pt;height:22.75pt;margin-top:412.28pt;margin-left:35.62pt;mso-position-horizontal-relative:page;mso-position-vertical-relative:page;position:absolute;z-index:251665408" o:allowincell="f" filled="f" stroked="f">
            <o:lock v:ext="edit" aspectratio="f"/>
            <v:textbox inset="0,0,0,0">
              <w:txbxContent>
                <w:p>
                  <w:pPr>
                    <w:spacing w:before="20" w:line="230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13"/>
                      <w:szCs w:val="13"/>
                    </w:rPr>
                    <w:t>-20%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13"/>
                      <w:szCs w:val="13"/>
                    </w:rPr>
                    <w:t xml:space="preserve">  </w:t>
                  </w:r>
                  <w:r>
                    <w:rPr>
                      <w:position w:val="3"/>
                      <w:sz w:val="13"/>
                      <w:szCs w:val="13"/>
                    </w:rPr>
                    <w:drawing>
                      <wp:inline distT="0" distB="0" distL="0" distR="0">
                        <wp:extent cx="27432" cy="9143"/>
                        <wp:effectExtent l="0" t="0" r="0" b="0"/>
                        <wp:docPr id="22" name="IM 2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2" name="IM 22"/>
                                <pic:cNvPicPr/>
                              </pic:nvPicPr>
                              <pic:blipFill>
                                <a:blip xmlns:r="http://schemas.openxmlformats.org/officeDocument/2006/relationships"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432" cy="914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  <w:t xml:space="preserve">                              </w:t>
                  </w:r>
                  <w:r>
                    <w:rPr>
                      <w:position w:val="4"/>
                      <w:sz w:val="13"/>
                      <w:szCs w:val="13"/>
                    </w:rPr>
                    <w:drawing>
                      <wp:inline distT="0" distB="0" distL="0" distR="0">
                        <wp:extent cx="24384" cy="41147"/>
                        <wp:effectExtent l="0" t="0" r="0" b="0"/>
                        <wp:docPr id="24" name="IM 2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4" name="IM 24"/>
                                <pic:cNvPicPr/>
                              </pic:nvPicPr>
                              <pic:blipFill>
                                <a:blip xmlns:r="http://schemas.openxmlformats.org/officeDocument/2006/relationships"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384" cy="4114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  <w:t xml:space="preserve">                                 </w:t>
                  </w:r>
                  <w:r>
                    <w:rPr>
                      <w:position w:val="-6"/>
                      <w:sz w:val="13"/>
                      <w:szCs w:val="13"/>
                    </w:rPr>
                    <w:drawing>
                      <wp:inline distT="0" distB="0" distL="0" distR="0">
                        <wp:extent cx="198119" cy="108203"/>
                        <wp:effectExtent l="0" t="0" r="0" b="0"/>
                        <wp:docPr id="26" name="IM 2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6" name="IM 26"/>
                                <pic:cNvPicPr/>
                              </pic:nvPicPr>
                              <pic:blipFill>
                                <a:blip xmlns:r="http://schemas.openxmlformats.org/officeDocument/2006/relationships"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8119" cy="10820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spacing w:before="117" w:line="197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13"/>
                      <w:szCs w:val="13"/>
                    </w:rPr>
                    <w:t>-30%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13"/>
                      <w:szCs w:val="13"/>
                    </w:rPr>
                    <w:t xml:space="preserve">  </w:t>
                  </w:r>
                  <w:r>
                    <w:rPr>
                      <w:position w:val="3"/>
                      <w:sz w:val="13"/>
                      <w:szCs w:val="13"/>
                    </w:rPr>
                    <w:drawing>
                      <wp:inline distT="0" distB="0" distL="0" distR="0">
                        <wp:extent cx="27432" cy="9143"/>
                        <wp:effectExtent l="0" t="0" r="0" b="0"/>
                        <wp:docPr id="28" name="IM 2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8" name="IM 28"/>
                                <pic:cNvPicPr/>
                              </pic:nvPicPr>
                              <pic:blipFill>
                                <a:blip xmlns:r="http://schemas.openxmlformats.org/officeDocument/2006/relationships"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432" cy="914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039" type="#_x0000_t202" style="width:58pt;height:11.35pt;margin-top:450.08pt;margin-left:35.7pt;mso-position-horizontal-relative:page;mso-position-vertical-relative:page;position:absolute;z-index:25167360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5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数据来源：聚源</w:t>
                  </w:r>
                </w:p>
              </w:txbxContent>
            </v:textbox>
          </v:shape>
        </w:pict>
      </w:r>
      <w:r>
        <w:pict>
          <v:shape id="_x0000_s1040" type="#_x0000_t202" style="width:153.6pt;height:25.05pt;margin-top:473.84pt;margin-left:30.8pt;mso-position-horizontal-relative:page;mso-position-vertical-relative:page;position:absolute;z-index:251664384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"/>
                    <w:tblW w:w="3021" w:type="dxa"/>
                    <w:tblInd w:w="25" w:type="dxa"/>
                    <w:tblBorders>
                      <w:top w:val="single" w:sz="4" w:space="0" w:color="1F497D"/>
                      <w:left w:val="single" w:sz="4" w:space="0" w:color="1F497D"/>
                      <w:bottom w:val="single" w:sz="4" w:space="0" w:color="1F497D"/>
                      <w:right w:val="single" w:sz="4" w:space="0" w:color="1F497D"/>
                    </w:tblBorders>
                    <w:shd w:val="clear" w:color="auto" w:fill="1F497D"/>
                    <w:tblLayout w:type="fixed"/>
                  </w:tblPr>
                  <w:tblGrid>
                    <w:gridCol w:w="3021"/>
                  </w:tblGrid>
                  <w:tr>
                    <w:tblPrEx>
                      <w:tblW w:w="3021" w:type="dxa"/>
                      <w:tblInd w:w="25" w:type="dxa"/>
                      <w:tblBorders>
                        <w:top w:val="single" w:sz="4" w:space="0" w:color="1F497D"/>
                        <w:left w:val="single" w:sz="4" w:space="0" w:color="1F497D"/>
                        <w:bottom w:val="single" w:sz="4" w:space="0" w:color="1F497D"/>
                        <w:right w:val="single" w:sz="4" w:space="0" w:color="1F497D"/>
                      </w:tblBorders>
                      <w:shd w:val="clear" w:color="auto" w:fill="1F497D"/>
                      <w:tblLayout w:type="fixed"/>
                    </w:tblPrEx>
                    <w:trPr>
                      <w:trHeight w:val="440"/>
                    </w:trPr>
                    <w:tc>
                      <w:tcPr>
                        <w:tcW w:w="3021" w:type="dxa"/>
                        <w:shd w:val="clear" w:color="auto" w:fill="1F497D"/>
                        <w:vAlign w:val="top"/>
                      </w:tcPr>
                      <w:p>
                        <w:pPr>
                          <w:pStyle w:val="TableText"/>
                          <w:spacing w:before="101" w:line="222" w:lineRule="auto"/>
                          <w:ind w:left="792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color w:val="FFFFFF"/>
                            <w:spacing w:val="-1"/>
                            <w:sz w:val="24"/>
                            <w:szCs w:val="24"/>
                            <w14:textOutline w14:w="4354">
                              <w14:solidFill>
                                <w14:srgbClr w14:val="FFFFFF"/>
                              </w14:solidFill>
                              <w14:prstDash w14:val="solid"/>
                              <w14:round/>
                            </w14:textOutline>
                          </w:rPr>
                          <w:t>相关研究报告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41" type="#_x0000_t202" style="width:150.6pt;height:137.5pt;margin-top:504.82pt;margin-left:35.8pt;mso-position-horizontal-relative:page;mso-position-vertical-relative:page;position:absolute;z-index:25166028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336" w:lineRule="auto"/>
                    <w:ind w:left="27" w:right="51" w:hanging="7"/>
                  </w:pPr>
                  <w:r>
                    <w:t>《</w:t>
                  </w:r>
                  <w: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</w:rPr>
                    <w:t>2023Q3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</w:rPr>
                    <w:t xml:space="preserve">  </w:t>
                  </w:r>
                  <w:r>
                    <w:t>收入增长提速，看好四季</w:t>
                  </w:r>
                  <w:r>
                    <w:t xml:space="preserve"> </w:t>
                  </w:r>
                  <w:r>
                    <w:rPr>
                      <w:spacing w:val="15"/>
                    </w:rPr>
                    <w:t>度增速延续—公司信息更新报告》</w:t>
                  </w:r>
                </w:p>
                <w:p>
                  <w:pPr>
                    <w:spacing w:line="188" w:lineRule="auto"/>
                    <w:ind w:left="28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-2023.11.15</w:t>
                  </w:r>
                </w:p>
                <w:p>
                  <w:pPr>
                    <w:pStyle w:val="BodyText"/>
                    <w:spacing w:before="118" w:line="336" w:lineRule="auto"/>
                    <w:ind w:left="37" w:right="20" w:hanging="18"/>
                  </w:pPr>
                  <w:r>
                    <w:rPr>
                      <w:spacing w:val="-5"/>
                    </w:rPr>
                    <w:t>《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</w:rPr>
                    <w:t>2023H1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</w:rPr>
                    <w:t xml:space="preserve">  </w:t>
                  </w:r>
                  <w:r>
                    <w:rPr>
                      <w:spacing w:val="-5"/>
                    </w:rPr>
                    <w:t>归母净利高增，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rPr>
                      <w:spacing w:val="-5"/>
                    </w:rPr>
                    <w:t>产品矩阵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</w:rPr>
                    <w:t>+</w:t>
                  </w:r>
                  <w:r>
                    <w:rPr>
                      <w:rFonts w:ascii="Times New Roman" w:eastAsia="Times New Roman" w:hAnsi="Times New Roman" w:cs="Times New Roman"/>
                    </w:rPr>
                    <w:t xml:space="preserve">  </w:t>
                  </w:r>
                  <w:r>
                    <w:rPr>
                      <w:spacing w:val="-1"/>
                    </w:rPr>
                    <w:t>渠道扩张持续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rPr>
                      <w:spacing w:val="-1"/>
                    </w:rPr>
                    <w:t>—公司信息更新报告》</w:t>
                  </w:r>
                </w:p>
                <w:p>
                  <w:pPr>
                    <w:spacing w:line="188" w:lineRule="auto"/>
                    <w:ind w:left="28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-2023.9.1</w:t>
                  </w:r>
                </w:p>
                <w:p>
                  <w:pPr>
                    <w:pStyle w:val="BodyText"/>
                    <w:spacing w:before="119" w:line="286" w:lineRule="auto"/>
                    <w:ind w:left="24" w:right="52" w:hanging="4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3"/>
                    </w:rPr>
                    <w:t>《海外家居电商化加深，跨境电商领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rPr>
                      <w:spacing w:val="15"/>
                    </w:rPr>
                    <w:t>头羊阿尔法凸显—公司首次覆盖报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-5"/>
                    </w:rPr>
                    <w:t>告》</w:t>
                  </w:r>
                  <w:r>
                    <w:rPr>
                      <w:spacing w:val="-3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</w:rPr>
                    <w:t>-2023.6.29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1344167</wp:posOffset>
            </wp:positionH>
            <wp:positionV relativeFrom="page">
              <wp:posOffset>4756404</wp:posOffset>
            </wp:positionV>
            <wp:extent cx="806195" cy="533400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0619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9"/>
          <w:szCs w:val="19"/>
          <w:u w:val="single" w:color="auto"/>
        </w:rPr>
        <w:tab/>
      </w:r>
      <w:r>
        <w:rPr>
          <w:spacing w:val="11"/>
          <w:sz w:val="19"/>
          <w:szCs w:val="19"/>
          <w:u w:val="single" w:color="000000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轻工制造</w:t>
      </w:r>
      <w:r>
        <w:rPr>
          <w:rFonts w:ascii="Times New Roman" w:eastAsia="Times New Roman" w:hAnsi="Times New Roman" w:cs="Times New Roman"/>
          <w:b/>
          <w:bCs/>
          <w:spacing w:val="11"/>
          <w:sz w:val="19"/>
          <w:szCs w:val="19"/>
          <w:u w:val="single" w:color="auto"/>
        </w:rPr>
        <w:t>/</w:t>
      </w:r>
      <w:r>
        <w:rPr>
          <w:spacing w:val="11"/>
          <w:sz w:val="19"/>
          <w:szCs w:val="19"/>
          <w:u w:val="single" w:color="000000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家居用品</w:t>
      </w:r>
    </w:p>
    <w:p>
      <w:pPr>
        <w:pStyle w:val="BodyText"/>
        <w:spacing w:before="269" w:line="232" w:lineRule="auto"/>
        <w:ind w:left="3925"/>
        <w:rPr>
          <w:sz w:val="31"/>
          <w:szCs w:val="31"/>
        </w:rPr>
      </w:pPr>
      <w:r>
        <w:pict>
          <v:shape id="_x0000_s1042" type="#_x0000_t202" style="width:147.25pt;height:75.7pt;margin-top:15.09pt;margin-left:35.71pt;position:absolute;z-index:25166131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34" w:lineRule="auto"/>
                    <w:jc w:val="right"/>
                    <w:rPr>
                      <w:sz w:val="28"/>
                      <w:szCs w:val="28"/>
                    </w:rPr>
                  </w:pPr>
                  <w:r>
                    <w:rPr>
                      <w:spacing w:val="-3"/>
                      <w:sz w:val="28"/>
                      <w:szCs w:val="28"/>
                      <w14:textOutline w14:w="5094">
                        <w14:solidFill>
                          <w14:srgbClr w14:val="000000"/>
                        </w14:solidFill>
                        <w14:prstDash w14:val="solid"/>
                        <w14:round/>
                      </w14:textOutline>
                    </w:rPr>
                    <w:t>致欧科技（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3"/>
                      <w:sz w:val="28"/>
                      <w:szCs w:val="28"/>
                    </w:rPr>
                    <w:t>301376.SZ</w:t>
                  </w:r>
                  <w:r>
                    <w:rPr>
                      <w:spacing w:val="-3"/>
                      <w:sz w:val="28"/>
                      <w:szCs w:val="28"/>
                      <w14:textOutline w14:w="5094">
                        <w14:solidFill>
                          <w14:srgbClr w14:val="000000"/>
                        </w14:solidFill>
                        <w14:prstDash w14:val="solid"/>
                        <w14:round/>
                      </w14:textOutline>
                    </w:rPr>
                    <w:t>）</w:t>
                  </w:r>
                </w:p>
                <w:p>
                  <w:pPr>
                    <w:pStyle w:val="BodyText"/>
                    <w:spacing w:before="99" w:line="218" w:lineRule="auto"/>
                    <w:ind w:left="20"/>
                    <w:rPr>
                      <w:sz w:val="22"/>
                      <w:szCs w:val="22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2"/>
                      <w:szCs w:val="22"/>
                    </w:rPr>
                    <w:t xml:space="preserve">2024 </w:t>
                  </w:r>
                  <w:r>
                    <w:rPr>
                      <w:spacing w:val="-3"/>
                      <w:sz w:val="22"/>
                      <w:szCs w:val="22"/>
                    </w:rPr>
                    <w:t>年</w:t>
                  </w:r>
                  <w:r>
                    <w:rPr>
                      <w:spacing w:val="-41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2"/>
                      <w:szCs w:val="22"/>
                    </w:rPr>
                    <w:t>01</w:t>
                  </w:r>
                  <w:r>
                    <w:rPr>
                      <w:rFonts w:ascii="Times New Roman" w:eastAsia="Times New Roman" w:hAnsi="Times New Roman" w:cs="Times New Roman"/>
                      <w:spacing w:val="19"/>
                      <w:sz w:val="22"/>
                      <w:szCs w:val="22"/>
                    </w:rPr>
                    <w:t xml:space="preserve"> </w:t>
                  </w:r>
                  <w:r>
                    <w:rPr>
                      <w:spacing w:val="-3"/>
                      <w:sz w:val="22"/>
                      <w:szCs w:val="22"/>
                    </w:rPr>
                    <w:t>月</w:t>
                  </w:r>
                  <w:r>
                    <w:rPr>
                      <w:spacing w:val="-51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2"/>
                      <w:szCs w:val="22"/>
                    </w:rPr>
                    <w:t xml:space="preserve">24  </w:t>
                  </w:r>
                  <w:r>
                    <w:rPr>
                      <w:spacing w:val="-3"/>
                      <w:sz w:val="22"/>
                      <w:szCs w:val="22"/>
                    </w:rPr>
                    <w:t>日</w:t>
                  </w:r>
                </w:p>
                <w:p>
                  <w:pPr>
                    <w:spacing w:line="39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BodyText"/>
                    <w:spacing w:before="78" w:line="215" w:lineRule="auto"/>
                    <w:ind w:left="26"/>
                    <w:rPr>
                      <w:sz w:val="24"/>
                      <w:szCs w:val="24"/>
                    </w:rPr>
                  </w:pPr>
                  <w:r>
                    <w:rPr>
                      <w:spacing w:val="-11"/>
                      <w:sz w:val="24"/>
                      <w:szCs w:val="24"/>
                      <w14:textOutline w14:w="4354">
                        <w14:solidFill>
                          <w14:srgbClr w14:val="000000"/>
                        </w14:solidFill>
                        <w14:prstDash w14:val="solid"/>
                        <w14:round/>
                      </w14:textOutline>
                    </w:rPr>
                    <w:t>投资评级：</w:t>
                  </w:r>
                  <w:r>
                    <w:rPr>
                      <w:spacing w:val="-11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1"/>
                      <w:sz w:val="24"/>
                      <w:szCs w:val="24"/>
                      <w14:textOutline w14:w="4354">
                        <w14:solidFill>
                          <w14:srgbClr w14:val="000000"/>
                        </w14:solidFill>
                        <w14:prstDash w14:val="solid"/>
                        <w14:round/>
                      </w14:textOutline>
                    </w:rPr>
                    <w:t>买入（维持）</w:t>
                  </w:r>
                </w:p>
              </w:txbxContent>
            </v:textbox>
          </v:shape>
        </w:pict>
      </w:r>
      <w:r>
        <w:rPr>
          <w:spacing w:val="10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产品</w:t>
      </w:r>
      <w:r>
        <w:rPr>
          <w:rFonts w:ascii="Times New Roman" w:eastAsia="Times New Roman" w:hAnsi="Times New Roman" w:cs="Times New Roman"/>
          <w:b/>
          <w:bCs/>
          <w:spacing w:val="10"/>
          <w:sz w:val="31"/>
          <w:szCs w:val="31"/>
        </w:rPr>
        <w:t>+</w:t>
      </w:r>
      <w:r>
        <w:rPr>
          <w:spacing w:val="10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渠道双轮驱动，家居跨境电商龙头成长可期</w:t>
      </w:r>
    </w:p>
    <w:p>
      <w:pPr>
        <w:pStyle w:val="BodyText"/>
        <w:spacing w:before="253" w:line="220" w:lineRule="auto"/>
        <w:ind w:right="26"/>
        <w:jc w:val="right"/>
        <w:rPr>
          <w:sz w:val="28"/>
          <w:szCs w:val="28"/>
        </w:rPr>
      </w:pPr>
      <w:r>
        <w:rPr>
          <w:spacing w:val="1"/>
          <w:sz w:val="28"/>
          <w:szCs w:val="28"/>
          <w14:textOutline w14:w="5094">
            <w14:solidFill>
              <w14:srgbClr w14:val="000000"/>
            </w14:solidFill>
            <w14:prstDash w14:val="solid"/>
            <w14:round/>
          </w14:textOutline>
        </w:rPr>
        <w:t>——公司深度报告</w:t>
      </w:r>
    </w:p>
    <w:tbl>
      <w:tblPr>
        <w:tblStyle w:val="TableNormal"/>
        <w:tblW w:w="7308" w:type="dxa"/>
        <w:tblInd w:w="390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071"/>
        <w:gridCol w:w="241"/>
        <w:gridCol w:w="800"/>
        <w:gridCol w:w="1039"/>
        <w:gridCol w:w="582"/>
        <w:gridCol w:w="460"/>
        <w:gridCol w:w="1049"/>
        <w:gridCol w:w="1066"/>
      </w:tblGrid>
      <w:tr>
        <w:tblPrEx>
          <w:tblW w:w="7308" w:type="dxa"/>
          <w:tblInd w:w="390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904"/>
        </w:trPr>
        <w:tc>
          <w:tcPr>
            <w:tcW w:w="2312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59" w:line="218" w:lineRule="auto"/>
              <w:ind w:left="54"/>
            </w:pPr>
            <w:r>
              <w:rPr>
                <w:spacing w:val="-7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吕明（分析师）</w:t>
            </w:r>
          </w:p>
          <w:p>
            <w:pPr>
              <w:spacing w:before="77" w:line="192" w:lineRule="auto"/>
              <w:ind w:left="1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lvming@kysec.cn</w:t>
            </w:r>
          </w:p>
          <w:p>
            <w:pPr>
              <w:pStyle w:val="TableText"/>
              <w:spacing w:before="46" w:line="202" w:lineRule="auto"/>
              <w:ind w:left="1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证书编号：</w:t>
            </w:r>
            <w:r>
              <w:rPr>
                <w:spacing w:val="56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18"/>
                <w:szCs w:val="18"/>
              </w:rPr>
              <w:t>S0790520030002</w:t>
            </w:r>
          </w:p>
        </w:tc>
        <w:tc>
          <w:tcPr>
            <w:tcW w:w="2421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59" w:line="218" w:lineRule="auto"/>
              <w:ind w:left="130"/>
            </w:pPr>
            <w:r>
              <w:rPr>
                <w:spacing w:val="-3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周嘉乐（分析师）</w:t>
            </w:r>
          </w:p>
          <w:p>
            <w:pPr>
              <w:spacing w:before="77" w:line="192" w:lineRule="auto"/>
              <w:ind w:left="12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zhoujiale@kysec.cn</w:t>
            </w:r>
          </w:p>
          <w:p>
            <w:pPr>
              <w:pStyle w:val="TableText"/>
              <w:spacing w:before="46" w:line="202" w:lineRule="auto"/>
              <w:ind w:left="12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证书编号：</w:t>
            </w:r>
            <w:r>
              <w:rPr>
                <w:spacing w:val="56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18"/>
                <w:szCs w:val="18"/>
              </w:rPr>
              <w:t>S0790522030002</w:t>
            </w:r>
          </w:p>
        </w:tc>
        <w:tc>
          <w:tcPr>
            <w:tcW w:w="2575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59" w:line="216" w:lineRule="auto"/>
              <w:ind w:left="128"/>
            </w:pPr>
            <w:r>
              <w:rPr>
                <w:spacing w:val="-3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骆扬（联系人）</w:t>
            </w:r>
          </w:p>
          <w:p>
            <w:pPr>
              <w:spacing w:before="80" w:line="192" w:lineRule="auto"/>
              <w:ind w:left="13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luoyang@kysec.cn</w:t>
            </w:r>
          </w:p>
          <w:p>
            <w:pPr>
              <w:pStyle w:val="TableText"/>
              <w:spacing w:before="46" w:line="202" w:lineRule="auto"/>
              <w:ind w:left="13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证书编号：</w:t>
            </w:r>
            <w:r>
              <w:rPr>
                <w:spacing w:val="56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18"/>
                <w:szCs w:val="18"/>
              </w:rPr>
              <w:t>S0790122120029</w:t>
            </w:r>
          </w:p>
        </w:tc>
      </w:tr>
      <w:tr>
        <w:tblPrEx>
          <w:tblW w:w="7308" w:type="dxa"/>
          <w:tblInd w:w="3903" w:type="dxa"/>
          <w:tblLayout w:type="fixed"/>
        </w:tblPrEx>
        <w:trPr>
          <w:trHeight w:val="8830"/>
        </w:trPr>
        <w:tc>
          <w:tcPr>
            <w:tcW w:w="7308" w:type="dxa"/>
            <w:gridSpan w:val="8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172" w:line="200" w:lineRule="auto"/>
              <w:ind w:left="32"/>
            </w:pPr>
            <w:r>
              <w:rPr>
                <w:rFonts w:ascii="Wingdings" w:eastAsia="Wingdings" w:hAnsi="Wingdings" w:cs="Wingdings"/>
                <w:color w:val="C00000"/>
                <w:spacing w:val="-2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pacing w:val="-2"/>
              </w:rPr>
              <w:t xml:space="preserve">2023Q1-Q3 </w:t>
            </w:r>
            <w:r>
              <w:rPr>
                <w:color w:val="C00000"/>
                <w:spacing w:val="-2"/>
                <w14:textOutline w14:w="3831">
                  <w14:solidFill>
                    <w14:srgbClr w14:val="C00000"/>
                  </w14:solidFill>
                  <w14:prstDash w14:val="solid"/>
                  <w14:round/>
                </w14:textOutline>
              </w:rPr>
              <w:t>利润实现高增长，盈利能力稳步</w:t>
            </w:r>
            <w:r>
              <w:rPr>
                <w:color w:val="C00000"/>
                <w:spacing w:val="-3"/>
                <w14:textOutline w14:w="3831">
                  <w14:solidFill>
                    <w14:srgbClr w14:val="C00000"/>
                  </w14:solidFill>
                  <w14:prstDash w14:val="solid"/>
                  <w14:round/>
                </w14:textOutline>
              </w:rPr>
              <w:t>提升，维持“买入”评级</w:t>
            </w:r>
          </w:p>
          <w:p>
            <w:pPr>
              <w:pStyle w:val="TableText"/>
              <w:spacing w:before="1" w:line="205" w:lineRule="auto"/>
              <w:ind w:left="16" w:right="22"/>
              <w:jc w:val="both"/>
            </w:pPr>
            <w:r>
              <w:rPr>
                <w:spacing w:val="-1"/>
              </w:rPr>
              <w:t>公司</w:t>
            </w:r>
            <w:r>
              <w:rPr>
                <w:spacing w:val="-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2023Q1-Q3</w:t>
            </w:r>
            <w:r>
              <w:rPr>
                <w:rFonts w:ascii="Times New Roman" w:eastAsia="Times New Roman" w:hAnsi="Times New Roman" w:cs="Times New Roman"/>
                <w:spacing w:val="31"/>
              </w:rPr>
              <w:t xml:space="preserve"> </w:t>
            </w:r>
            <w:r>
              <w:rPr>
                <w:spacing w:val="-1"/>
              </w:rPr>
              <w:t>实现营收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41.4</w:t>
            </w:r>
            <w:r>
              <w:rPr>
                <w:rFonts w:ascii="Times New Roman" w:eastAsia="Times New Roman" w:hAnsi="Times New Roman" w:cs="Times New Roman"/>
                <w:spacing w:val="21"/>
                <w:w w:val="101"/>
              </w:rPr>
              <w:t xml:space="preserve"> </w:t>
            </w:r>
            <w:r>
              <w:rPr>
                <w:spacing w:val="-1"/>
              </w:rPr>
              <w:t>亿元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/+0.4%</w:t>
            </w:r>
            <w:r>
              <w:rPr>
                <w:spacing w:val="-1"/>
              </w:rPr>
              <w:t>；归母净利润</w:t>
            </w:r>
            <w:r>
              <w:rPr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2.86</w:t>
            </w:r>
            <w:r>
              <w:rPr>
                <w:rFonts w:ascii="Times New Roman" w:eastAsia="Times New Roman" w:hAnsi="Times New Roman" w:cs="Times New Roman"/>
                <w:spacing w:val="21"/>
                <w:w w:val="101"/>
              </w:rPr>
              <w:t xml:space="preserve"> </w:t>
            </w:r>
            <w:r>
              <w:rPr>
                <w:spacing w:val="-1"/>
              </w:rPr>
              <w:t>亿元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/+67.1%</w:t>
            </w:r>
            <w:r>
              <w:rPr>
                <w:spacing w:val="-1"/>
              </w:rPr>
              <w:t>；扣</w:t>
            </w:r>
            <w:r>
              <w:t xml:space="preserve"> </w:t>
            </w:r>
            <w:r>
              <w:rPr>
                <w:spacing w:val="-2"/>
              </w:rPr>
              <w:t>非净利润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3.13 </w:t>
            </w:r>
            <w:r>
              <w:rPr>
                <w:spacing w:val="-2"/>
              </w:rPr>
              <w:t>亿元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/+79.3%</w:t>
            </w:r>
            <w:r>
              <w:rPr>
                <w:spacing w:val="-2"/>
              </w:rPr>
              <w:t>；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2023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Q3 </w:t>
            </w:r>
            <w:r>
              <w:rPr>
                <w:spacing w:val="-3"/>
              </w:rPr>
              <w:t>公司实现营业收入</w:t>
            </w:r>
            <w:r>
              <w:rPr>
                <w:spacing w:val="-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14.9  </w:t>
            </w:r>
            <w:r>
              <w:rPr>
                <w:spacing w:val="-3"/>
              </w:rPr>
              <w:t>亿元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/+13.9%</w:t>
            </w:r>
            <w:r>
              <w:rPr>
                <w:spacing w:val="-3"/>
              </w:rPr>
              <w:t>，归母</w:t>
            </w:r>
            <w:r>
              <w:t xml:space="preserve"> </w:t>
            </w:r>
            <w:r>
              <w:rPr>
                <w:spacing w:val="-3"/>
              </w:rPr>
              <w:t>净利润</w:t>
            </w:r>
            <w:r>
              <w:rPr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1.0  </w:t>
            </w:r>
            <w:r>
              <w:rPr>
                <w:spacing w:val="-3"/>
              </w:rPr>
              <w:t>亿元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/+64.8%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spacing w:val="-3"/>
              </w:rPr>
              <w:t>。短期看，我们预计公</w:t>
            </w:r>
            <w:r>
              <w:rPr>
                <w:spacing w:val="-4"/>
              </w:rPr>
              <w:t>司供应链断货问题逐步解决，</w:t>
            </w:r>
            <w:r>
              <w:rPr>
                <w:spacing w:val="-4"/>
              </w:rPr>
              <w:t xml:space="preserve"> </w:t>
            </w:r>
            <w:r>
              <w:rPr>
                <w:spacing w:val="-4"/>
              </w:rPr>
              <w:t>能</w:t>
            </w:r>
            <w:r>
              <w:t xml:space="preserve"> </w:t>
            </w:r>
            <w:r>
              <w:rPr>
                <w:spacing w:val="-3"/>
              </w:rPr>
              <w:t>够通过新品推新顺利承接欧美消费旺季，</w:t>
            </w:r>
            <w:r>
              <w:rPr>
                <w:spacing w:val="-38"/>
              </w:rPr>
              <w:t xml:space="preserve"> </w:t>
            </w:r>
            <w:r>
              <w:rPr>
                <w:spacing w:val="-3"/>
              </w:rPr>
              <w:t>我们看好公司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2023Q4</w:t>
            </w:r>
            <w:r>
              <w:rPr>
                <w:rFonts w:ascii="Times New Roman" w:eastAsia="Times New Roman" w:hAnsi="Times New Roman" w:cs="Times New Roman"/>
                <w:spacing w:val="14"/>
              </w:rPr>
              <w:t xml:space="preserve"> </w:t>
            </w:r>
            <w:r>
              <w:rPr>
                <w:spacing w:val="-3"/>
              </w:rPr>
              <w:t>收入增速延续较</w:t>
            </w:r>
            <w:r>
              <w:t xml:space="preserve"> </w:t>
            </w:r>
            <w:r>
              <w:rPr>
                <w:spacing w:val="-4"/>
              </w:rPr>
              <w:t>高增长，公司全年营收及业绩预期向好。长期看，</w:t>
            </w:r>
            <w:r>
              <w:rPr>
                <w:spacing w:val="-52"/>
              </w:rPr>
              <w:t xml:space="preserve"> </w:t>
            </w:r>
            <w:r>
              <w:rPr>
                <w:spacing w:val="-4"/>
              </w:rPr>
              <w:t>公司</w:t>
            </w:r>
            <w:r>
              <w:rPr>
                <w:spacing w:val="-5"/>
              </w:rPr>
              <w:t>为家居跨境电商龙头，品</w:t>
            </w:r>
            <w:r>
              <w:t xml:space="preserve"> </w:t>
            </w:r>
            <w:r>
              <w:rPr>
                <w:spacing w:val="-6"/>
              </w:rPr>
              <w:t>类及渠道扩张持续，</w:t>
            </w:r>
            <w:r>
              <w:rPr>
                <w:spacing w:val="-32"/>
              </w:rPr>
              <w:t xml:space="preserve"> </w:t>
            </w:r>
            <w:r>
              <w:rPr>
                <w:spacing w:val="-6"/>
              </w:rPr>
              <w:t>专注于家居领域的柔性供应链持续优化，</w:t>
            </w:r>
            <w:r>
              <w:rPr>
                <w:spacing w:val="-51"/>
              </w:rPr>
              <w:t xml:space="preserve"> </w:t>
            </w:r>
            <w:r>
              <w:rPr>
                <w:spacing w:val="-6"/>
              </w:rPr>
              <w:t>成长逻辑通顺。看</w:t>
            </w:r>
            <w:r>
              <w:t xml:space="preserve"> </w:t>
            </w:r>
            <w:r>
              <w:rPr>
                <w:spacing w:val="-1"/>
              </w:rPr>
              <w:t>好公司顺利承接</w:t>
            </w:r>
            <w:r>
              <w:rPr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2023</w:t>
            </w:r>
            <w:r>
              <w:rPr>
                <w:rFonts w:ascii="Times New Roman" w:eastAsia="Times New Roman" w:hAnsi="Times New Roman" w:cs="Times New Roman"/>
                <w:spacing w:val="46"/>
                <w:w w:val="101"/>
              </w:rPr>
              <w:t xml:space="preserve"> </w:t>
            </w:r>
            <w:r>
              <w:rPr>
                <w:spacing w:val="-1"/>
              </w:rPr>
              <w:t>年末欧美消费旺季，我们上调盈利预测，预计</w:t>
            </w:r>
            <w:r>
              <w:rPr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2023-2025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3"/>
              </w:rPr>
              <w:t>归母净利润为</w:t>
            </w:r>
            <w:r>
              <w:rPr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4.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10/5.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12/6.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31  </w:t>
            </w:r>
            <w:r>
              <w:rPr>
                <w:spacing w:val="2"/>
              </w:rPr>
              <w:t>亿元</w:t>
            </w:r>
            <w:r>
              <w:rPr>
                <w:spacing w:val="2"/>
                <w:sz w:val="19"/>
                <w:szCs w:val="19"/>
              </w:rPr>
              <w:t>（原值为</w:t>
            </w:r>
            <w:r>
              <w:rPr>
                <w:spacing w:val="2"/>
                <w:sz w:val="19"/>
                <w:szCs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19"/>
                <w:szCs w:val="19"/>
              </w:rPr>
              <w:t xml:space="preserve">4.02/5.01/6.17  </w:t>
            </w:r>
            <w:r>
              <w:rPr>
                <w:spacing w:val="2"/>
                <w:sz w:val="19"/>
                <w:szCs w:val="19"/>
              </w:rPr>
              <w:t>亿元</w:t>
            </w:r>
            <w:r>
              <w:rPr>
                <w:spacing w:val="-35"/>
                <w:sz w:val="19"/>
                <w:szCs w:val="19"/>
              </w:rPr>
              <w:t>）</w:t>
            </w:r>
            <w:r>
              <w:rPr>
                <w:spacing w:val="-35"/>
              </w:rPr>
              <w:t>，</w:t>
            </w:r>
            <w:r>
              <w:rPr>
                <w:spacing w:val="2"/>
              </w:rPr>
              <w:t>对应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EPS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 </w:t>
            </w:r>
            <w:r>
              <w:rPr>
                <w:spacing w:val="2"/>
              </w:rPr>
              <w:t>为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1.02/1.28/1.57</w:t>
            </w:r>
            <w:r>
              <w:rPr>
                <w:rFonts w:ascii="Times New Roman" w:eastAsia="Times New Roman" w:hAnsi="Times New Roman" w:cs="Times New Roman"/>
                <w:spacing w:val="26"/>
              </w:rPr>
              <w:t xml:space="preserve"> </w:t>
            </w:r>
            <w:r>
              <w:rPr>
                <w:spacing w:val="-1"/>
              </w:rPr>
              <w:t>元，当前股价对应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PE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-1"/>
              </w:rPr>
              <w:t>为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23.6/18.9/15.3 </w:t>
            </w:r>
            <w:r>
              <w:rPr>
                <w:spacing w:val="-1"/>
              </w:rPr>
              <w:t>倍，维持“买入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”</w:t>
            </w:r>
            <w:r>
              <w:rPr>
                <w:spacing w:val="-1"/>
              </w:rPr>
              <w:t>评级。</w:t>
            </w:r>
          </w:p>
          <w:p>
            <w:pPr>
              <w:pStyle w:val="TableText"/>
              <w:spacing w:before="127" w:line="203" w:lineRule="auto"/>
              <w:ind w:left="140"/>
            </w:pPr>
            <w:r>
              <w:rPr>
                <w:rFonts w:ascii="Wingdings" w:eastAsia="Wingdings" w:hAnsi="Wingdings" w:cs="Wingdings"/>
                <w:color w:val="C00000"/>
                <w:spacing w:val="-7"/>
              </w:rPr>
              <w:t>.</w:t>
            </w:r>
            <w:r>
              <w:rPr>
                <w:color w:val="C00000"/>
                <w:spacing w:val="-7"/>
                <w14:textOutline w14:w="3831">
                  <w14:solidFill>
                    <w14:srgbClr w14:val="C00000"/>
                  </w14:solidFill>
                  <w14:prstDash w14:val="solid"/>
                  <w14:round/>
                </w14:textOutline>
              </w:rPr>
              <w:t>短期亮点：</w:t>
            </w:r>
            <w:r>
              <w:rPr>
                <w:color w:val="C00000"/>
                <w:spacing w:val="46"/>
              </w:rPr>
              <w:t xml:space="preserve"> </w:t>
            </w:r>
            <w:r>
              <w:rPr>
                <w:color w:val="C00000"/>
                <w:spacing w:val="-7"/>
                <w14:textOutline w14:w="3831">
                  <w14:solidFill>
                    <w14:srgbClr w14:val="C00000"/>
                  </w14:solidFill>
                  <w14:prstDash w14:val="solid"/>
                  <w14:round/>
                </w14:textOutline>
              </w:rPr>
              <w:t>公司三大自主品牌销售趋势向好，盈利能力改善趋势确定性强</w:t>
            </w:r>
          </w:p>
          <w:p>
            <w:pPr>
              <w:pStyle w:val="TableText"/>
              <w:spacing w:before="5" w:line="203" w:lineRule="auto"/>
              <w:ind w:left="16" w:right="22" w:firstLine="2"/>
              <w:jc w:val="both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2023Q4</w:t>
            </w:r>
            <w:r>
              <w:rPr>
                <w:rFonts w:ascii="Times New Roman" w:eastAsia="Times New Roman" w:hAnsi="Times New Roman" w:cs="Times New Roman"/>
                <w:spacing w:val="34"/>
              </w:rPr>
              <w:t xml:space="preserve"> </w:t>
            </w:r>
            <w:r>
              <w:rPr>
                <w:spacing w:val="-5"/>
              </w:rPr>
              <w:t>欧美亚马逊消费市场火热，亚马逊在谷歌的搜索量快速上升。根据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Adobe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Analytics</w:t>
            </w:r>
            <w:r>
              <w:rPr>
                <w:rFonts w:ascii="Times New Roman" w:eastAsia="Times New Roman" w:hAnsi="Times New Roman" w:cs="Times New Roman"/>
                <w:spacing w:val="37"/>
                <w:w w:val="101"/>
              </w:rPr>
              <w:t xml:space="preserve"> </w:t>
            </w:r>
            <w:r>
              <w:rPr>
                <w:spacing w:val="-3"/>
              </w:rPr>
              <w:t>的数据，“黑五”美国线上消费金额创记录达到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98 </w:t>
            </w:r>
            <w:r>
              <w:rPr>
                <w:spacing w:val="-3"/>
              </w:rPr>
              <w:t>亿美元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(</w:t>
            </w:r>
            <w:r>
              <w:rPr>
                <w:spacing w:val="-3"/>
              </w:rPr>
              <w:t>约合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695 </w:t>
            </w:r>
            <w:r>
              <w:rPr>
                <w:spacing w:val="-3"/>
              </w:rPr>
              <w:t>亿</w:t>
            </w:r>
            <w:r>
              <w:t xml:space="preserve"> </w:t>
            </w:r>
            <w:r>
              <w:rPr>
                <w:spacing w:val="-3"/>
              </w:rPr>
              <w:t>元人民币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)</w:t>
            </w:r>
            <w:r>
              <w:rPr>
                <w:spacing w:val="-3"/>
              </w:rPr>
              <w:t>，同比增长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7.5%</w:t>
            </w:r>
            <w:r>
              <w:rPr>
                <w:spacing w:val="-3"/>
              </w:rPr>
              <w:t>；同时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Adobe Digital Insights</w:t>
            </w:r>
            <w:r>
              <w:rPr>
                <w:rFonts w:ascii="Times New Roman" w:eastAsia="Times New Roman" w:hAnsi="Times New Roman" w:cs="Times New Roman"/>
                <w:spacing w:val="13"/>
                <w:w w:val="101"/>
              </w:rPr>
              <w:t xml:space="preserve"> </w:t>
            </w:r>
            <w:r>
              <w:rPr>
                <w:spacing w:val="-4"/>
              </w:rPr>
              <w:t>预计，“网络星期一”的</w:t>
            </w:r>
            <w:r>
              <w:t xml:space="preserve"> </w:t>
            </w:r>
            <w:r>
              <w:rPr>
                <w:spacing w:val="-6"/>
              </w:rPr>
              <w:t>网上消费将超过</w:t>
            </w:r>
            <w:r>
              <w:rPr>
                <w:spacing w:val="-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120 </w:t>
            </w:r>
            <w:r>
              <w:rPr>
                <w:spacing w:val="-6"/>
              </w:rPr>
              <w:t>亿美元，</w:t>
            </w:r>
            <w:r>
              <w:rPr>
                <w:spacing w:val="-48"/>
              </w:rPr>
              <w:t xml:space="preserve"> </w:t>
            </w:r>
            <w:r>
              <w:rPr>
                <w:spacing w:val="-6"/>
              </w:rPr>
              <w:t>创造历史最高水平。承接行业旺季东风，</w:t>
            </w:r>
            <w:r>
              <w:rPr>
                <w:spacing w:val="-59"/>
              </w:rPr>
              <w:t xml:space="preserve"> </w:t>
            </w:r>
            <w:r>
              <w:rPr>
                <w:spacing w:val="-6"/>
              </w:rPr>
              <w:t>公司三大</w:t>
            </w:r>
            <w:r>
              <w:t xml:space="preserve"> </w:t>
            </w:r>
            <w:r>
              <w:rPr>
                <w:spacing w:val="-2"/>
              </w:rPr>
              <w:t>子品牌在“黑五”期间搜索热度有明显提升，增长态</w:t>
            </w:r>
            <w:r>
              <w:rPr>
                <w:spacing w:val="-3"/>
              </w:rPr>
              <w:t>势高于亚马逊相关站点搜索</w:t>
            </w:r>
            <w:r>
              <w:t xml:space="preserve"> </w:t>
            </w:r>
            <w:r>
              <w:rPr>
                <w:spacing w:val="-5"/>
              </w:rPr>
              <w:t>指数，我们预计后续各个站点营收有望进一步恢复。</w:t>
            </w:r>
            <w:r>
              <w:rPr>
                <w:spacing w:val="-5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业绩端看，</w:t>
            </w:r>
            <w:r>
              <w:rPr>
                <w:spacing w:val="-5"/>
              </w:rPr>
              <w:t xml:space="preserve"> </w:t>
            </w:r>
            <w:r>
              <w:rPr>
                <w:spacing w:val="-6"/>
              </w:rPr>
              <w:t>公司毛利率预计</w:t>
            </w:r>
            <w:r>
              <w:t xml:space="preserve"> </w:t>
            </w:r>
            <w:r>
              <w:rPr>
                <w:spacing w:val="-4"/>
              </w:rPr>
              <w:t>将受益于海运费回落及供应流程降本持续；</w:t>
            </w:r>
            <w:r>
              <w:rPr>
                <w:spacing w:val="-37"/>
              </w:rPr>
              <w:t xml:space="preserve"> </w:t>
            </w:r>
            <w:r>
              <w:rPr>
                <w:spacing w:val="-4"/>
              </w:rPr>
              <w:t>管理、研发</w:t>
            </w:r>
            <w:r>
              <w:rPr>
                <w:spacing w:val="-5"/>
              </w:rPr>
              <w:t>费用全年预计增加为长期</w:t>
            </w:r>
            <w:r>
              <w:t xml:space="preserve"> </w:t>
            </w:r>
            <w:r>
              <w:rPr>
                <w:spacing w:val="-5"/>
              </w:rPr>
              <w:t>发展蓄力，</w:t>
            </w:r>
            <w:r>
              <w:rPr>
                <w:spacing w:val="-5"/>
              </w:rPr>
              <w:t xml:space="preserve"> </w:t>
            </w:r>
            <w:r>
              <w:rPr>
                <w:spacing w:val="-5"/>
              </w:rPr>
              <w:t>综合影响下，</w:t>
            </w:r>
            <w:r>
              <w:rPr>
                <w:spacing w:val="-5"/>
              </w:rPr>
              <w:t xml:space="preserve"> </w:t>
            </w:r>
            <w:r>
              <w:rPr>
                <w:spacing w:val="-5"/>
              </w:rPr>
              <w:t>我们看好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2023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>
              <w:rPr>
                <w:spacing w:val="-6"/>
              </w:rPr>
              <w:t>年公司盈利能力相较同期有明显提升。</w:t>
            </w:r>
          </w:p>
          <w:p>
            <w:pPr>
              <w:pStyle w:val="TableText"/>
              <w:spacing w:before="141" w:line="203" w:lineRule="auto"/>
              <w:ind w:left="32"/>
            </w:pPr>
            <w:r>
              <w:rPr>
                <w:rFonts w:ascii="Wingdings" w:eastAsia="Wingdings" w:hAnsi="Wingdings" w:cs="Wingdings"/>
                <w:color w:val="C00000"/>
                <w:spacing w:val="-7"/>
              </w:rPr>
              <w:t>.</w:t>
            </w:r>
            <w:r>
              <w:rPr>
                <w:color w:val="C00000"/>
                <w:spacing w:val="-7"/>
                <w14:textOutline w14:w="3831">
                  <w14:solidFill>
                    <w14:srgbClr w14:val="C00000"/>
                  </w14:solidFill>
                  <w14:prstDash w14:val="solid"/>
                  <w14:round/>
                </w14:textOutline>
              </w:rPr>
              <w:t>公司成长性：</w:t>
            </w:r>
            <w:r>
              <w:rPr>
                <w:color w:val="C00000"/>
                <w:spacing w:val="-7"/>
              </w:rPr>
              <w:t xml:space="preserve"> </w:t>
            </w:r>
            <w:r>
              <w:rPr>
                <w:color w:val="C00000"/>
                <w:spacing w:val="-7"/>
                <w14:textOutline w14:w="3831">
                  <w14:solidFill>
                    <w14:srgbClr w14:val="C00000"/>
                  </w14:solidFill>
                  <w14:prstDash w14:val="solid"/>
                  <w14:round/>
                </w14:textOutline>
              </w:rPr>
              <w:t>产品</w:t>
            </w: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pacing w:val="-7"/>
              </w:rPr>
              <w:t>+</w:t>
            </w:r>
            <w:r>
              <w:rPr>
                <w:color w:val="C00000"/>
                <w:spacing w:val="-7"/>
                <w14:textOutline w14:w="3831">
                  <w14:solidFill>
                    <w14:srgbClr w14:val="C00000"/>
                  </w14:solidFill>
                  <w14:prstDash w14:val="solid"/>
                  <w14:round/>
                </w14:textOutline>
              </w:rPr>
              <w:t>渠道双轮驱动，供应链痛点亟待</w:t>
            </w:r>
            <w:r>
              <w:rPr>
                <w:color w:val="C00000"/>
                <w:spacing w:val="-8"/>
                <w14:textOutline w14:w="3831">
                  <w14:solidFill>
                    <w14:srgbClr w14:val="C00000"/>
                  </w14:solidFill>
                  <w14:prstDash w14:val="solid"/>
                  <w14:round/>
                </w14:textOutline>
              </w:rPr>
              <w:t>解决</w:t>
            </w:r>
          </w:p>
          <w:p>
            <w:pPr>
              <w:pStyle w:val="TableText"/>
              <w:spacing w:before="4" w:line="203" w:lineRule="auto"/>
              <w:ind w:left="16" w:firstLine="20"/>
              <w:jc w:val="both"/>
            </w:pPr>
            <w:r>
              <w:rPr>
                <w:spacing w:val="-4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1</w:t>
            </w:r>
            <w:r>
              <w:rPr>
                <w:spacing w:val="-4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）产品：</w:t>
            </w:r>
            <w:r>
              <w:rPr>
                <w:spacing w:val="-4"/>
              </w:rPr>
              <w:t xml:space="preserve"> </w:t>
            </w:r>
            <w:r>
              <w:rPr>
                <w:spacing w:val="-4"/>
              </w:rPr>
              <w:t>长期来看公司预计会借助家居细分场景多、产品品类可拓展性强的</w:t>
            </w:r>
            <w:r>
              <w:rPr>
                <w:spacing w:val="4"/>
              </w:rPr>
              <w:t xml:space="preserve"> </w:t>
            </w:r>
            <w:r>
              <w:rPr>
                <w:spacing w:val="-7"/>
              </w:rPr>
              <w:t>行业优势，</w:t>
            </w:r>
            <w:r>
              <w:rPr>
                <w:spacing w:val="-13"/>
              </w:rPr>
              <w:t xml:space="preserve"> </w:t>
            </w:r>
            <w:r>
              <w:rPr>
                <w:spacing w:val="-7"/>
              </w:rPr>
              <w:t>在产品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SKU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</w:rPr>
              <w:t xml:space="preserve"> </w:t>
            </w:r>
            <w:r>
              <w:rPr>
                <w:spacing w:val="-7"/>
              </w:rPr>
              <w:t>及销售场景拓展持续向宜家对齐，</w:t>
            </w:r>
            <w:r>
              <w:rPr>
                <w:spacing w:val="-7"/>
              </w:rPr>
              <w:t xml:space="preserve"> </w:t>
            </w:r>
            <w:r>
              <w:rPr>
                <w:spacing w:val="-7"/>
              </w:rPr>
              <w:t>成长天花板可观。公</w:t>
            </w:r>
            <w:r>
              <w:t xml:space="preserve"> </w:t>
            </w:r>
            <w:r>
              <w:rPr>
                <w:spacing w:val="-2"/>
              </w:rPr>
              <w:t>司自身阿尔法看，公司目前是亚马逊线上平台较为稀缺的家居</w:t>
            </w:r>
            <w:r>
              <w:rPr>
                <w:spacing w:val="-3"/>
              </w:rPr>
              <w:t>全品类销售卖家，</w:t>
            </w:r>
            <w:r>
              <w:t xml:space="preserve"> </w:t>
            </w:r>
            <w:r>
              <w:rPr>
                <w:spacing w:val="-3"/>
              </w:rPr>
              <w:t>且产品品类拓展战略清晰。传统品类，公司主要</w:t>
            </w:r>
            <w:r>
              <w:rPr>
                <w:spacing w:val="-4"/>
              </w:rPr>
              <w:t>通过产品功能迭代、广告投放等</w:t>
            </w:r>
            <w:r>
              <w:t xml:space="preserve"> </w:t>
            </w:r>
            <w:r>
              <w:rPr>
                <w:spacing w:val="-8"/>
              </w:rPr>
              <w:t>手段提升市场占有率；新兴品类，家纺、儿童、宠物等市场仍存在较大拓展空间，</w:t>
            </w:r>
            <w:r>
              <w:rPr>
                <w:spacing w:val="18"/>
              </w:rPr>
              <w:t xml:space="preserve"> </w:t>
            </w:r>
            <w:r>
              <w:rPr>
                <w:spacing w:val="-9"/>
              </w:rPr>
              <w:t>公司将通过增加产品研发投入，加快领域产品推新节奏。</w:t>
            </w:r>
            <w:r>
              <w:rPr>
                <w:spacing w:val="-9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9"/>
              </w:rPr>
              <w:t>2</w:t>
            </w:r>
            <w:r>
              <w:rPr>
                <w:spacing w:val="-9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）渠道：</w:t>
            </w:r>
            <w:r>
              <w:rPr>
                <w:spacing w:val="-9"/>
              </w:rPr>
              <w:t xml:space="preserve"> </w:t>
            </w:r>
            <w:r>
              <w:rPr>
                <w:spacing w:val="-9"/>
              </w:rPr>
              <w:t>一方面，公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司积极拓展销售地区版图，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2023</w:t>
            </w:r>
            <w:r>
              <w:rPr>
                <w:rFonts w:ascii="Times New Roman" w:eastAsia="Times New Roman" w:hAnsi="Times New Roman" w:cs="Times New Roman"/>
                <w:spacing w:val="21"/>
              </w:rPr>
              <w:t xml:space="preserve"> </w:t>
            </w:r>
            <w:r>
              <w:rPr>
                <w:spacing w:val="-4"/>
              </w:rPr>
              <w:t>年公司成功接入墨西哥，</w:t>
            </w:r>
            <w:r>
              <w:rPr>
                <w:spacing w:val="-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2024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-4"/>
              </w:rPr>
              <w:t>年公司将继续侧</w:t>
            </w:r>
            <w:r>
              <w:t xml:space="preserve"> </w:t>
            </w:r>
            <w:r>
              <w:rPr>
                <w:spacing w:val="-5"/>
              </w:rPr>
              <w:t>重以新兴发展中国家市场为主的海外市场开拓。另一方面，</w:t>
            </w:r>
            <w:r>
              <w:rPr>
                <w:spacing w:val="-49"/>
              </w:rPr>
              <w:t xml:space="preserve"> </w:t>
            </w:r>
            <w:r>
              <w:rPr>
                <w:spacing w:val="-5"/>
              </w:rPr>
              <w:t>公司积极延伸传统销</w:t>
            </w:r>
            <w:r>
              <w:t xml:space="preserve"> </w:t>
            </w:r>
            <w:r>
              <w:rPr>
                <w:spacing w:val="-7"/>
              </w:rPr>
              <w:t>售市场线上、线下渠道，</w:t>
            </w:r>
            <w:r>
              <w:rPr>
                <w:spacing w:val="-7"/>
              </w:rPr>
              <w:t xml:space="preserve"> </w:t>
            </w:r>
            <w:r>
              <w:rPr>
                <w:spacing w:val="-7"/>
              </w:rPr>
              <w:t>减少对单一渠道的依赖，</w:t>
            </w:r>
            <w:r>
              <w:rPr>
                <w:spacing w:val="-20"/>
              </w:rPr>
              <w:t xml:space="preserve"> </w:t>
            </w:r>
            <w:r>
              <w:rPr>
                <w:spacing w:val="-7"/>
              </w:rPr>
              <w:t>先后入驻</w:t>
            </w:r>
            <w:r>
              <w:rPr>
                <w:spacing w:val="-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SHEIN</w:t>
            </w:r>
            <w:r>
              <w:rPr>
                <w:rFonts w:ascii="Times New Roman" w:eastAsia="Times New Roman" w:hAnsi="Times New Roman" w:cs="Times New Roman"/>
                <w:spacing w:val="39"/>
                <w:w w:val="101"/>
              </w:rPr>
              <w:t xml:space="preserve"> </w:t>
            </w:r>
            <w:r>
              <w:rPr>
                <w:spacing w:val="-7"/>
              </w:rPr>
              <w:t>美国站、南</w:t>
            </w:r>
            <w:r>
              <w:t xml:space="preserve"> </w:t>
            </w:r>
            <w:r>
              <w:rPr>
                <w:spacing w:val="-5"/>
              </w:rPr>
              <w:t>美最大电商平台</w:t>
            </w:r>
            <w:r>
              <w:rPr>
                <w:spacing w:val="-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Mercado  Libre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spacing w:val="-5"/>
              </w:rPr>
              <w:t>、沃尔玛、</w:t>
            </w:r>
            <w:r>
              <w:rPr>
                <w:spacing w:val="-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target  </w:t>
            </w:r>
            <w:r>
              <w:rPr>
                <w:spacing w:val="-5"/>
              </w:rPr>
              <w:t>等平台。</w:t>
            </w:r>
            <w:r>
              <w:rPr>
                <w:spacing w:val="-5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3</w:t>
            </w:r>
            <w:r>
              <w:rPr>
                <w:spacing w:val="-5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）供应链：</w:t>
            </w:r>
            <w:r>
              <w:rPr>
                <w:spacing w:val="-5"/>
              </w:rPr>
              <w:t>中长期</w:t>
            </w:r>
            <w:r>
              <w:t xml:space="preserve"> </w:t>
            </w:r>
            <w:r>
              <w:rPr>
                <w:spacing w:val="3"/>
              </w:rPr>
              <w:t>看公司供应链优化方向预计为自营仓发货率提升</w:t>
            </w:r>
            <w:r>
              <w:rPr>
                <w:spacing w:val="2"/>
              </w:rPr>
              <w:t>以及供应链全程自动化、规模</w:t>
            </w:r>
            <w:r>
              <w:t xml:space="preserve"> </w:t>
            </w:r>
            <w:r>
              <w:rPr>
                <w:spacing w:val="-5"/>
              </w:rPr>
              <w:t>化。自营仓发货率提升有助于降低仓储及尾程配送费用；</w:t>
            </w:r>
            <w:r>
              <w:rPr>
                <w:spacing w:val="-45"/>
              </w:rPr>
              <w:t xml:space="preserve"> </w:t>
            </w:r>
            <w:r>
              <w:rPr>
                <w:spacing w:val="-5"/>
              </w:rPr>
              <w:t>打造独属于家</w:t>
            </w:r>
            <w:r>
              <w:rPr>
                <w:spacing w:val="-6"/>
              </w:rPr>
              <w:t>居品类的</w:t>
            </w:r>
            <w:r>
              <w:t xml:space="preserve"> </w:t>
            </w:r>
            <w:r>
              <w:rPr>
                <w:spacing w:val="-1"/>
              </w:rPr>
              <w:t>柔性、快反供应链体系有望加快产品推新速度、提升消费者需求洞察精准度。</w:t>
            </w:r>
          </w:p>
          <w:p>
            <w:pPr>
              <w:pStyle w:val="TableText"/>
              <w:spacing w:before="140" w:line="217" w:lineRule="auto"/>
              <w:jc w:val="right"/>
            </w:pPr>
            <w:r>
              <w:rPr>
                <w:rFonts w:ascii="Wingdings" w:eastAsia="Wingdings" w:hAnsi="Wingdings" w:cs="Wingdings"/>
                <w:color w:val="C00000"/>
                <w:spacing w:val="-13"/>
              </w:rPr>
              <w:t>.</w:t>
            </w:r>
            <w:r>
              <w:rPr>
                <w:color w:val="C00000"/>
                <w:spacing w:val="-13"/>
                <w14:textOutline w14:w="3831">
                  <w14:solidFill>
                    <w14:srgbClr w14:val="C00000"/>
                  </w14:solidFill>
                  <w14:prstDash w14:val="solid"/>
                  <w14:round/>
                </w14:textOutline>
              </w:rPr>
              <w:t>风险提示：</w:t>
            </w:r>
            <w:r>
              <w:rPr>
                <w:color w:val="C00000"/>
                <w:spacing w:val="-13"/>
              </w:rPr>
              <w:t xml:space="preserve"> </w:t>
            </w:r>
            <w:r>
              <w:rPr>
                <w:spacing w:val="-13"/>
              </w:rPr>
              <w:t>欧美终端需求大幅下滑、公司新品推新不及预期、海运费大幅上</w:t>
            </w:r>
            <w:r>
              <w:rPr>
                <w:spacing w:val="-14"/>
              </w:rPr>
              <w:t>涨。</w:t>
            </w:r>
          </w:p>
          <w:p>
            <w:pPr>
              <w:pStyle w:val="TableText"/>
              <w:spacing w:before="111" w:line="204" w:lineRule="auto"/>
              <w:ind w:left="26"/>
            </w:pPr>
            <w:r>
              <w:rPr>
                <w:color w:val="000080"/>
                <w:spacing w:val="-1"/>
                <w14:textOutline w14:w="3831">
                  <w14:solidFill>
                    <w14:srgbClr w14:val="000080"/>
                  </w14:solidFill>
                  <w14:prstDash w14:val="solid"/>
                  <w14:round/>
                </w14:textOutline>
              </w:rPr>
              <w:t>财务摘要和估值指标</w:t>
            </w:r>
          </w:p>
        </w:tc>
      </w:tr>
      <w:tr>
        <w:tblPrEx>
          <w:tblW w:w="7308" w:type="dxa"/>
          <w:tblInd w:w="3903" w:type="dxa"/>
          <w:tblLayout w:type="fixed"/>
        </w:tblPrEx>
        <w:trPr>
          <w:trHeight w:val="240"/>
        </w:trPr>
        <w:tc>
          <w:tcPr>
            <w:tcW w:w="2071" w:type="dxa"/>
            <w:shd w:val="clear" w:color="auto" w:fill="000080"/>
            <w:vAlign w:val="top"/>
          </w:tcPr>
          <w:p>
            <w:pPr>
              <w:pStyle w:val="TableText"/>
              <w:spacing w:before="41" w:line="193" w:lineRule="auto"/>
              <w:ind w:left="133"/>
              <w:rPr>
                <w:sz w:val="18"/>
                <w:szCs w:val="18"/>
              </w:rPr>
            </w:pPr>
            <w:r>
              <w:rPr>
                <w:color w:val="FFFFFF"/>
                <w:spacing w:val="-3"/>
                <w:sz w:val="18"/>
                <w:szCs w:val="18"/>
                <w14:textOutline w14:w="3265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指标</w:t>
            </w:r>
          </w:p>
        </w:tc>
        <w:tc>
          <w:tcPr>
            <w:tcW w:w="1041" w:type="dxa"/>
            <w:gridSpan w:val="2"/>
            <w:shd w:val="clear" w:color="auto" w:fill="000080"/>
            <w:vAlign w:val="top"/>
          </w:tcPr>
          <w:p>
            <w:pPr>
              <w:spacing w:before="72" w:line="183" w:lineRule="auto"/>
              <w:ind w:left="50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spacing w:val="-1"/>
                <w:sz w:val="18"/>
                <w:szCs w:val="18"/>
              </w:rPr>
              <w:t>2021A</w:t>
            </w:r>
          </w:p>
        </w:tc>
        <w:tc>
          <w:tcPr>
            <w:tcW w:w="1039" w:type="dxa"/>
            <w:shd w:val="clear" w:color="auto" w:fill="000080"/>
            <w:vAlign w:val="top"/>
          </w:tcPr>
          <w:p>
            <w:pPr>
              <w:spacing w:before="72" w:line="183" w:lineRule="auto"/>
              <w:ind w:left="50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spacing w:val="-1"/>
                <w:sz w:val="18"/>
                <w:szCs w:val="18"/>
              </w:rPr>
              <w:t>2022A</w:t>
            </w:r>
          </w:p>
        </w:tc>
        <w:tc>
          <w:tcPr>
            <w:tcW w:w="1042" w:type="dxa"/>
            <w:gridSpan w:val="2"/>
            <w:shd w:val="clear" w:color="auto" w:fill="000080"/>
            <w:vAlign w:val="top"/>
          </w:tcPr>
          <w:p>
            <w:pPr>
              <w:spacing w:before="72" w:line="183" w:lineRule="auto"/>
              <w:ind w:left="51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spacing w:val="-1"/>
                <w:sz w:val="18"/>
                <w:szCs w:val="18"/>
              </w:rPr>
              <w:t>2023E</w:t>
            </w:r>
          </w:p>
        </w:tc>
        <w:tc>
          <w:tcPr>
            <w:tcW w:w="1049" w:type="dxa"/>
            <w:shd w:val="clear" w:color="auto" w:fill="000080"/>
            <w:vAlign w:val="top"/>
          </w:tcPr>
          <w:p>
            <w:pPr>
              <w:spacing w:before="72" w:line="183" w:lineRule="auto"/>
              <w:ind w:left="51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spacing w:val="-1"/>
                <w:sz w:val="18"/>
                <w:szCs w:val="18"/>
              </w:rPr>
              <w:t>2024E</w:t>
            </w:r>
          </w:p>
        </w:tc>
        <w:tc>
          <w:tcPr>
            <w:tcW w:w="1066" w:type="dxa"/>
            <w:shd w:val="clear" w:color="auto" w:fill="000080"/>
            <w:vAlign w:val="top"/>
          </w:tcPr>
          <w:p>
            <w:pPr>
              <w:spacing w:before="72" w:line="183" w:lineRule="auto"/>
              <w:ind w:left="50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spacing w:val="-1"/>
                <w:sz w:val="18"/>
                <w:szCs w:val="18"/>
              </w:rPr>
              <w:t>2025E</w:t>
            </w:r>
          </w:p>
        </w:tc>
      </w:tr>
      <w:tr>
        <w:tblPrEx>
          <w:tblW w:w="7308" w:type="dxa"/>
          <w:tblInd w:w="3903" w:type="dxa"/>
          <w:tblLayout w:type="fixed"/>
        </w:tblPrEx>
        <w:trPr>
          <w:trHeight w:val="245"/>
        </w:trPr>
        <w:tc>
          <w:tcPr>
            <w:tcW w:w="2071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0" w:line="199" w:lineRule="auto"/>
              <w:ind w:left="14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营业收入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(</w:t>
            </w:r>
            <w:r>
              <w:rPr>
                <w:spacing w:val="-2"/>
                <w:sz w:val="18"/>
                <w:szCs w:val="18"/>
              </w:rPr>
              <w:t>百万元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)</w:t>
            </w:r>
          </w:p>
        </w:tc>
        <w:tc>
          <w:tcPr>
            <w:tcW w:w="1041" w:type="dxa"/>
            <w:gridSpan w:val="2"/>
            <w:tcBorders>
              <w:bottom w:val="single" w:sz="2" w:space="0" w:color="000000"/>
            </w:tcBorders>
            <w:vAlign w:val="top"/>
          </w:tcPr>
          <w:p>
            <w:pPr>
              <w:spacing w:before="72" w:line="188" w:lineRule="auto"/>
              <w:ind w:left="59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5,967</w:t>
            </w:r>
          </w:p>
        </w:tc>
        <w:tc>
          <w:tcPr>
            <w:tcW w:w="1039" w:type="dxa"/>
            <w:tcBorders>
              <w:bottom w:val="single" w:sz="2" w:space="0" w:color="000000"/>
            </w:tcBorders>
            <w:vAlign w:val="top"/>
          </w:tcPr>
          <w:p>
            <w:pPr>
              <w:spacing w:before="72" w:line="188" w:lineRule="auto"/>
              <w:ind w:left="59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5,455</w:t>
            </w:r>
          </w:p>
        </w:tc>
        <w:tc>
          <w:tcPr>
            <w:tcW w:w="1042" w:type="dxa"/>
            <w:gridSpan w:val="2"/>
            <w:tcBorders>
              <w:bottom w:val="single" w:sz="2" w:space="0" w:color="000000"/>
            </w:tcBorders>
            <w:vAlign w:val="top"/>
          </w:tcPr>
          <w:p>
            <w:pPr>
              <w:spacing w:before="72" w:line="188" w:lineRule="auto"/>
              <w:ind w:left="59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6,099</w:t>
            </w:r>
          </w:p>
        </w:tc>
        <w:tc>
          <w:tcPr>
            <w:tcW w:w="1049" w:type="dxa"/>
            <w:tcBorders>
              <w:bottom w:val="single" w:sz="2" w:space="0" w:color="000000"/>
            </w:tcBorders>
            <w:vAlign w:val="top"/>
          </w:tcPr>
          <w:p>
            <w:pPr>
              <w:spacing w:before="72" w:line="188" w:lineRule="auto"/>
              <w:ind w:left="59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7,331</w:t>
            </w:r>
          </w:p>
        </w:tc>
        <w:tc>
          <w:tcPr>
            <w:tcW w:w="1066" w:type="dxa"/>
            <w:tcBorders>
              <w:bottom w:val="single" w:sz="2" w:space="0" w:color="000000"/>
            </w:tcBorders>
            <w:vAlign w:val="top"/>
          </w:tcPr>
          <w:p>
            <w:pPr>
              <w:spacing w:before="72" w:line="188" w:lineRule="auto"/>
              <w:ind w:left="58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8,893</w:t>
            </w:r>
          </w:p>
        </w:tc>
      </w:tr>
      <w:tr>
        <w:tblPrEx>
          <w:tblW w:w="7308" w:type="dxa"/>
          <w:tblInd w:w="3903" w:type="dxa"/>
          <w:tblLayout w:type="fixed"/>
        </w:tblPrEx>
        <w:trPr>
          <w:trHeight w:val="244"/>
        </w:trPr>
        <w:tc>
          <w:tcPr>
            <w:tcW w:w="207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69" w:line="191" w:lineRule="auto"/>
              <w:ind w:left="12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YOY(%)</w:t>
            </w:r>
          </w:p>
        </w:tc>
        <w:tc>
          <w:tcPr>
            <w:tcW w:w="1041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1" w:line="188" w:lineRule="auto"/>
              <w:ind w:left="68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50.3</w:t>
            </w:r>
          </w:p>
        </w:tc>
        <w:tc>
          <w:tcPr>
            <w:tcW w:w="103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1" w:line="188" w:lineRule="auto"/>
              <w:ind w:left="7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-8.6</w:t>
            </w:r>
          </w:p>
        </w:tc>
        <w:tc>
          <w:tcPr>
            <w:tcW w:w="1042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1" w:line="188" w:lineRule="auto"/>
              <w:ind w:left="70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11.8</w:t>
            </w:r>
          </w:p>
        </w:tc>
        <w:tc>
          <w:tcPr>
            <w:tcW w:w="10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1" w:line="188" w:lineRule="auto"/>
              <w:ind w:left="67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20.2</w:t>
            </w:r>
          </w:p>
        </w:tc>
        <w:tc>
          <w:tcPr>
            <w:tcW w:w="106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1" w:line="188" w:lineRule="auto"/>
              <w:ind w:left="6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21.3</w:t>
            </w:r>
          </w:p>
        </w:tc>
      </w:tr>
    </w:tbl>
    <w:p>
      <w:pPr>
        <w:sectPr>
          <w:headerReference w:type="default" r:id="rId18"/>
          <w:footerReference w:type="default" r:id="rId19"/>
          <w:pgSz w:w="11907" w:h="16839"/>
          <w:pgMar w:top="1048" w:right="694" w:bottom="1138" w:left="0" w:header="444" w:footer="839" w:gutter="0"/>
          <w:cols w:space="708"/>
        </w:sectPr>
      </w:pPr>
    </w:p>
    <w:tbl>
      <w:tblPr>
        <w:tblStyle w:val="TableNormal0"/>
        <w:tblW w:w="7308" w:type="dxa"/>
        <w:tblInd w:w="390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071"/>
        <w:gridCol w:w="1041"/>
        <w:gridCol w:w="1039"/>
        <w:gridCol w:w="1042"/>
        <w:gridCol w:w="1049"/>
        <w:gridCol w:w="1066"/>
      </w:tblGrid>
      <w:tr>
        <w:tblPrEx>
          <w:tblW w:w="7308" w:type="dxa"/>
          <w:tblInd w:w="390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44"/>
        </w:trPr>
        <w:tc>
          <w:tcPr>
            <w:tcW w:w="207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1" w:line="197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归母净利润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(</w:t>
            </w:r>
            <w:r>
              <w:rPr>
                <w:spacing w:val="-2"/>
                <w:sz w:val="18"/>
                <w:szCs w:val="18"/>
              </w:rPr>
              <w:t>百万元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)</w:t>
            </w:r>
          </w:p>
        </w:tc>
        <w:tc>
          <w:tcPr>
            <w:tcW w:w="104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2" w:line="187" w:lineRule="auto"/>
              <w:ind w:left="72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240</w:t>
            </w:r>
          </w:p>
        </w:tc>
        <w:tc>
          <w:tcPr>
            <w:tcW w:w="103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2" w:line="187" w:lineRule="auto"/>
              <w:ind w:left="72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250</w:t>
            </w:r>
          </w:p>
        </w:tc>
        <w:tc>
          <w:tcPr>
            <w:tcW w:w="104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2" w:line="187" w:lineRule="auto"/>
              <w:ind w:left="72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410</w:t>
            </w:r>
          </w:p>
        </w:tc>
        <w:tc>
          <w:tcPr>
            <w:tcW w:w="10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2" w:line="187" w:lineRule="auto"/>
              <w:ind w:left="72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512</w:t>
            </w:r>
          </w:p>
        </w:tc>
        <w:tc>
          <w:tcPr>
            <w:tcW w:w="106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2" w:line="187" w:lineRule="auto"/>
              <w:ind w:left="71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631</w:t>
            </w:r>
          </w:p>
        </w:tc>
      </w:tr>
      <w:tr>
        <w:tblPrEx>
          <w:tblW w:w="7308" w:type="dxa"/>
          <w:tblInd w:w="3903" w:type="dxa"/>
          <w:tblLayout w:type="fixed"/>
        </w:tblPrEx>
        <w:trPr>
          <w:trHeight w:val="245"/>
        </w:trPr>
        <w:tc>
          <w:tcPr>
            <w:tcW w:w="207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0" w:line="191" w:lineRule="auto"/>
              <w:ind w:left="12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YOY(%)</w:t>
            </w:r>
          </w:p>
        </w:tc>
        <w:tc>
          <w:tcPr>
            <w:tcW w:w="104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3" w:line="187" w:lineRule="auto"/>
              <w:ind w:left="62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-36.9</w:t>
            </w:r>
          </w:p>
        </w:tc>
        <w:tc>
          <w:tcPr>
            <w:tcW w:w="103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3" w:line="187" w:lineRule="auto"/>
              <w:ind w:left="76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4.3</w:t>
            </w:r>
          </w:p>
        </w:tc>
        <w:tc>
          <w:tcPr>
            <w:tcW w:w="104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3" w:line="187" w:lineRule="auto"/>
              <w:ind w:left="68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63.9</w:t>
            </w:r>
          </w:p>
        </w:tc>
        <w:tc>
          <w:tcPr>
            <w:tcW w:w="10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3" w:line="187" w:lineRule="auto"/>
              <w:ind w:left="67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25.0</w:t>
            </w:r>
          </w:p>
        </w:tc>
        <w:tc>
          <w:tcPr>
            <w:tcW w:w="106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3" w:line="187" w:lineRule="auto"/>
              <w:ind w:left="6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23.1</w:t>
            </w:r>
          </w:p>
        </w:tc>
      </w:tr>
      <w:tr>
        <w:tblPrEx>
          <w:tblW w:w="7308" w:type="dxa"/>
          <w:tblInd w:w="3903" w:type="dxa"/>
          <w:tblLayout w:type="fixed"/>
        </w:tblPrEx>
        <w:trPr>
          <w:trHeight w:val="244"/>
        </w:trPr>
        <w:tc>
          <w:tcPr>
            <w:tcW w:w="207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1" w:line="197" w:lineRule="auto"/>
              <w:ind w:left="13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毛利率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(%)</w:t>
            </w:r>
          </w:p>
        </w:tc>
        <w:tc>
          <w:tcPr>
            <w:tcW w:w="104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2" w:line="187" w:lineRule="auto"/>
              <w:ind w:left="68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32.6</w:t>
            </w:r>
          </w:p>
        </w:tc>
        <w:tc>
          <w:tcPr>
            <w:tcW w:w="103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2" w:line="187" w:lineRule="auto"/>
              <w:ind w:left="68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31.6</w:t>
            </w:r>
          </w:p>
        </w:tc>
        <w:tc>
          <w:tcPr>
            <w:tcW w:w="104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2" w:line="187" w:lineRule="auto"/>
              <w:ind w:left="68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36.3</w:t>
            </w:r>
          </w:p>
        </w:tc>
        <w:tc>
          <w:tcPr>
            <w:tcW w:w="10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2" w:line="187" w:lineRule="auto"/>
              <w:ind w:left="68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36.1</w:t>
            </w:r>
          </w:p>
        </w:tc>
        <w:tc>
          <w:tcPr>
            <w:tcW w:w="106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2" w:line="187" w:lineRule="auto"/>
              <w:ind w:left="6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36.1</w:t>
            </w:r>
          </w:p>
        </w:tc>
      </w:tr>
      <w:tr>
        <w:tblPrEx>
          <w:tblW w:w="7308" w:type="dxa"/>
          <w:tblInd w:w="3903" w:type="dxa"/>
          <w:tblLayout w:type="fixed"/>
        </w:tblPrEx>
        <w:trPr>
          <w:trHeight w:val="247"/>
        </w:trPr>
        <w:tc>
          <w:tcPr>
            <w:tcW w:w="207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4" w:line="197" w:lineRule="auto"/>
              <w:ind w:left="13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净利率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(%)</w:t>
            </w:r>
          </w:p>
        </w:tc>
        <w:tc>
          <w:tcPr>
            <w:tcW w:w="104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5" w:line="187" w:lineRule="auto"/>
              <w:ind w:left="76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4.0</w:t>
            </w:r>
          </w:p>
        </w:tc>
        <w:tc>
          <w:tcPr>
            <w:tcW w:w="103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5" w:line="187" w:lineRule="auto"/>
              <w:ind w:left="76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4.6</w:t>
            </w:r>
          </w:p>
        </w:tc>
        <w:tc>
          <w:tcPr>
            <w:tcW w:w="104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5" w:line="187" w:lineRule="auto"/>
              <w:ind w:left="7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6.7</w:t>
            </w:r>
          </w:p>
        </w:tc>
        <w:tc>
          <w:tcPr>
            <w:tcW w:w="10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5" w:line="187" w:lineRule="auto"/>
              <w:ind w:left="77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7.0</w:t>
            </w:r>
          </w:p>
        </w:tc>
        <w:tc>
          <w:tcPr>
            <w:tcW w:w="106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5" w:line="187" w:lineRule="auto"/>
              <w:ind w:left="7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7.1</w:t>
            </w:r>
          </w:p>
        </w:tc>
      </w:tr>
      <w:tr>
        <w:tblPrEx>
          <w:tblW w:w="7308" w:type="dxa"/>
          <w:tblInd w:w="3903" w:type="dxa"/>
          <w:tblLayout w:type="fixed"/>
        </w:tblPrEx>
        <w:trPr>
          <w:trHeight w:val="245"/>
        </w:trPr>
        <w:tc>
          <w:tcPr>
            <w:tcW w:w="207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0" w:line="191" w:lineRule="auto"/>
              <w:ind w:left="1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ROE(%)</w:t>
            </w:r>
          </w:p>
        </w:tc>
        <w:tc>
          <w:tcPr>
            <w:tcW w:w="104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3" w:line="187" w:lineRule="auto"/>
              <w:ind w:left="69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15.6</w:t>
            </w:r>
          </w:p>
        </w:tc>
        <w:tc>
          <w:tcPr>
            <w:tcW w:w="103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3" w:line="187" w:lineRule="auto"/>
              <w:ind w:left="69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13.8</w:t>
            </w:r>
          </w:p>
        </w:tc>
        <w:tc>
          <w:tcPr>
            <w:tcW w:w="104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3" w:line="187" w:lineRule="auto"/>
              <w:ind w:left="69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18.5</w:t>
            </w:r>
          </w:p>
        </w:tc>
        <w:tc>
          <w:tcPr>
            <w:tcW w:w="10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3" w:line="187" w:lineRule="auto"/>
              <w:ind w:left="6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18.8</w:t>
            </w:r>
          </w:p>
        </w:tc>
        <w:tc>
          <w:tcPr>
            <w:tcW w:w="106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3" w:line="187" w:lineRule="auto"/>
              <w:ind w:left="68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18.8</w:t>
            </w:r>
          </w:p>
        </w:tc>
      </w:tr>
      <w:tr>
        <w:tblPrEx>
          <w:tblW w:w="7308" w:type="dxa"/>
          <w:tblInd w:w="3903" w:type="dxa"/>
          <w:tblLayout w:type="fixed"/>
        </w:tblPrEx>
        <w:trPr>
          <w:trHeight w:val="245"/>
        </w:trPr>
        <w:tc>
          <w:tcPr>
            <w:tcW w:w="207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1" w:line="198" w:lineRule="auto"/>
              <w:ind w:left="12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EPS(</w:t>
            </w:r>
            <w:r>
              <w:rPr>
                <w:spacing w:val="-1"/>
                <w:sz w:val="18"/>
                <w:szCs w:val="18"/>
              </w:rPr>
              <w:t>摊薄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/</w:t>
            </w:r>
            <w:r>
              <w:rPr>
                <w:spacing w:val="-1"/>
                <w:sz w:val="18"/>
                <w:szCs w:val="18"/>
              </w:rPr>
              <w:t>元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)</w:t>
            </w:r>
          </w:p>
        </w:tc>
        <w:tc>
          <w:tcPr>
            <w:tcW w:w="104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2" w:line="188" w:lineRule="auto"/>
              <w:ind w:left="68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0.60</w:t>
            </w:r>
          </w:p>
        </w:tc>
        <w:tc>
          <w:tcPr>
            <w:tcW w:w="103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2" w:line="188" w:lineRule="auto"/>
              <w:ind w:left="68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0.62</w:t>
            </w:r>
          </w:p>
        </w:tc>
        <w:tc>
          <w:tcPr>
            <w:tcW w:w="104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2" w:line="188" w:lineRule="auto"/>
              <w:ind w:left="69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1.02</w:t>
            </w:r>
          </w:p>
        </w:tc>
        <w:tc>
          <w:tcPr>
            <w:tcW w:w="10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2" w:line="188" w:lineRule="auto"/>
              <w:ind w:left="6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1.28</w:t>
            </w:r>
          </w:p>
        </w:tc>
        <w:tc>
          <w:tcPr>
            <w:tcW w:w="106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2" w:line="188" w:lineRule="auto"/>
              <w:ind w:left="68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1.57</w:t>
            </w:r>
          </w:p>
        </w:tc>
      </w:tr>
      <w:tr>
        <w:tblPrEx>
          <w:tblW w:w="7308" w:type="dxa"/>
          <w:tblInd w:w="3903" w:type="dxa"/>
          <w:tblLayout w:type="fixed"/>
        </w:tblPrEx>
        <w:trPr>
          <w:trHeight w:val="244"/>
        </w:trPr>
        <w:tc>
          <w:tcPr>
            <w:tcW w:w="207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1" w:line="197" w:lineRule="auto"/>
              <w:ind w:left="1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P/E(</w:t>
            </w:r>
            <w:r>
              <w:rPr>
                <w:spacing w:val="-1"/>
                <w:sz w:val="18"/>
                <w:szCs w:val="18"/>
              </w:rPr>
              <w:t>倍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)</w:t>
            </w:r>
          </w:p>
        </w:tc>
        <w:tc>
          <w:tcPr>
            <w:tcW w:w="104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2" w:line="187" w:lineRule="auto"/>
              <w:ind w:left="67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40.3</w:t>
            </w:r>
          </w:p>
        </w:tc>
        <w:tc>
          <w:tcPr>
            <w:tcW w:w="103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2" w:line="187" w:lineRule="auto"/>
              <w:ind w:left="68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38.6</w:t>
            </w:r>
          </w:p>
        </w:tc>
        <w:tc>
          <w:tcPr>
            <w:tcW w:w="104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2" w:line="187" w:lineRule="auto"/>
              <w:ind w:left="67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23.6</w:t>
            </w:r>
          </w:p>
        </w:tc>
        <w:tc>
          <w:tcPr>
            <w:tcW w:w="10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2" w:line="187" w:lineRule="auto"/>
              <w:ind w:left="6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18.9</w:t>
            </w:r>
          </w:p>
        </w:tc>
        <w:tc>
          <w:tcPr>
            <w:tcW w:w="106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2" w:line="187" w:lineRule="auto"/>
              <w:ind w:left="68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15.3</w:t>
            </w:r>
          </w:p>
        </w:tc>
      </w:tr>
      <w:tr>
        <w:tblPrEx>
          <w:tblW w:w="7308" w:type="dxa"/>
          <w:tblInd w:w="3903" w:type="dxa"/>
          <w:tblLayout w:type="fixed"/>
        </w:tblPrEx>
        <w:trPr>
          <w:trHeight w:val="249"/>
        </w:trPr>
        <w:tc>
          <w:tcPr>
            <w:tcW w:w="207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2" w:line="202" w:lineRule="auto"/>
              <w:ind w:left="1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P/B(</w:t>
            </w:r>
            <w:r>
              <w:rPr>
                <w:sz w:val="18"/>
                <w:szCs w:val="18"/>
              </w:rPr>
              <w:t>倍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04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3" w:line="188" w:lineRule="auto"/>
              <w:ind w:left="77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6.3</w:t>
            </w:r>
          </w:p>
        </w:tc>
        <w:tc>
          <w:tcPr>
            <w:tcW w:w="103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3" w:line="188" w:lineRule="auto"/>
              <w:ind w:left="77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5.3</w:t>
            </w:r>
          </w:p>
        </w:tc>
        <w:tc>
          <w:tcPr>
            <w:tcW w:w="104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3" w:line="188" w:lineRule="auto"/>
              <w:ind w:left="76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4.4</w:t>
            </w:r>
          </w:p>
        </w:tc>
        <w:tc>
          <w:tcPr>
            <w:tcW w:w="10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3" w:line="188" w:lineRule="auto"/>
              <w:ind w:left="7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3.5</w:t>
            </w:r>
          </w:p>
        </w:tc>
        <w:tc>
          <w:tcPr>
            <w:tcW w:w="106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3" w:line="188" w:lineRule="auto"/>
              <w:ind w:left="76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2.9</w:t>
            </w:r>
          </w:p>
        </w:tc>
      </w:tr>
    </w:tbl>
    <w:p>
      <w:pPr>
        <w:pStyle w:val="BodyText"/>
        <w:spacing w:before="78" w:line="214" w:lineRule="auto"/>
        <w:ind w:left="3922"/>
      </w:pPr>
      <w:r>
        <w:rPr>
          <w:spacing w:val="-6"/>
        </w:rPr>
        <w:t>数据来源：</w:t>
      </w:r>
      <w:r>
        <w:rPr>
          <w:spacing w:val="-6"/>
        </w:rPr>
        <w:t xml:space="preserve"> </w:t>
      </w:r>
      <w:r>
        <w:rPr>
          <w:spacing w:val="-6"/>
        </w:rPr>
        <w:t>聚源、开源证券研究所</w:t>
      </w:r>
    </w:p>
    <w:p>
      <w:pPr>
        <w:spacing w:line="214" w:lineRule="auto"/>
        <w:sectPr>
          <w:headerReference w:type="default" r:id="rId20"/>
          <w:footerReference w:type="default" r:id="rId21"/>
          <w:type w:val="nextPage"/>
          <w:pgSz w:w="11907" w:h="16839"/>
          <w:pgMar w:top="1048" w:right="694" w:bottom="1138" w:left="0" w:header="444" w:footer="839" w:gutter="0"/>
          <w:pgNumType w:start="2"/>
          <w:cols w:space="708"/>
          <w:titlePg w:val="0"/>
        </w:sect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30"/>
          <w:szCs w:val="30"/>
        </w:rPr>
        <w:id w:val="132253833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pStyle w:val="BodyText"/>
            <w:spacing w:before="97" w:line="219" w:lineRule="auto"/>
            <w:ind w:left="4839"/>
            <w:rPr>
              <w:sz w:val="30"/>
              <w:szCs w:val="30"/>
            </w:rPr>
          </w:pPr>
          <w:r>
            <w:rPr>
              <w:color w:val="000080"/>
              <w:spacing w:val="-39"/>
              <w:sz w:val="30"/>
              <w:szCs w:val="30"/>
              <w14:textOutline w14:w="5442">
                <w14:solidFill>
                  <w14:srgbClr w14:val="000080"/>
                </w14:solidFill>
                <w14:prstDash w14:val="solid"/>
                <w14:round/>
              </w14:textOutline>
            </w:rPr>
            <w:t>目</w:t>
          </w:r>
          <w:r>
            <w:rPr>
              <w:color w:val="000080"/>
              <w:spacing w:val="16"/>
              <w:sz w:val="30"/>
              <w:szCs w:val="30"/>
            </w:rPr>
            <w:t xml:space="preserve">  </w:t>
          </w:r>
          <w:r>
            <w:rPr>
              <w:color w:val="000080"/>
              <w:spacing w:val="-39"/>
              <w:sz w:val="30"/>
              <w:szCs w:val="30"/>
              <w14:textOutline w14:w="5442">
                <w14:solidFill>
                  <w14:srgbClr w14:val="000080"/>
                </w14:solidFill>
                <w14:prstDash w14:val="solid"/>
                <w14:round/>
              </w14:textOutline>
            </w:rPr>
            <w:t>录</w:t>
          </w:r>
        </w:p>
        <w:p>
          <w:pPr>
            <w:pStyle w:val="BodyText"/>
            <w:tabs>
              <w:tab w:val="right" w:leader="dot" w:pos="10420"/>
            </w:tabs>
            <w:spacing w:before="163" w:line="221" w:lineRule="auto"/>
            <w:ind w:left="2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1</w:t>
          </w:r>
          <w:r>
            <w:rPr>
              <w:rFonts w:ascii="Times New Roman" w:eastAsia="Times New Roman" w:hAnsi="Times New Roman" w:cs="Times New Roman"/>
              <w:spacing w:val="-24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、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 xml:space="preserve">2023 </w:t>
          </w:r>
          <w:r>
            <w:rPr>
              <w:spacing w:val="7"/>
              <w:sz w:val="19"/>
              <w:szCs w:val="19"/>
            </w:rPr>
            <w:t>公司全年营收预期保持稳定，盈利能力或超预期</w:t>
          </w:r>
          <w:r>
            <w:rPr>
              <w:spacing w:val="-6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5"/>
              <w:sz w:val="19"/>
              <w:szCs w:val="19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10420"/>
            </w:tabs>
            <w:spacing w:before="84" w:line="221" w:lineRule="auto"/>
            <w:ind w:left="42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1.1</w:t>
          </w:r>
          <w:r>
            <w:rPr>
              <w:rFonts w:ascii="Times New Roman" w:eastAsia="Times New Roman" w:hAnsi="Times New Roman" w:cs="Times New Roman"/>
              <w:spacing w:val="-23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、</w:t>
          </w:r>
          <w:r>
            <w:rPr>
              <w:spacing w:val="29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四季度欧美亚马逊市场火热，</w:t>
          </w:r>
          <w:r>
            <w:rPr>
              <w:spacing w:val="4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公司三大自主品牌销</w:t>
          </w:r>
          <w:r>
            <w:rPr>
              <w:spacing w:val="3"/>
              <w:sz w:val="19"/>
              <w:szCs w:val="19"/>
            </w:rPr>
            <w:t>售趋势向好</w:t>
          </w:r>
          <w:r>
            <w:rPr>
              <w:spacing w:val="-5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5"/>
              <w:sz w:val="19"/>
              <w:szCs w:val="19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10420"/>
            </w:tabs>
            <w:spacing w:before="84" w:line="236" w:lineRule="auto"/>
            <w:ind w:left="42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1.2</w:t>
          </w:r>
          <w:r>
            <w:rPr>
              <w:rFonts w:ascii="Times New Roman" w:eastAsia="Times New Roman" w:hAnsi="Times New Roman" w:cs="Times New Roman"/>
              <w:spacing w:val="-20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、</w:t>
          </w:r>
          <w:r>
            <w:rPr>
              <w:spacing w:val="30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海运费拖累减弱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+</w:t>
          </w:r>
          <w:r>
            <w:rPr>
              <w:spacing w:val="4"/>
              <w:sz w:val="19"/>
              <w:szCs w:val="19"/>
            </w:rPr>
            <w:t>供应链优化持续，</w:t>
          </w:r>
          <w:r>
            <w:rPr>
              <w:spacing w:val="4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公司毛、净利率改善趋势明显</w:t>
          </w:r>
          <w:r>
            <w:rPr>
              <w:spacing w:val="-7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70"/>
              <w:sz w:val="19"/>
              <w:szCs w:val="19"/>
            </w:rPr>
            <w:t xml:space="preserve"> </w:t>
          </w:r>
          <w:hyperlink w:anchor="bookmark3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10420"/>
            </w:tabs>
            <w:spacing w:before="69" w:line="236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2</w:t>
          </w:r>
          <w:r>
            <w:rPr>
              <w:rFonts w:ascii="Times New Roman" w:eastAsia="Times New Roman" w:hAnsi="Times New Roman" w:cs="Times New Roman"/>
              <w:spacing w:val="-20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、</w:t>
          </w:r>
          <w:r>
            <w:rPr>
              <w:spacing w:val="4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产品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+</w:t>
          </w:r>
          <w:r>
            <w:rPr>
              <w:spacing w:val="4"/>
              <w:sz w:val="19"/>
              <w:szCs w:val="19"/>
            </w:rPr>
            <w:t>渠道双轮驱动，供应链痛点亟待解决，</w:t>
          </w:r>
          <w:r>
            <w:rPr>
              <w:spacing w:val="43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中长期成长性可期</w:t>
          </w:r>
          <w:r>
            <w:rPr>
              <w:spacing w:val="-7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4"/>
              <w:sz w:val="19"/>
              <w:szCs w:val="19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10420"/>
            </w:tabs>
            <w:spacing w:before="69" w:line="221" w:lineRule="auto"/>
            <w:ind w:left="401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2.1</w:t>
          </w:r>
          <w:r>
            <w:rPr>
              <w:rFonts w:ascii="Times New Roman" w:eastAsia="Times New Roman" w:hAnsi="Times New Roman" w:cs="Times New Roman"/>
              <w:spacing w:val="-9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、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产品：持续打造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“</w:t>
          </w:r>
          <w:r>
            <w:rPr>
              <w:rFonts w:ascii="Times New Roman" w:eastAsia="Times New Roman" w:hAnsi="Times New Roman" w:cs="Times New Roman"/>
              <w:spacing w:val="-28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类宜家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”</w:t>
          </w:r>
          <w:r>
            <w:rPr>
              <w:rFonts w:ascii="Times New Roman" w:eastAsia="Times New Roman" w:hAnsi="Times New Roman" w:cs="Times New Roman"/>
              <w:spacing w:val="-24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线上品牌，品类拓展战略清晰</w:t>
          </w:r>
          <w:r>
            <w:rPr>
              <w:spacing w:val="-4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4"/>
              <w:sz w:val="19"/>
              <w:szCs w:val="19"/>
            </w:rPr>
            <w:t xml:space="preserve"> </w:t>
          </w:r>
          <w:hyperlink w:anchor="bookmark5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10420"/>
            </w:tabs>
            <w:spacing w:before="84" w:line="221" w:lineRule="auto"/>
            <w:ind w:left="401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z w:val="19"/>
              <w:szCs w:val="19"/>
            </w:rPr>
            <w:t>2.2</w:t>
          </w:r>
          <w:r>
            <w:rPr>
              <w:rFonts w:ascii="Times New Roman" w:eastAsia="Times New Roman" w:hAnsi="Times New Roman" w:cs="Times New Roman"/>
              <w:spacing w:val="-13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>、</w:t>
          </w:r>
          <w:r>
            <w:rPr>
              <w:spacing w:val="3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>渠道：</w:t>
          </w:r>
          <w:r>
            <w:rPr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>开拓发展中国家市场，</w:t>
          </w:r>
          <w:r>
            <w:rPr>
              <w:spacing w:val="2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>新增切入线上、线下销售平台</w:t>
          </w:r>
          <w:r>
            <w:rPr>
              <w:spacing w:val="-6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6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10420"/>
            </w:tabs>
            <w:spacing w:before="85" w:line="221" w:lineRule="auto"/>
            <w:ind w:left="401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2.3</w:t>
          </w:r>
          <w:r>
            <w:rPr>
              <w:rFonts w:ascii="Times New Roman" w:eastAsia="Times New Roman" w:hAnsi="Times New Roman" w:cs="Times New Roman"/>
              <w:spacing w:val="-7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、</w:t>
          </w:r>
          <w:r>
            <w:rPr>
              <w:spacing w:val="4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供应链：专注打造家居柔性供应链，</w:t>
          </w:r>
          <w:r>
            <w:rPr>
              <w:spacing w:val="32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美线自营仓发货率提升在即</w:t>
          </w:r>
          <w:r>
            <w:rPr>
              <w:spacing w:val="-5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1"/>
              <w:sz w:val="19"/>
              <w:szCs w:val="19"/>
            </w:rPr>
            <w:t xml:space="preserve"> </w:t>
          </w:r>
          <w:hyperlink w:anchor="bookmark7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8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4" w:line="227" w:lineRule="auto"/>
            <w:ind w:left="4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3</w:t>
          </w:r>
          <w:r>
            <w:rPr>
              <w:rFonts w:ascii="Times New Roman" w:eastAsia="Times New Roman" w:hAnsi="Times New Roman" w:cs="Times New Roman"/>
              <w:spacing w:val="-22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、</w:t>
          </w:r>
          <w:r>
            <w:rPr>
              <w:spacing w:val="22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盈利预测与投资建议</w:t>
          </w:r>
          <w:r>
            <w:rPr>
              <w:spacing w:val="-4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39"/>
              <w:sz w:val="19"/>
              <w:szCs w:val="19"/>
            </w:rPr>
            <w:t xml:space="preserve"> </w:t>
          </w:r>
          <w:hyperlink w:anchor="bookmark8" w:history="1">
            <w:r>
              <w:rPr>
                <w:rFonts w:ascii="Times New Roman" w:eastAsia="Times New Roman" w:hAnsi="Times New Roman" w:cs="Times New Roman"/>
                <w:spacing w:val="-6"/>
                <w:sz w:val="19"/>
                <w:szCs w:val="19"/>
              </w:rPr>
              <w:t>11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79" w:line="231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2"/>
              <w:sz w:val="19"/>
              <w:szCs w:val="19"/>
            </w:rPr>
            <w:t>4</w:t>
          </w:r>
          <w:r>
            <w:rPr>
              <w:rFonts w:ascii="Times New Roman" w:eastAsia="Times New Roman" w:hAnsi="Times New Roman" w:cs="Times New Roman"/>
              <w:spacing w:val="-21"/>
              <w:sz w:val="19"/>
              <w:szCs w:val="19"/>
            </w:rPr>
            <w:t xml:space="preserve"> </w:t>
          </w:r>
          <w:r>
            <w:rPr>
              <w:spacing w:val="2"/>
              <w:sz w:val="19"/>
              <w:szCs w:val="19"/>
            </w:rPr>
            <w:t>、</w:t>
          </w:r>
          <w:r>
            <w:rPr>
              <w:spacing w:val="17"/>
              <w:sz w:val="19"/>
              <w:szCs w:val="19"/>
            </w:rPr>
            <w:t xml:space="preserve"> </w:t>
          </w:r>
          <w:r>
            <w:rPr>
              <w:spacing w:val="2"/>
              <w:sz w:val="19"/>
              <w:szCs w:val="19"/>
            </w:rPr>
            <w:t>风险提示</w:t>
          </w:r>
          <w:r>
            <w:rPr>
              <w:spacing w:val="-5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39"/>
              <w:sz w:val="19"/>
              <w:szCs w:val="19"/>
            </w:rPr>
            <w:t xml:space="preserve"> </w:t>
          </w:r>
          <w:hyperlink w:anchor="bookmark9" w:history="1">
            <w:r>
              <w:rPr>
                <w:rFonts w:ascii="Times New Roman" w:eastAsia="Times New Roman" w:hAnsi="Times New Roman" w:cs="Times New Roman"/>
                <w:spacing w:val="-6"/>
                <w:sz w:val="19"/>
                <w:szCs w:val="19"/>
              </w:rPr>
              <w:t>11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75" w:line="226" w:lineRule="auto"/>
            <w:ind w:left="1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附：财务预测摘要</w:t>
          </w:r>
          <w:r>
            <w:rPr>
              <w:spacing w:val="-48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10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12</w:t>
            </w:r>
          </w:hyperlink>
        </w:p>
      </w:sdtContent>
    </w:sdt>
    <w:p>
      <w:pPr>
        <w:spacing w:line="396" w:lineRule="auto"/>
        <w:rPr>
          <w:rFonts w:ascii="Arial"/>
          <w:sz w:val="21"/>
        </w:rPr>
      </w:pPr>
    </w:p>
    <w:p>
      <w:pPr>
        <w:pStyle w:val="BodyText"/>
        <w:spacing w:before="97" w:line="219" w:lineRule="auto"/>
        <w:ind w:left="4658"/>
        <w:rPr>
          <w:sz w:val="30"/>
          <w:szCs w:val="30"/>
        </w:rPr>
      </w:pPr>
      <w:r>
        <w:rPr>
          <w:color w:val="000080"/>
          <w:spacing w:val="-11"/>
          <w:sz w:val="30"/>
          <w:szCs w:val="30"/>
          <w14:textOutline w14:w="5442">
            <w14:solidFill>
              <w14:srgbClr w14:val="000080"/>
            </w14:solidFill>
            <w14:prstDash w14:val="solid"/>
            <w14:round/>
          </w14:textOutline>
        </w:rPr>
        <w:t>图表目录</w:t>
      </w:r>
    </w:p>
    <w:sdt>
      <w:sdtPr>
        <w:rPr>
          <w:rFonts w:ascii="KaiTi" w:eastAsia="KaiTi" w:hAnsi="KaiTi" w:cs="KaiTi"/>
          <w:sz w:val="19"/>
          <w:szCs w:val="19"/>
        </w:rPr>
        <w:id w:val="1882522776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pStyle w:val="BodyText"/>
            <w:tabs>
              <w:tab w:val="right" w:leader="dot" w:pos="10420"/>
            </w:tabs>
            <w:spacing w:before="163" w:line="226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1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1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2023Q1-Q3 </w:t>
          </w:r>
          <w:r>
            <w:rPr>
              <w:spacing w:val="5"/>
              <w:sz w:val="19"/>
              <w:szCs w:val="19"/>
            </w:rPr>
            <w:t>公司营收同比实现稳增长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5"/>
              <w:sz w:val="19"/>
              <w:szCs w:val="19"/>
            </w:rPr>
            <w:t xml:space="preserve"> </w:t>
          </w:r>
          <w:hyperlink w:anchor="bookmark11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10420"/>
            </w:tabs>
            <w:spacing w:before="79" w:line="226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2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 xml:space="preserve">2023Q1-Q3 </w:t>
          </w:r>
          <w:r>
            <w:rPr>
              <w:spacing w:val="6"/>
              <w:sz w:val="19"/>
              <w:szCs w:val="19"/>
            </w:rPr>
            <w:t>公司净利润实现亮眼增长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5"/>
              <w:sz w:val="19"/>
              <w:szCs w:val="19"/>
            </w:rPr>
            <w:t xml:space="preserve"> </w:t>
          </w:r>
          <w:hyperlink w:anchor="bookmark12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10420"/>
            </w:tabs>
            <w:spacing w:before="81" w:line="226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图</w:t>
          </w:r>
          <w:r>
            <w:rPr>
              <w:spacing w:val="-2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3</w:t>
          </w:r>
          <w:r>
            <w:rPr>
              <w:spacing w:val="4"/>
              <w:sz w:val="19"/>
              <w:szCs w:val="19"/>
            </w:rPr>
            <w:t>：</w:t>
          </w:r>
          <w:r>
            <w:rPr>
              <w:spacing w:val="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“</w:t>
          </w:r>
          <w:r>
            <w:rPr>
              <w:rFonts w:ascii="Times New Roman" w:eastAsia="Times New Roman" w:hAnsi="Times New Roman" w:cs="Times New Roman"/>
              <w:spacing w:val="-32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黑五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”</w:t>
          </w:r>
          <w:r>
            <w:rPr>
              <w:rFonts w:ascii="Times New Roman" w:eastAsia="Times New Roman" w:hAnsi="Times New Roman" w:cs="Times New Roman"/>
              <w:spacing w:val="-29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美国在线销售额达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 xml:space="preserve">98 </w:t>
          </w:r>
          <w:r>
            <w:rPr>
              <w:spacing w:val="4"/>
              <w:sz w:val="19"/>
              <w:szCs w:val="19"/>
            </w:rPr>
            <w:t>亿美元</w:t>
          </w:r>
          <w:r>
            <w:rPr>
              <w:spacing w:val="-6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5"/>
              <w:sz w:val="19"/>
              <w:szCs w:val="19"/>
            </w:rPr>
            <w:t xml:space="preserve"> </w:t>
          </w:r>
          <w:hyperlink w:anchor="bookmark13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10420"/>
            </w:tabs>
            <w:spacing w:before="78" w:line="226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3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4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“</w:t>
          </w:r>
          <w:r>
            <w:rPr>
              <w:rFonts w:ascii="Times New Roman" w:eastAsia="Times New Roman" w:hAnsi="Times New Roman" w:cs="Times New Roman"/>
              <w:spacing w:val="-14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网络星期一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”</w:t>
          </w:r>
          <w:r>
            <w:rPr>
              <w:spacing w:val="5"/>
              <w:sz w:val="19"/>
              <w:szCs w:val="19"/>
            </w:rPr>
            <w:t>销售预计再创破记录</w:t>
          </w:r>
          <w:r>
            <w:rPr>
              <w:spacing w:val="-6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5"/>
              <w:sz w:val="19"/>
              <w:szCs w:val="19"/>
            </w:rPr>
            <w:t xml:space="preserve"> </w:t>
          </w:r>
          <w:hyperlink w:anchor="bookmark14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10420"/>
            </w:tabs>
            <w:spacing w:before="80" w:line="222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图</w:t>
          </w:r>
          <w:r>
            <w:rPr>
              <w:spacing w:val="-20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5</w:t>
          </w:r>
          <w:r>
            <w:rPr>
              <w:spacing w:val="8"/>
              <w:sz w:val="19"/>
              <w:szCs w:val="19"/>
            </w:rPr>
            <w:t>：</w:t>
          </w:r>
          <w:r>
            <w:rPr>
              <w:spacing w:val="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Prime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Day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前后亚马逊谷歌趋势指数快速提升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70"/>
              <w:sz w:val="19"/>
              <w:szCs w:val="19"/>
            </w:rPr>
            <w:t xml:space="preserve"> </w:t>
          </w:r>
          <w:hyperlink w:anchor="bookmark15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10420"/>
            </w:tabs>
            <w:spacing w:before="84" w:line="223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3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6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三大子品牌黑五期间热度显著上升</w:t>
          </w:r>
          <w:r>
            <w:rPr>
              <w:spacing w:val="-3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70"/>
              <w:sz w:val="19"/>
              <w:szCs w:val="19"/>
            </w:rPr>
            <w:t xml:space="preserve"> </w:t>
          </w:r>
          <w:hyperlink w:anchor="bookmark16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10420"/>
            </w:tabs>
            <w:spacing w:before="82" w:line="222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3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7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2023Q3 </w:t>
          </w:r>
          <w:r>
            <w:rPr>
              <w:spacing w:val="5"/>
              <w:sz w:val="19"/>
              <w:szCs w:val="19"/>
            </w:rPr>
            <w:t>公司毛利率为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37.7%</w:t>
          </w:r>
          <w:r>
            <w:rPr>
              <w:spacing w:val="5"/>
              <w:sz w:val="19"/>
              <w:szCs w:val="19"/>
            </w:rPr>
            <w:t>（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+7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pct</w:t>
          </w:r>
          <w:r>
            <w:rPr>
              <w:spacing w:val="5"/>
              <w:sz w:val="19"/>
              <w:szCs w:val="19"/>
            </w:rPr>
            <w:t>）</w:t>
          </w:r>
          <w:r>
            <w:rPr>
              <w:spacing w:val="-4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70"/>
              <w:sz w:val="19"/>
              <w:szCs w:val="19"/>
            </w:rPr>
            <w:t xml:space="preserve"> </w:t>
          </w:r>
          <w:hyperlink w:anchor="bookmark17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10420"/>
            </w:tabs>
            <w:spacing w:before="84" w:line="222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2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8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2023Q3 </w:t>
          </w:r>
          <w:r>
            <w:rPr>
              <w:spacing w:val="5"/>
              <w:sz w:val="19"/>
              <w:szCs w:val="19"/>
            </w:rPr>
            <w:t>公司期间费用率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30.0%</w:t>
          </w:r>
          <w:r>
            <w:rPr>
              <w:spacing w:val="5"/>
              <w:sz w:val="19"/>
              <w:szCs w:val="19"/>
            </w:rPr>
            <w:t>（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+5.8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pct</w:t>
          </w:r>
          <w:r>
            <w:rPr>
              <w:spacing w:val="5"/>
              <w:sz w:val="19"/>
              <w:szCs w:val="19"/>
            </w:rPr>
            <w:t>）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70"/>
              <w:sz w:val="19"/>
              <w:szCs w:val="19"/>
            </w:rPr>
            <w:t xml:space="preserve"> </w:t>
          </w:r>
          <w:hyperlink w:anchor="bookmark18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10420"/>
            </w:tabs>
            <w:spacing w:before="83" w:line="226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3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9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 xml:space="preserve">2023 </w:t>
          </w:r>
          <w:r>
            <w:rPr>
              <w:spacing w:val="7"/>
              <w:sz w:val="19"/>
              <w:szCs w:val="19"/>
            </w:rPr>
            <w:t>年初以来中国出口集装箱运价指数（美国航线）降幅超</w:t>
          </w:r>
          <w:r>
            <w:rPr>
              <w:spacing w:val="-3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37%</w:t>
          </w:r>
          <w:r>
            <w:rPr>
              <w:rFonts w:ascii="Times New Roman" w:eastAsia="Times New Roman" w:hAnsi="Times New Roman" w:cs="Times New Roman"/>
              <w:spacing w:val="-3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ab/>
          </w:r>
          <w:r>
            <w:rPr>
              <w:rFonts w:ascii="Times New Roman" w:eastAsia="Times New Roman" w:hAnsi="Times New Roman" w:cs="Times New Roman"/>
              <w:spacing w:val="-16"/>
              <w:sz w:val="19"/>
              <w:szCs w:val="19"/>
            </w:rPr>
            <w:t xml:space="preserve"> </w:t>
          </w:r>
          <w:hyperlink w:anchor="bookmark19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10420"/>
            </w:tabs>
            <w:spacing w:before="80" w:line="226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1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10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 xml:space="preserve">2023 </w:t>
          </w:r>
          <w:r>
            <w:rPr>
              <w:spacing w:val="7"/>
              <w:sz w:val="19"/>
              <w:szCs w:val="19"/>
            </w:rPr>
            <w:t>年初以来中国出口集装箱运价指数（欧洲</w:t>
          </w:r>
          <w:r>
            <w:rPr>
              <w:spacing w:val="6"/>
              <w:sz w:val="19"/>
              <w:szCs w:val="19"/>
            </w:rPr>
            <w:t>航线）降幅超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42%</w:t>
          </w:r>
          <w:r>
            <w:rPr>
              <w:rFonts w:ascii="Times New Roman" w:eastAsia="Times New Roman" w:hAnsi="Times New Roman" w:cs="Times New Roman"/>
              <w:spacing w:val="-3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ab/>
          </w:r>
          <w:r>
            <w:rPr>
              <w:rFonts w:ascii="Times New Roman" w:eastAsia="Times New Roman" w:hAnsi="Times New Roman" w:cs="Times New Roman"/>
              <w:spacing w:val="-16"/>
              <w:sz w:val="19"/>
              <w:szCs w:val="19"/>
            </w:rPr>
            <w:t xml:space="preserve"> </w:t>
          </w:r>
          <w:hyperlink w:anchor="bookmark20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10420"/>
            </w:tabs>
            <w:spacing w:before="80" w:line="226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图</w:t>
          </w:r>
          <w:r>
            <w:rPr>
              <w:spacing w:val="-1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11</w:t>
          </w:r>
          <w:r>
            <w:rPr>
              <w:spacing w:val="3"/>
              <w:sz w:val="19"/>
              <w:szCs w:val="19"/>
            </w:rPr>
            <w:t>：</w:t>
          </w:r>
          <w:r>
            <w:rPr>
              <w:spacing w:val="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 xml:space="preserve">2019-2022  </w:t>
          </w:r>
          <w:r>
            <w:rPr>
              <w:spacing w:val="3"/>
              <w:sz w:val="19"/>
              <w:szCs w:val="19"/>
            </w:rPr>
            <w:t>中国对</w:t>
          </w:r>
          <w:r>
            <w:rPr>
              <w:spacing w:val="2"/>
              <w:sz w:val="19"/>
              <w:szCs w:val="19"/>
            </w:rPr>
            <w:t>三国贸易出口额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CAGR</w:t>
          </w:r>
          <w:r>
            <w:rPr>
              <w:rFonts w:ascii="Times New Roman" w:eastAsia="Times New Roman" w:hAnsi="Times New Roman" w:cs="Times New Roman"/>
              <w:spacing w:val="2"/>
              <w:sz w:val="19"/>
              <w:szCs w:val="19"/>
            </w:rPr>
            <w:t xml:space="preserve"> </w:t>
          </w:r>
          <w:r>
            <w:rPr>
              <w:spacing w:val="2"/>
              <w:sz w:val="19"/>
              <w:szCs w:val="19"/>
            </w:rPr>
            <w:t>超</w:t>
          </w:r>
          <w:r>
            <w:rPr>
              <w:spacing w:val="-1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  <w:sz w:val="19"/>
              <w:szCs w:val="19"/>
            </w:rPr>
            <w:t xml:space="preserve">16%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ab/>
          </w:r>
          <w:r>
            <w:rPr>
              <w:rFonts w:ascii="Times New Roman" w:eastAsia="Times New Roman" w:hAnsi="Times New Roman" w:cs="Times New Roman"/>
              <w:spacing w:val="-18"/>
              <w:sz w:val="19"/>
              <w:szCs w:val="19"/>
            </w:rPr>
            <w:t xml:space="preserve"> </w:t>
          </w:r>
          <w:hyperlink w:anchor="bookmark21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10420"/>
            </w:tabs>
            <w:spacing w:before="79" w:line="226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10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12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45"/>
              <w:w w:val="101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中国对三国用木及金属家具出口具有较大规模</w:t>
          </w:r>
          <w:r>
            <w:rPr>
              <w:spacing w:val="-7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22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10420"/>
            </w:tabs>
            <w:spacing w:before="79" w:line="224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图</w:t>
          </w:r>
          <w:r>
            <w:rPr>
              <w:spacing w:val="-1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13</w:t>
          </w:r>
          <w:r>
            <w:rPr>
              <w:spacing w:val="3"/>
              <w:sz w:val="19"/>
              <w:szCs w:val="19"/>
            </w:rPr>
            <w:t>：</w:t>
          </w:r>
          <w:r>
            <w:rPr>
              <w:spacing w:val="38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沃尔玛渠道部分产品展示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1"/>
              <w:sz w:val="19"/>
              <w:szCs w:val="19"/>
            </w:rPr>
            <w:t xml:space="preserve"> </w:t>
          </w:r>
          <w:hyperlink w:anchor="bookmark23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8</w:t>
            </w:r>
          </w:hyperlink>
        </w:p>
        <w:p>
          <w:pPr>
            <w:pStyle w:val="BodyText"/>
            <w:tabs>
              <w:tab w:val="right" w:leader="dot" w:pos="10420"/>
            </w:tabs>
            <w:spacing w:before="82" w:line="226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图</w:t>
          </w:r>
          <w:r>
            <w:rPr>
              <w:spacing w:val="-1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14</w:t>
          </w:r>
          <w:r>
            <w:rPr>
              <w:spacing w:val="3"/>
              <w:sz w:val="19"/>
              <w:szCs w:val="19"/>
            </w:rPr>
            <w:t>：</w:t>
          </w:r>
          <w:r>
            <w:rPr>
              <w:spacing w:val="33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欧美等地海外仓布局完善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5"/>
              <w:sz w:val="19"/>
              <w:szCs w:val="19"/>
            </w:rPr>
            <w:t xml:space="preserve"> </w:t>
          </w:r>
          <w:hyperlink w:anchor="bookmark24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0420"/>
            </w:tabs>
            <w:spacing w:before="79" w:line="221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15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从各项成本、费用占收入比看，运输成本占比降幅较明显</w:t>
          </w:r>
          <w:r>
            <w:rPr>
              <w:spacing w:val="-6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5"/>
              <w:sz w:val="19"/>
              <w:szCs w:val="19"/>
            </w:rPr>
            <w:t xml:space="preserve"> </w:t>
          </w:r>
          <w:hyperlink w:anchor="bookmark25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4" w:line="225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1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16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39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小单快返模式助力打造家居柔性供应链</w:t>
          </w:r>
          <w:r>
            <w:rPr>
              <w:spacing w:val="-7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26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10</w:t>
            </w:r>
          </w:hyperlink>
        </w:p>
        <w:p>
          <w:pPr>
            <w:spacing w:line="383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10420"/>
            </w:tabs>
            <w:spacing w:before="63" w:line="221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表</w:t>
          </w:r>
          <w:r>
            <w:rPr>
              <w:spacing w:val="-1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1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35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宜家产品品类丰富，形成独具特色服务矩阵</w:t>
          </w:r>
          <w:r>
            <w:rPr>
              <w:spacing w:val="-75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4"/>
              <w:sz w:val="19"/>
              <w:szCs w:val="19"/>
            </w:rPr>
            <w:t xml:space="preserve"> </w:t>
          </w:r>
          <w:hyperlink w:anchor="bookmark27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10420"/>
            </w:tabs>
            <w:spacing w:before="85" w:line="221" w:lineRule="auto"/>
            <w:rPr>
              <w:rFonts w:ascii="Times New Roman" w:eastAsia="Times New Roman" w:hAnsi="Times New Roman" w:cs="Times New Roman"/>
              <w:sz w:val="19"/>
              <w:szCs w:val="19"/>
            </w:rPr>
            <w:sectPr>
              <w:headerReference w:type="default" r:id="rId22"/>
              <w:footerReference w:type="default" r:id="rId23"/>
              <w:pgSz w:w="11907" w:h="16839"/>
              <w:pgMar w:top="1307" w:right="667" w:bottom="1125" w:left="739" w:header="441" w:footer="839" w:gutter="0"/>
              <w:pgNumType w:start="3"/>
              <w:cols w:space="708"/>
            </w:sectPr>
          </w:pPr>
          <w:r>
            <w:rPr>
              <w:spacing w:val="9"/>
              <w:sz w:val="19"/>
              <w:szCs w:val="19"/>
            </w:rPr>
            <w:t>表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9"/>
              <w:sz w:val="19"/>
              <w:szCs w:val="19"/>
            </w:rPr>
            <w:t>2</w:t>
          </w:r>
          <w:r>
            <w:rPr>
              <w:spacing w:val="9"/>
              <w:sz w:val="19"/>
              <w:szCs w:val="19"/>
            </w:rPr>
            <w:t>：</w:t>
          </w:r>
          <w:r>
            <w:rPr>
              <w:spacing w:val="9"/>
              <w:sz w:val="19"/>
              <w:szCs w:val="19"/>
            </w:rPr>
            <w:t xml:space="preserve"> </w:t>
          </w:r>
          <w:r>
            <w:rPr>
              <w:spacing w:val="9"/>
              <w:sz w:val="19"/>
              <w:szCs w:val="19"/>
            </w:rPr>
            <w:t>致欧科技产品矩阵完善，可满足多场景使用需求</w:t>
          </w:r>
          <w:r>
            <w:rPr>
              <w:spacing w:val="-7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5"/>
              <w:sz w:val="19"/>
              <w:szCs w:val="19"/>
            </w:rPr>
            <w:t xml:space="preserve"> </w:t>
          </w:r>
          <w:hyperlink w:anchor="bookmark28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6</w:t>
            </w:r>
          </w:hyperlink>
        </w:p>
      </w:sdtContent>
    </w:sdt>
    <w:sdt>
      <w:sdtPr>
        <w:rPr>
          <w:rFonts w:ascii="KaiTi" w:eastAsia="KaiTi" w:hAnsi="KaiTi" w:cs="KaiTi"/>
          <w:sz w:val="19"/>
          <w:szCs w:val="19"/>
        </w:rPr>
        <w:id w:val="1543020186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pStyle w:val="BodyText"/>
            <w:tabs>
              <w:tab w:val="right" w:leader="dot" w:pos="10420"/>
            </w:tabs>
            <w:spacing w:before="85" w:line="224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表</w:t>
          </w:r>
          <w:r>
            <w:rPr>
              <w:spacing w:val="-2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3</w:t>
          </w:r>
          <w:r>
            <w:rPr>
              <w:spacing w:val="8"/>
              <w:sz w:val="19"/>
              <w:szCs w:val="19"/>
            </w:rPr>
            <w:t>：</w:t>
          </w:r>
          <w:r>
            <w:rPr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致欧科技产品风格与宜家有一定相似</w:t>
          </w:r>
          <w:r>
            <w:rPr>
              <w:spacing w:val="-7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29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10420"/>
            </w:tabs>
            <w:spacing w:before="81" w:line="225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9"/>
              <w:sz w:val="19"/>
              <w:szCs w:val="19"/>
            </w:rPr>
            <w:t>表</w:t>
          </w:r>
          <w:r>
            <w:rPr>
              <w:spacing w:val="-3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9"/>
              <w:sz w:val="19"/>
              <w:szCs w:val="19"/>
            </w:rPr>
            <w:t>4</w:t>
          </w:r>
          <w:r>
            <w:rPr>
              <w:spacing w:val="9"/>
              <w:sz w:val="19"/>
              <w:szCs w:val="19"/>
            </w:rPr>
            <w:t>：</w:t>
          </w:r>
          <w:r>
            <w:rPr>
              <w:spacing w:val="9"/>
              <w:sz w:val="19"/>
              <w:szCs w:val="19"/>
            </w:rPr>
            <w:t xml:space="preserve"> </w:t>
          </w:r>
          <w:r>
            <w:rPr>
              <w:spacing w:val="9"/>
              <w:sz w:val="19"/>
              <w:szCs w:val="19"/>
            </w:rPr>
            <w:t>公司供应链及数据分析技术助力供应链信息化水平提升</w:t>
          </w:r>
          <w:r>
            <w:rPr>
              <w:spacing w:val="-6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1"/>
              <w:sz w:val="19"/>
              <w:szCs w:val="19"/>
            </w:rPr>
            <w:t xml:space="preserve"> </w:t>
          </w:r>
          <w:hyperlink w:anchor="bookmark30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8</w:t>
            </w:r>
          </w:hyperlink>
        </w:p>
      </w:sdtContent>
    </w:sdt>
    <w:p>
      <w:pPr>
        <w:spacing w:line="225" w:lineRule="auto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br/>
      </w:r>
      <w:r>
        <w:rPr>
          <w:rFonts w:ascii="Times New Roman" w:eastAsia="Times New Roman" w:hAnsi="Times New Roman" w:cs="Times New Roman"/>
          <w:sz w:val="19"/>
          <w:szCs w:val="19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https://d.book118.com/908007106017006031</w:t>
        </w:r>
      </w:hyperlink>
    </w:p>
    <w:p>
      <w:pPr>
        <w:spacing w:line="225" w:lineRule="auto"/>
        <w:rPr>
          <w:rFonts w:ascii="Times New Roman" w:eastAsia="Times New Roman" w:hAnsi="Times New Roman" w:cs="Times New Roman"/>
          <w:sz w:val="19"/>
          <w:szCs w:val="19"/>
        </w:rPr>
      </w:pPr>
    </w:p>
    <w:sectPr>
      <w:headerReference w:type="default" r:id="rId25"/>
      <w:footerReference w:type="default" r:id="rId26"/>
      <w:type w:val="nextPage"/>
      <w:pgSz w:w="11907" w:h="16839"/>
      <w:pgMar w:top="1307" w:right="667" w:bottom="1125" w:left="739" w:header="441" w:footer="839" w:gutter="0"/>
      <w:pgNumType w:start="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9" w:line="223" w:lineRule="auto"/>
      <w:ind w:left="746"/>
      <w:rPr>
        <w:sz w:val="19"/>
        <w:szCs w:val="19"/>
      </w:rPr>
    </w:pPr>
    <w:r>
      <w:pict>
        <v:shape id="_x0000_s2049" style="width:524.65pt;height:0.5pt;margin-top:785.02pt;margin-left:35.4pt;mso-position-horizontal-relative:page;mso-position-vertical-relative:page;position:absolute;z-index:251658240" coordorigin="0,0" coordsize="10493,10" o:allowincell="f" path="m,9l10492,9l10492,l,l,9xe" filled="t" fillcolor="black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3.7pt;height:13pt;margin-top:3.63pt;margin-left:535.95pt;position:absolute;z-index:251659264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6"/>
                    <w:sz w:val="19"/>
                    <w:szCs w:val="19"/>
                  </w:rPr>
                  <w:t>1</w:t>
                </w:r>
                <w:r>
                  <w:rPr>
                    <w:rFonts w:ascii="Times New Roman" w:eastAsia="Times New Roman" w:hAnsi="Times New Roman" w:cs="Times New Roman"/>
                    <w:spacing w:val="4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6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26"/>
                    <w:w w:val="101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6"/>
                    <w:sz w:val="19"/>
                    <w:szCs w:val="19"/>
                  </w:rPr>
                  <w:t>14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9" w:line="223" w:lineRule="auto"/>
      <w:ind w:left="746"/>
      <w:rPr>
        <w:sz w:val="19"/>
        <w:szCs w:val="19"/>
      </w:rPr>
    </w:pPr>
    <w:r>
      <w:pict>
        <v:shape id="_x0000_s2051" style="width:524.65pt;height:0.5pt;margin-top:785.02pt;margin-left:35.4pt;mso-position-horizontal-relative:page;mso-position-vertical-relative:page;position:absolute;z-index:251660288" coordorigin="0,0" coordsize="10493,10" o:allowincell="f" path="m,9l10492,9l10492,l,l,9xe" filled="t" fillcolor="black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3.7pt;height:13pt;margin-top:3.63pt;margin-left:535.95pt;position:absolute;z-index:251661312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6"/>
                    <w:sz w:val="19"/>
                    <w:szCs w:val="19"/>
                  </w:rPr>
                  <w:t>1</w:t>
                </w:r>
                <w:r>
                  <w:rPr>
                    <w:rFonts w:ascii="Times New Roman" w:eastAsia="Times New Roman" w:hAnsi="Times New Roman" w:cs="Times New Roman"/>
                    <w:spacing w:val="4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6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26"/>
                    <w:w w:val="101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6"/>
                    <w:sz w:val="19"/>
                    <w:szCs w:val="19"/>
                  </w:rPr>
                  <w:t>14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6"/>
      <w:rPr>
        <w:sz w:val="19"/>
        <w:szCs w:val="19"/>
      </w:rPr>
    </w:pPr>
    <w:r>
      <w:pict>
        <v:shape id="_x0000_s2053" style="width:524.45pt;height:0.75pt;margin-top:785.64pt;margin-left:37.56pt;mso-position-horizontal-relative:page;mso-position-vertical-relative:page;position:absolute;z-index:251662336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4.7pt;height:13pt;margin-top:3pt;margin-left:497.99pt;position:absolute;z-index:251663360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2</w:t>
                </w:r>
                <w:r>
                  <w:rPr>
                    <w:rFonts w:ascii="Times New Roman" w:eastAsia="Times New Roman" w:hAnsi="Times New Roman" w:cs="Times New Roman"/>
                    <w:spacing w:val="4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25"/>
                    <w:w w:val="101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14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6"/>
      <w:rPr>
        <w:sz w:val="19"/>
        <w:szCs w:val="19"/>
      </w:rPr>
    </w:pPr>
    <w:r>
      <w:pict>
        <v:shape id="_x0000_s2055" style="width:524.45pt;height:0.75pt;margin-top:785.64pt;margin-left:37.56pt;mso-position-horizontal-relative:page;mso-position-vertical-relative:page;position:absolute;z-index:251664384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4.7pt;height:13pt;margin-top:3pt;margin-left:497.99pt;position:absolute;z-index:251665408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2</w:t>
                </w:r>
                <w:r>
                  <w:rPr>
                    <w:rFonts w:ascii="Times New Roman" w:eastAsia="Times New Roman" w:hAnsi="Times New Roman" w:cs="Times New Roman"/>
                    <w:spacing w:val="4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25"/>
                    <w:w w:val="101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14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594" w:lineRule="exact"/>
      <w:ind w:firstLine="979"/>
    </w:pPr>
    <w:r>
      <w:rPr>
        <w:position w:val="-11"/>
      </w:rPr>
      <w:drawing>
        <wp:inline distT="0" distB="0" distL="0" distR="0">
          <wp:extent cx="2005583" cy="377697"/>
          <wp:effectExtent l="0" t="0" r="0" b="0"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776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594" w:lineRule="exact"/>
      <w:ind w:firstLine="979"/>
    </w:pPr>
    <w:r>
      <w:rPr>
        <w:position w:val="-11"/>
      </w:rPr>
      <w:drawing>
        <wp:inline distT="0" distB="0" distL="0" distR="0">
          <wp:extent cx="2005583" cy="377697"/>
          <wp:effectExtent l="0" t="0" r="0" b="0"/>
          <wp:docPr id="360989169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0989169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776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2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3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17"/>
      </w:tabs>
      <w:spacing w:before="61" w:line="184" w:lineRule="auto"/>
      <w:ind w:left="11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2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807485139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7485139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17"/>
      </w:tabs>
      <w:spacing w:before="61" w:line="184" w:lineRule="auto"/>
      <w:ind w:left="11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KaiTi" w:eastAsia="KaiTi" w:hAnsi="KaiTi" w:cs="KaiTi"/>
      <w:sz w:val="18"/>
      <w:szCs w:val="1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KaiTi" w:eastAsia="KaiTi" w:hAnsi="KaiTi" w:cs="KaiTi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header" Target="header1.xml" /><Relationship Id="rId19" Type="http://schemas.openxmlformats.org/officeDocument/2006/relationships/footer" Target="footer1.xml" /><Relationship Id="rId2" Type="http://schemas.openxmlformats.org/officeDocument/2006/relationships/webSettings" Target="webSettings.xml" /><Relationship Id="rId20" Type="http://schemas.openxmlformats.org/officeDocument/2006/relationships/header" Target="header2.xml" /><Relationship Id="rId21" Type="http://schemas.openxmlformats.org/officeDocument/2006/relationships/footer" Target="footer2.xml" /><Relationship Id="rId22" Type="http://schemas.openxmlformats.org/officeDocument/2006/relationships/header" Target="header3.xml" /><Relationship Id="rId23" Type="http://schemas.openxmlformats.org/officeDocument/2006/relationships/footer" Target="footer3.xml" /><Relationship Id="rId24" Type="http://schemas.openxmlformats.org/officeDocument/2006/relationships/hyperlink" Target="https://d.book118.com/908007106017006031" TargetMode="External" /><Relationship Id="rId25" Type="http://schemas.openxmlformats.org/officeDocument/2006/relationships/header" Target="header4.xml" /><Relationship Id="rId26" Type="http://schemas.openxmlformats.org/officeDocument/2006/relationships/footer" Target="footer4.xm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5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5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5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开源证券-致欧科技(301376)公司深度报告：渠道双轮驱动，家居跨境电商龙头成长可期-240124.pdf</dc:title>
  <cp:revision>0</cp:revision>
  <dcterms:created xsi:type="dcterms:W3CDTF">2024-01-25T09:20:32Z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2024-01-25T09:29:10Z</vt:filetime>
  </property>
  <property fmtid="{D5CDD505-2E9C-101B-9397-08002B2CF9AE}" pid="3" name="CRO">
    <vt:lpwstr>wqlLaW5nc29mdCBQREYgdG8gV1BTIDkw</vt:lpwstr>
  </property>
</Properties>
</file>