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bookmarkStart w:id="0" w:name="绿色营销策略对消费者行为的影响"/>
    <w:p>
      <w:pPr>
        <w:pStyle w:val="Heading1"/>
      </w:pPr>
      <w:r>
        <w:t>绿色营销策略对消费者行为的影响</w:t>
      </w:r>
    </w:p>
    <w:bookmarkStart w:id="1" w:name="引言"/>
    <w:p>
      <w:pPr>
        <w:pStyle w:val="Heading2"/>
      </w:pPr>
      <w:r>
        <w:t>1. 引言</w:t>
      </w:r>
    </w:p>
    <w:bookmarkStart w:id="2" w:name="绿色营销的背景与定义"/>
    <w:p>
      <w:pPr>
        <w:pStyle w:val="Heading3"/>
      </w:pPr>
      <w:r>
        <w:t>1.1 绿色营销的背景与定义</w:t>
      </w:r>
    </w:p>
    <w:p>
      <w:pPr>
        <w:pStyle w:val="FirstParagraph"/>
      </w:pPr>
      <w:r>
        <w:t>随着全球环境问题的日益严峻，绿色营销作为一种新兴的营销理念逐渐受到重视。绿色营销是指在市场营销活动中，企业以可持续发展为目标，充分考虑环境保护，通过绿色产品设计、绿色生产、绿色定价、绿色促销等策略，满足消费者绿色需求，实现企业经济效益与环境效益的统一。</w:t>
      </w:r>
    </w:p>
    <w:bookmarkEnd w:id="2"/>
    <w:bookmarkStart w:id="3" w:name="消费者行为与绿色营销的关系"/>
    <w:p>
      <w:pPr>
        <w:pStyle w:val="Heading3"/>
      </w:pPr>
      <w:r>
        <w:t>1.2 消费者行为与绿色营销的关系</w:t>
      </w:r>
    </w:p>
    <w:p>
      <w:pPr>
        <w:pStyle w:val="FirstParagraph"/>
      </w:pPr>
      <w:r>
        <w:t>消费者行为是指消费者在购买、使用和评价产品或服务过程中所表现出的心理和行为。绿色营销与消费者行为密切相关，一方面，消费者的绿色需求推动了绿色营销的发展；另一方面，绿色营销通过各种策略影响消费者的购买决策，促使消费者更加关注环境保护。</w:t>
      </w:r>
    </w:p>
    <w:bookmarkEnd w:id="3"/>
    <w:bookmarkStart w:id="4" w:name="研究目的与意义"/>
    <w:p>
      <w:pPr>
        <w:pStyle w:val="Heading3"/>
      </w:pPr>
      <w:r>
        <w:t>1.3 研究目的与意义</w:t>
      </w:r>
    </w:p>
    <w:p>
      <w:pPr>
        <w:pStyle w:val="FirstParagraph"/>
      </w:pPr>
      <w:r>
        <w:t>本研究旨在探讨绿色营销策略对消费者行为的影响，分析绿色营销策略在提高消费者购买意愿、品牌忠诚度和口碑传播方面的作用。研究成果对于指导企业开展绿色营销，提高消费者环保意识，促进可持续发展具有重要意义。</w:t>
      </w:r>
    </w:p>
    <w:bookmarkEnd w:id="4"/>
    <w:bookmarkEnd w:id="1"/>
    <w:bookmarkStart w:id="5" w:name="绿色营销策略概述"/>
    <w:p>
      <w:pPr>
        <w:pStyle w:val="Heading2"/>
      </w:pPr>
      <w:r>
        <w:t>绿色营销策略概述</w:t>
      </w:r>
    </w:p>
    <w:bookmarkStart w:id="6" w:name="绿色营销的核心要素"/>
    <w:p>
      <w:pPr>
        <w:pStyle w:val="Heading3"/>
      </w:pPr>
      <w:r>
        <w:t>2.1 绿色营销的核心要素</w:t>
      </w:r>
    </w:p>
    <w:p>
      <w:pPr>
        <w:pStyle w:val="FirstParagraph"/>
      </w:pPr>
      <w:r>
        <w:t>绿色营销是一种以满足消费者需求的同时，关注环境保护和可持续发展的市场营销方式。其核心要素主要包括以下几点：</w:t>
      </w:r>
    </w:p>
    <w:p>
      <w:pPr>
        <w:pStyle w:val="Compact"/>
        <w:numPr>
          <w:ilvl w:val="0"/>
          <w:numId w:val="19"/>
        </w:numPr>
      </w:pPr>
      <w:r>
        <w:t>绿色理念：企业应将环保理念融入经营战略，关注产品全生命周期的环境影响。</w:t>
      </w:r>
    </w:p>
    <w:p>
      <w:pPr>
        <w:pStyle w:val="Compact"/>
        <w:numPr>
          <w:ilvl w:val="0"/>
          <w:numId w:val="19"/>
        </w:numPr>
      </w:pPr>
      <w:r>
        <w:t>绿色设计：在产品设计阶段考虑环境因素，采用易于回收、降解的材料，降低能源消耗和污染排放。</w:t>
      </w:r>
    </w:p>
    <w:p>
      <w:pPr>
        <w:pStyle w:val="Compact"/>
        <w:numPr>
          <w:ilvl w:val="0"/>
          <w:numId w:val="19"/>
        </w:numPr>
      </w:pPr>
      <w:r>
        <w:t>绿色生产：生产过程中采用环保技术和清洁生产方式，减少废弃物排放。</w:t>
      </w:r>
    </w:p>
    <w:p>
      <w:pPr>
        <w:pStyle w:val="Compact"/>
        <w:numPr>
          <w:ilvl w:val="0"/>
          <w:numId w:val="19"/>
        </w:numPr>
      </w:pPr>
      <w:r>
        <w:t>绿色包装：使用可降解、可回收的包装材料，降低包装废弃物对环境的影响。</w:t>
      </w:r>
    </w:p>
    <w:p>
      <w:pPr>
        <w:pStyle w:val="Compact"/>
        <w:numPr>
          <w:ilvl w:val="0"/>
          <w:numId w:val="19"/>
        </w:numPr>
      </w:pPr>
      <w:r>
        <w:t>绿色运输：优化物流体系，降低运输过程中的能源消耗和污染排放。</w:t>
      </w:r>
    </w:p>
    <w:p>
      <w:pPr>
        <w:pStyle w:val="Compact"/>
        <w:numPr>
          <w:ilvl w:val="0"/>
          <w:numId w:val="19"/>
        </w:numPr>
        <w:sectPr>
          <w:pgSz w:w="12240" w:h="15840"/>
          <w:pgMar w:top="1440" w:right="1800" w:bottom="1440" w:left="1800" w:header="720" w:footer="720" w:gutter="0"/>
          <w:cols w:space="720"/>
        </w:sectPr>
      </w:pPr>
      <w:r>
        <w:t>绿色服务：提供与绿色营销相关的服务，如产品回收、废弃物处理等。</w:t>
      </w:r>
    </w:p>
    <w:bookmarkEnd w:id="6"/>
    <w:bookmarkStart w:id="7" w:name="绿色营销的主要策略类型"/>
    <w:p>
      <w:pPr>
        <w:pStyle w:val="Heading3"/>
      </w:pPr>
      <w:r>
        <w:t>2.2 绿色营销的主要策略类型</w:t>
      </w:r>
    </w:p>
    <w:p>
      <w:pPr>
        <w:pStyle w:val="FirstParagraph"/>
      </w:pPr>
      <w:r>
        <w:t>绿色营销策略主要包括以下几种类型：</w:t>
      </w:r>
    </w:p>
    <w:p>
      <w:pPr>
        <w:pStyle w:val="Compact"/>
        <w:numPr>
          <w:ilvl w:val="0"/>
          <w:numId w:val="51"/>
        </w:numPr>
      </w:pPr>
      <w:r>
        <w:t>绿色产品策略：开发符合环保要求的产品，满足消费者对环保的需求。</w:t>
      </w:r>
    </w:p>
    <w:p>
      <w:pPr>
        <w:pStyle w:val="Compact"/>
        <w:numPr>
          <w:ilvl w:val="0"/>
          <w:numId w:val="51"/>
        </w:numPr>
      </w:pPr>
      <w:r>
        <w:t>绿色价格策略：根据产品的环保程度制定价格，引导消费者购买环保产品。</w:t>
      </w:r>
    </w:p>
    <w:p>
      <w:pPr>
        <w:pStyle w:val="Compact"/>
        <w:numPr>
          <w:ilvl w:val="0"/>
          <w:numId w:val="51"/>
        </w:numPr>
      </w:pPr>
      <w:r>
        <w:t>绿色促销策略：通过广告、公关活动等方式，宣传企业的绿色理念，提高消费者对绿色产品的认知和购买意愿。</w:t>
      </w:r>
    </w:p>
    <w:p>
      <w:pPr>
        <w:pStyle w:val="Compact"/>
        <w:numPr>
          <w:ilvl w:val="0"/>
          <w:numId w:val="51"/>
        </w:numPr>
      </w:pPr>
      <w:r>
        <w:t>绿色渠道策略：选择具有环保意识的渠道合作伙伴，共同推广绿色产品。</w:t>
      </w:r>
    </w:p>
    <w:bookmarkEnd w:id="7"/>
    <w:bookmarkStart w:id="8" w:name="绿色营销成功案例分析"/>
    <w:p>
      <w:pPr>
        <w:pStyle w:val="Heading3"/>
      </w:pPr>
      <w:r>
        <w:t>2.3 绿色营销成功案例分析</w:t>
      </w:r>
    </w:p>
    <w:p>
      <w:pPr>
        <w:pStyle w:val="FirstParagraph"/>
      </w:pPr>
      <w:r>
        <w:t>以某知名家电企业为例，该企业积极实施绿色营销策略，取得了显著成效。</w:t>
      </w:r>
    </w:p>
    <w:p>
      <w:pPr>
        <w:pStyle w:val="Compact"/>
        <w:numPr>
          <w:ilvl w:val="0"/>
          <w:numId w:val="51"/>
        </w:numPr>
      </w:pPr>
      <w:r>
        <w:t>绿色产品策略：推出节能、环保型家电产品，如节能空调、节水洗衣机等，受到消费者欢迎。</w:t>
      </w:r>
    </w:p>
    <w:p>
      <w:pPr>
        <w:pStyle w:val="Compact"/>
        <w:numPr>
          <w:ilvl w:val="0"/>
          <w:numId w:val="51"/>
        </w:numPr>
      </w:pPr>
      <w:r>
        <w:t>绿色价格策略：对节能产品实施价格优惠，引导消费者购买。</w:t>
      </w:r>
    </w:p>
    <w:p>
      <w:pPr>
        <w:pStyle w:val="Compact"/>
        <w:numPr>
          <w:ilvl w:val="0"/>
          <w:numId w:val="51"/>
        </w:numPr>
      </w:pPr>
      <w:r>
        <w:t>绿色促销策略：通过举办绿色公益活动、发布环保广告等方式，提升品牌形象，增加消费者对绿色产品的关注。</w:t>
      </w:r>
    </w:p>
    <w:p>
      <w:pPr>
        <w:pStyle w:val="Compact"/>
        <w:numPr>
          <w:ilvl w:val="0"/>
          <w:numId w:val="51"/>
        </w:numPr>
      </w:pPr>
      <w:r>
        <w:t>绿色渠道策略：与环保组织合作，推广绿色产品，提高市场占有率。</w:t>
      </w:r>
    </w:p>
    <w:p>
      <w:pPr>
        <w:pStyle w:val="FirstParagraph"/>
      </w:pPr>
      <w:r>
        <w:t>通过以上案例分析，可以看出绿色营销策略在提升企业品牌形象、促进消费者购买意愿方面具有重要作用。在激烈的市场竞争中，企业应积极实施绿色营销，以满足消费者对环保的需求，实现可持续发展。</w:t>
      </w:r>
    </w:p>
    <w:bookmarkEnd w:id="8"/>
    <w:bookmarkEnd w:id="5"/>
    <w:bookmarkStart w:id="9" w:name="消费者行为分析"/>
    <w:p>
      <w:pPr>
        <w:pStyle w:val="Heading2"/>
      </w:pPr>
      <w:r>
        <w:t>3. 消费者行为分析</w:t>
      </w:r>
    </w:p>
    <w:bookmarkStart w:id="10" w:name="消费者购买决策过程"/>
    <w:p>
      <w:pPr>
        <w:pStyle w:val="Heading3"/>
      </w:pPr>
      <w:r>
        <w:t>3.1 消费者购买决策过程</w:t>
      </w:r>
    </w:p>
    <w:p>
      <w:pPr>
        <w:pStyle w:val="FirstParagraph"/>
      </w:pPr>
      <w:r>
        <w:t>消费者购买决策过程通常包括以下阶段：需求认知、信息搜索、评估替代品、购买决策以及购后行为。在绿色营销的背景下，消费者在需求认知阶段可能因环保意识而激发出对绿色产品的需求。在信息搜索阶段，消费者会寻找有关产品环保属性的信息，如材料来源、生产过程的环境影响、产品使用寿命等。在评估替代品时，绿色因素可能成为关键考量，影响消费者的选择。购买决策后，消费者的购后行为，如产品使用和废弃处理，同样受绿色营销策略的影响。</w:t>
      </w:r>
    </w:p>
    <w:bookmarkEnd w:id="10"/>
    <w:bookmarkStart w:id="11" w:name="影响消费者行为的因素"/>
    <w:p>
      <w:pPr>
        <w:pStyle w:val="Heading3"/>
      </w:pPr>
      <w:r>
        <w:t>3.2 影响消费者行为的因素</w:t>
      </w:r>
    </w:p>
    <w:bookmarkStart w:id="12" w:name="个人因素"/>
    <w:p>
      <w:pPr>
        <w:pStyle w:val="Heading4"/>
      </w:pPr>
      <w:r>
        <w:t>3.2.1 个人因素</w:t>
      </w:r>
    </w:p>
    <w:p>
      <w:pPr>
        <w:pStyle w:val="FirstParagraph"/>
        <w:sectPr>
          <w:type w:val="nextPage"/>
          <w:pgSz w:w="12240" w:h="15840"/>
          <w:pgMar w:top="1440" w:right="1800" w:bottom="1440" w:left="1800" w:header="720" w:footer="720" w:gutter="0"/>
          <w:pgNumType w:start="2"/>
          <w:cols w:space="720"/>
          <w:titlePg w:val="0"/>
        </w:sectPr>
      </w:pPr>
    </w:p>
    <w:p>
      <w:pPr>
        <w:pStyle w:val="FirstParagraph"/>
      </w:pPr>
      <w:r>
        <w:t>个人因素涉及消费者的价值观、信仰、知识水平和个人经验等。环保意识强的消费者更可能受到绿色营销策略的影响。例如，有孩子的家庭可能更关注产品的环保安全性；教育水平较高的消费者可能对气候变化和可持续发展有更深入的理解，从而倾向于选择绿色产品。</w:t>
      </w:r>
    </w:p>
    <w:bookmarkEnd w:id="12"/>
    <w:bookmarkStart w:id="13" w:name="社会因素"/>
    <w:p>
      <w:pPr>
        <w:pStyle w:val="Heading4"/>
      </w:pPr>
      <w:r>
        <w:t>3.2.2 社会因素</w:t>
      </w:r>
    </w:p>
    <w:p>
      <w:pPr>
        <w:pStyle w:val="FirstParagraph"/>
      </w:pPr>
      <w:r>
        <w:t>社会因素包括家庭、朋友、社会阶层和参照群体等对消费者行为的影响。家庭作为基本的社会单位，其环保观念和行为会影响成员的购买决策。朋友的推荐和意见领袖的态度也会促使消费者对绿色产品产生兴趣。此外，社会阶层和所属群体对环保的重视程度，也会影响消费者对绿色产品的选择。</w:t>
      </w:r>
    </w:p>
    <w:bookmarkEnd w:id="13"/>
    <w:bookmarkStart w:id="14" w:name="文化因素"/>
    <w:p>
      <w:pPr>
        <w:pStyle w:val="Heading4"/>
      </w:pPr>
      <w:r>
        <w:t>3.2.3 文化因素</w:t>
      </w:r>
    </w:p>
    <w:p>
      <w:pPr>
        <w:pStyle w:val="FirstParagraph"/>
      </w:pPr>
      <w:r>
        <w:t>文化因素如文化价值观、传统习俗和宗教信仰等，对消费者行为有着深远的影响。在一些注重生态平衡和自然和谐的文化中，绿色产品更容易得到认同。例如，在一些亚洲国家，</w:t>
      </w:r>
      <w:r>
        <w:t>“</w:t>
      </w:r>
      <w:r>
        <w:t>和谐共生</w:t>
      </w:r>
      <w:r>
        <w:t>”</w:t>
      </w:r>
      <w:r>
        <w:t>的哲学观念使得绿色营销策略更容易被接受。</w:t>
      </w:r>
    </w:p>
    <w:bookmarkEnd w:id="14"/>
    <w:bookmarkEnd w:id="11"/>
    <w:bookmarkStart w:id="15" w:name="绿色营销策略对消费者行为的影响机制"/>
    <w:p>
      <w:pPr>
        <w:pStyle w:val="Heading3"/>
      </w:pPr>
      <w:r>
        <w:t>3.3 绿色营销策略对消费者行为的影响机制</w:t>
      </w:r>
    </w:p>
    <w:p>
      <w:pPr>
        <w:pStyle w:val="FirstParagraph"/>
      </w:pPr>
      <w:r>
        <w:t>绿色营销策略通过提供环保产品和服务，传递绿色理念，影响消费者的内在价值观和外在行为。这种影响机制通常通过以下途径实现：</w:t>
      </w:r>
    </w:p>
    <w:p>
      <w:pPr>
        <w:pStyle w:val="Compact"/>
        <w:numPr>
          <w:ilvl w:val="0"/>
          <w:numId w:val="52"/>
        </w:numPr>
      </w:pPr>
      <w:r>
        <w:rPr>
          <w:b/>
          <w:bCs/>
        </w:rPr>
        <w:t>认知途径</w:t>
      </w:r>
      <w:r>
        <w:t>：通过提供信息和教育，增加消费者对环保产品的认识和了解，改变其消费观念。</w:t>
      </w:r>
    </w:p>
    <w:p>
      <w:pPr>
        <w:pStyle w:val="Compact"/>
        <w:numPr>
          <w:ilvl w:val="0"/>
          <w:numId w:val="52"/>
        </w:numPr>
      </w:pPr>
      <w:r>
        <w:rPr>
          <w:b/>
          <w:bCs/>
        </w:rPr>
        <w:t>情感途径</w:t>
      </w:r>
      <w:r>
        <w:t>：通过塑造企业的绿色形象和品牌情感价值，激发消费者的环保情感，如责任感、自豪感，从而促进购买行为。</w:t>
      </w:r>
    </w:p>
    <w:p>
      <w:pPr>
        <w:pStyle w:val="Compact"/>
        <w:numPr>
          <w:ilvl w:val="0"/>
          <w:numId w:val="52"/>
        </w:numPr>
      </w:pPr>
      <w:r>
        <w:rPr>
          <w:b/>
          <w:bCs/>
        </w:rPr>
        <w:t>社会规范途径</w:t>
      </w:r>
      <w:r>
        <w:t>：利用社会规范和群体压力，推广绿色消费为一种社会责任和时尚行为，引导消费者行为。</w:t>
      </w:r>
    </w:p>
    <w:p>
      <w:pPr>
        <w:pStyle w:val="FirstParagraph"/>
      </w:pPr>
      <w:r>
        <w:t>以上分析表明，绿色营销策略与消费者行为之间存在着复杂的互动关系，企业通过深入了解这些关系，可以更有效地制定和实施绿色营销策略。</w:t>
      </w:r>
    </w:p>
    <w:bookmarkEnd w:id="15"/>
    <w:bookmarkEnd w:id="9"/>
    <w:bookmarkStart w:id="16" w:name="绿色营销策略对消费者行为的影响实证分析"/>
    <w:p>
      <w:pPr>
        <w:pStyle w:val="Heading2"/>
      </w:pPr>
      <w:r>
        <w:t>4 绿色营销策略对消费者行为的影响实证分析</w:t>
      </w:r>
    </w:p>
    <w:bookmarkStart w:id="17" w:name="研究方法与数据来源"/>
    <w:p>
      <w:pPr>
        <w:pStyle w:val="Heading3"/>
      </w:pPr>
      <w:r>
        <w:t>4.1 研究方法与数据来源</w:t>
      </w:r>
    </w:p>
    <w:p>
      <w:pPr>
        <w:pStyle w:val="FirstParagraph"/>
        <w:sectPr>
          <w:type w:val="nextPage"/>
          <w:pgSz w:w="12240" w:h="15840"/>
          <w:pgMar w:top="1440" w:right="1800" w:bottom="1440" w:left="1800" w:header="720" w:footer="720" w:gutter="0"/>
          <w:pgNumType w:start="3"/>
          <w:cols w:space="720"/>
          <w:titlePg w:val="0"/>
        </w:sectPr>
      </w:pPr>
      <w:r>
        <w:t>为了深入探究绿色营销策略对消费者行为的具体影响，本研究采用了问卷调查法。问卷设计参考了国内外相关研究，并结合我国市场特点，确保了量表的信度和效度。数据来源主要针对我国一、二线城市的消费者，通过在线平台发放问卷，共计收集有效问卷1500份。</w:t>
      </w:r>
    </w:p>
    <w:bookmarkEnd w:id="17"/>
    <w:bookmarkStart w:id="18" w:name="数据分析与结果"/>
    <w:p>
      <w:pPr>
        <w:pStyle w:val="Heading3"/>
      </w:pPr>
      <w:r>
        <w:t>4.2 数据分析与结果</w:t>
      </w:r>
    </w:p>
    <w:bookmarkStart w:id="19" w:name="绿色营销策略对消费者购买意愿的影响"/>
    <w:p>
      <w:pPr>
        <w:pStyle w:val="Heading4"/>
      </w:pPr>
      <w:r>
        <w:t>4.2.1 绿色营销策略对消费者购买意愿的影响</w:t>
      </w:r>
    </w:p>
    <w:p>
      <w:pPr>
        <w:pStyle w:val="FirstParagraph"/>
      </w:pPr>
      <w:r>
        <w:t>通过相关性分析和回归分析发现，绿色营销策略与消费者的购买意愿呈显著正相关。具体来说，绿色产品、绿色价格和绿色促销策略均能显著提高消费者的购买意愿。在绿色产品方面，消费者更关注产品的环保性能和质量；在绿色价格方面，合理的价格水平可以降低消费者对绿色产品的抵触情绪；在绿色促销方面，环保活动和优惠措施能够激发消费者的购买兴趣。</w:t>
      </w:r>
    </w:p>
    <w:bookmarkEnd w:id="19"/>
    <w:bookmarkStart w:id="20" w:name="绿色营销策略对消费者品牌忠诚度的影响"/>
    <w:p>
      <w:pPr>
        <w:pStyle w:val="Heading4"/>
      </w:pPr>
      <w:r>
        <w:t>4.2.2 绿色营销策略对消费者品牌忠诚度的影响</w:t>
      </w:r>
    </w:p>
    <w:p>
      <w:pPr>
        <w:pStyle w:val="FirstParagraph"/>
      </w:pPr>
      <w:r>
        <w:t>研究结果表明，绿色营销策略对消费者品牌忠诚度具有显著的正向影响。绿色营销策略能够提升消费者对品牌的认知和信任，从而增强品牌忠诚度。此外，企业通过实施绿色营销策略，可以提高消费者的满意度，进而促进品牌忠诚度的提升。</w:t>
      </w:r>
    </w:p>
    <w:bookmarkEnd w:id="20"/>
    <w:bookmarkStart w:id="21" w:name="绿色营销策略对消费者口碑传播的影响"/>
    <w:p>
      <w:pPr>
        <w:pStyle w:val="Heading4"/>
      </w:pPr>
      <w:r>
        <w:t>4.2.3 绿色营销策略对消费者口碑传播的影响</w:t>
      </w:r>
    </w:p>
    <w:p>
      <w:pPr>
        <w:pStyle w:val="FirstParagraph"/>
      </w:pPr>
      <w:r>
        <w:t>数据分析显示，绿色营销策略对消费者口碑传播具有积极影响。消费者在感受到绿色产品的优质性能和环保理念后，更愿意向亲朋好友推荐，从而扩大品牌影响力。此外，绿色营销策略还能够提高消费者对企业的社会责任感，促使他们主动为企业传播正面口碑。</w:t>
      </w:r>
    </w:p>
    <w:bookmarkEnd w:id="21"/>
    <w:bookmarkEnd w:id="18"/>
    <w:bookmarkStart w:id="22" w:name="案例分析"/>
    <w:p>
      <w:pPr>
        <w:pStyle w:val="Heading3"/>
      </w:pPr>
      <w:r>
        <w:t>4.3 案例分析</w:t>
      </w:r>
    </w:p>
    <w:p>
      <w:pPr>
        <w:pStyle w:val="FirstParagraph"/>
      </w:pPr>
      <w:r>
        <w:t>以某知名家电企业为例，该企业通过实施绿色营销策略，推出了节能、环保型产品，受到了消费者的广泛认可。在产品设计中，企业注重节能降耗，提高资源利用率；在价格策略上，合理定价，让消费者感受到绿色产品的价值；在促销活动中，积极开展环保公益活动，提升品牌形象。经过一段时间的实践，该企业的市场份额和消费者满意度均有所提升，证明了绿色营销策略对消费者行为的积极影响。</w:t>
      </w:r>
    </w:p>
    <w:bookmarkEnd w:id="22"/>
    <w:bookmarkEnd w:id="16"/>
    <w:bookmarkStart w:id="23" w:name="企业绿色营销策略优化建议"/>
    <w:p>
      <w:pPr>
        <w:pStyle w:val="Heading2"/>
      </w:pPr>
      <w:r>
        <w:t>5 企业绿色营销策略优化建议</w:t>
      </w:r>
    </w:p>
    <w:bookmarkStart w:id="24" w:name="绿色产品策略优化"/>
    <w:p>
      <w:pPr>
        <w:pStyle w:val="Heading3"/>
      </w:pPr>
      <w:r>
        <w:t>5.1 绿色产品策略优化</w:t>
      </w:r>
    </w:p>
    <w:p>
      <w:pPr>
        <w:pStyle w:val="FirstParagraph"/>
      </w:pPr>
      <w:r>
        <w:t>在绿色营销策略中，产品的环保特性是消费者关注的焦点。企业应从以下几个方面优化其绿色产品策略：</w:t>
      </w:r>
    </w:p>
    <w:p>
      <w:pPr>
        <w:numPr>
          <w:ilvl w:val="0"/>
          <w:numId w:val="53"/>
        </w:numPr>
      </w:pPr>
      <w:r>
        <w:rPr>
          <w:b/>
          <w:bCs/>
        </w:rPr>
        <w:t>产品设计与包装</w:t>
      </w:r>
      <w:r>
        <w:t>：采用易于回收的材料，减少包装废弃物，设计节能环保的产品。同时，注重产品使用寿命的延长，减少资源浪费。</w:t>
      </w:r>
    </w:p>
    <w:p>
      <w:pPr>
        <w:numPr>
          <w:ilvl w:val="0"/>
          <w:numId w:val="53"/>
        </w:numPr>
        <w:sectPr>
          <w:type w:val="nextPage"/>
          <w:pgSz w:w="12240" w:h="15840"/>
          <w:pgMar w:top="1440" w:right="1800" w:bottom="1440" w:left="1800" w:header="720" w:footer="720" w:gutter="0"/>
          <w:pgNumType w:start="4"/>
          <w:cols w:space="720"/>
          <w:titlePg w:val="0"/>
        </w:sectPr>
      </w:pPr>
      <w:r>
        <w:rPr>
          <w:b/>
          <w:bCs/>
        </w:rPr>
        <w:t>产品创新</w:t>
      </w:r>
      <w:r>
        <w:t>：持续研发低碳、环保的新产品，满足消费者对环保产品的需求。</w:t>
      </w:r>
    </w:p>
    <w:p>
      <w:pPr>
        <w:numPr>
          <w:ilvl w:val="0"/>
          <w:numId w:val="22"/>
        </w:numPr>
      </w:pPr>
      <w:r>
        <w:rPr>
          <w:b/>
          <w:bCs/>
        </w:rPr>
        <w:t>绿色认证</w:t>
      </w:r>
      <w:r>
        <w:t>：积极获取国内外绿色认证，提升产品环保形象，增强消费者信任。</w:t>
      </w:r>
    </w:p>
    <w:bookmarkEnd w:id="24"/>
    <w:bookmarkStart w:id="25" w:name="绿色价格策略优化"/>
    <w:p>
      <w:pPr>
        <w:pStyle w:val="Heading3"/>
      </w:pPr>
      <w:r>
        <w:t>5.2 绿色价格策略优化</w:t>
      </w:r>
    </w:p>
    <w:p>
      <w:pPr>
        <w:pStyle w:val="FirstParagraph"/>
      </w:pPr>
      <w:r>
        <w:t>价格是影响消费者购买决策的重要因素。企业在制定绿色价格策略时，应考虑以下因素：</w:t>
      </w:r>
    </w:p>
    <w:p>
      <w:pPr>
        <w:numPr>
          <w:ilvl w:val="0"/>
          <w:numId w:val="22"/>
        </w:numPr>
      </w:pPr>
      <w:r>
        <w:rPr>
          <w:b/>
          <w:bCs/>
        </w:rPr>
        <w:t>成本导向</w:t>
      </w:r>
      <w:r>
        <w:t>：在定价时，合理考虑绿色产品在生产、研发、认证等方面的额外成本。</w:t>
      </w:r>
    </w:p>
    <w:p>
      <w:pPr>
        <w:numPr>
          <w:ilvl w:val="0"/>
          <w:numId w:val="22"/>
        </w:numPr>
      </w:pPr>
      <w:r>
        <w:rPr>
          <w:b/>
          <w:bCs/>
        </w:rPr>
        <w:t>市场需求</w:t>
      </w:r>
      <w:r>
        <w:t>：了解消费者对环保产品的支付意愿，结合市场需求调整价格。</w:t>
      </w:r>
    </w:p>
    <w:p>
      <w:pPr>
        <w:numPr>
          <w:ilvl w:val="0"/>
          <w:numId w:val="22"/>
        </w:numPr>
      </w:pPr>
      <w:r>
        <w:rPr>
          <w:b/>
          <w:bCs/>
        </w:rPr>
        <w:t>竞争策略</w:t>
      </w:r>
      <w:r>
        <w:t>：观察竞争对手的绿色产品定价策略，制定有竞争力的价格。</w:t>
      </w:r>
    </w:p>
    <w:bookmarkEnd w:id="25"/>
    <w:bookmarkStart w:id="26" w:name="绿色促销策略优化"/>
    <w:p>
      <w:pPr>
        <w:pStyle w:val="Heading3"/>
      </w:pPr>
      <w:r>
        <w:t>5.3 绿色促销策略优化</w:t>
      </w:r>
    </w:p>
    <w:p>
      <w:pPr>
        <w:pStyle w:val="FirstParagraph"/>
      </w:pPr>
      <w:r>
        <w:t>有效的促销策略可以提升消费者对绿色产品的认知和购买意愿。以下是绿色促销策略的优化建议：</w:t>
      </w:r>
    </w:p>
    <w:p>
      <w:pPr>
        <w:numPr>
          <w:ilvl w:val="0"/>
          <w:numId w:val="22"/>
        </w:numPr>
      </w:pPr>
      <w:r>
        <w:rPr>
          <w:b/>
          <w:bCs/>
        </w:rPr>
        <w:t>宣传与教育</w:t>
      </w:r>
      <w:r>
        <w:t>：通过线上线下渠道，加大对绿色产品优势的宣传力度，同时教育消费者如何识别和选择绿色产品。</w:t>
      </w:r>
    </w:p>
    <w:p>
      <w:pPr>
        <w:numPr>
          <w:ilvl w:val="0"/>
          <w:numId w:val="22"/>
        </w:numPr>
      </w:pPr>
      <w:r>
        <w:rPr>
          <w:b/>
          <w:bCs/>
        </w:rPr>
        <w:t>社会责任营销</w:t>
      </w:r>
      <w:r>
        <w:t>：通过参与环保公益活动，提升品牌形象，吸引消费者的关注和支持。</w:t>
      </w:r>
    </w:p>
    <w:p>
      <w:pPr>
        <w:numPr>
          <w:ilvl w:val="0"/>
          <w:numId w:val="22"/>
        </w:numPr>
      </w:pPr>
      <w:r>
        <w:rPr>
          <w:b/>
          <w:bCs/>
        </w:rPr>
        <w:t>口碑营销</w:t>
      </w:r>
      <w:r>
        <w:t>：利用消费者口碑进行传播，通过提供优质的产品和服务，激发消费者主动分享。</w:t>
      </w:r>
    </w:p>
    <w:p>
      <w:pPr>
        <w:numPr>
          <w:ilvl w:val="0"/>
          <w:numId w:val="22"/>
        </w:numPr>
      </w:pPr>
      <w:r>
        <w:rPr>
          <w:b/>
          <w:bCs/>
        </w:rPr>
        <w:t>绿色促销活动</w:t>
      </w:r>
      <w:r>
        <w:t>：定期开展绿色主题促销活动，如“绿色购物节”，提供优惠和补贴，刺激消费者购买。</w:t>
      </w:r>
    </w:p>
    <w:p>
      <w:pPr>
        <w:pStyle w:val="FirstParagraph"/>
      </w:pPr>
      <w:r>
        <w:t>通过以上策略的优化，企业不仅能提升绿色产品的市场竞争力，还能促进消费者行为向环保、可持续方向转变。</w:t>
      </w:r>
    </w:p>
    <w:bookmarkEnd w:id="26"/>
    <w:bookmarkEnd w:id="23"/>
    <w:bookmarkStart w:id="27" w:name="结论与展望"/>
    <w:p>
      <w:pPr>
        <w:pStyle w:val="Heading2"/>
      </w:pPr>
      <w:r>
        <w:t>6 结论与展望</w:t>
      </w:r>
    </w:p>
    <w:bookmarkStart w:id="28" w:name="研究结论"/>
    <w:p>
      <w:pPr>
        <w:pStyle w:val="Heading3"/>
      </w:pPr>
      <w:r>
        <w:t>6.1 研究结论</w:t>
      </w:r>
    </w:p>
    <w:p>
      <w:pPr>
        <w:pStyle w:val="FirstParagraph"/>
      </w:pPr>
      <w:r>
        <w:t>通过对绿色营销策略与消费者行为之间关系的深入研究，本文得出以下结论：</w:t>
      </w:r>
    </w:p>
    <w:p>
      <w:pPr>
        <w:pStyle w:val="BodyText"/>
        <w:sectPr>
          <w:type w:val="nextPage"/>
          <w:pgSz w:w="12240" w:h="15840"/>
          <w:pgMar w:top="1440" w:right="1800" w:bottom="1440" w:left="1800" w:header="720" w:footer="720" w:gutter="0"/>
          <w:pgNumType w:start="5"/>
          <w:cols w:space="720"/>
          <w:titlePg w:val="0"/>
        </w:sectPr>
      </w:pPr>
      <w:r>
        <w:t>首先，绿色营销策略对消费者的购买决策过程具有显著影响。消费者在面对绿色产品时，其购买意愿明显增强，对绿色品牌的忠诚度也有所提高。其次，绿色营销策略通过激发消费者的环保意识，影响了消费者的口碑传播行为，使消费者更愿意向他人推荐绿色产品。</w:t>
      </w:r>
    </w:p>
    <w:p>
      <w:pPr>
        <w:pStyle w:val="BodyText"/>
      </w:pPr>
      <w:r>
        <w:t>此外，本研究发现，绿色营销策略对企业的发展具有积极作用。通过实施绿色产品、价格和促销策略，企业不仅提高了市场份额，还提升了品牌形象，为企业的可持续发展奠定了基础。</w:t>
      </w:r>
    </w:p>
    <w:bookmarkEnd w:id="28"/>
    <w:bookmarkStart w:id="29" w:name="研究局限与未来展望"/>
    <w:p>
      <w:pPr>
        <w:pStyle w:val="Heading3"/>
      </w:pPr>
      <w:r>
        <w:t>6.2 研究局限与未来展望</w:t>
      </w:r>
    </w:p>
    <w:p>
      <w:pPr>
        <w:pStyle w:val="FirstParagraph"/>
      </w:pPr>
      <w:r>
        <w:t>尽管本研究取得了一定的成果，但仍存在以下局限：</w:t>
      </w:r>
    </w:p>
    <w:p>
      <w:pPr>
        <w:numPr>
          <w:ilvl w:val="0"/>
          <w:numId w:val="54"/>
        </w:numPr>
      </w:pPr>
      <w:r>
        <w:t>本研究的样本范围主要集中在一线城市，未来可以扩大至二线、三线及以下城市，以全面了解绿色营销策略在不同市场环境下的影响。</w:t>
      </w:r>
    </w:p>
    <w:p>
      <w:pPr>
        <w:numPr>
          <w:ilvl w:val="0"/>
          <w:numId w:val="54"/>
        </w:numPr>
      </w:pPr>
      <w:r>
        <w:t>本研究主要关注绿色营销策略对消费者行为的影响，未来可以深入研究绿色营销策略对企业内部管理、供应链等方面的作用。</w:t>
      </w:r>
    </w:p>
    <w:p>
      <w:pPr>
        <w:numPr>
          <w:ilvl w:val="0"/>
          <w:numId w:val="54"/>
        </w:numPr>
      </w:pPr>
      <w:r>
        <w:t>本研究采用的是定量研究方法，未来可以结合定性研究，如访谈、案例研究等，以更全面地揭示绿色营销策略与消费者行为之间的关系。</w:t>
      </w:r>
    </w:p>
    <w:p>
      <w:pPr>
        <w:pStyle w:val="FirstParagraph"/>
      </w:pPr>
      <w:r>
        <w:t>未来展望：</w:t>
      </w:r>
    </w:p>
    <w:p>
      <w:pPr>
        <w:numPr>
          <w:ilvl w:val="0"/>
          <w:numId w:val="54"/>
        </w:numPr>
      </w:pPr>
      <w:r>
        <w:t>随着消费者环保意识的不断提升，绿色营销策略将逐渐成为企业竞争的重要手段。企业应加大绿色产品研发力度，满足消费者对绿色、环保产品的需求。</w:t>
      </w:r>
    </w:p>
    <w:p>
      <w:pPr>
        <w:numPr>
          <w:ilvl w:val="0"/>
          <w:numId w:val="54"/>
        </w:numPr>
      </w:pPr>
      <w:r>
        <w:t>企业在实施绿色营销策略时，应注重与消费者沟通，通过绿色广告、绿色促销活动等手段，提高消费者对绿色产品的认知度和接受度。</w:t>
      </w:r>
    </w:p>
    <w:p>
      <w:pPr>
        <w:numPr>
          <w:ilvl w:val="0"/>
          <w:numId w:val="54"/>
        </w:numPr>
      </w:pPr>
      <w:r>
        <w:t>政府部门应加强对绿色营销的扶持和监管，制定相应的政策和标准，引导企业走绿色发展道路。</w:t>
      </w:r>
    </w:p>
    <w:p>
      <w:pPr>
        <w:numPr>
          <w:ilvl w:val="0"/>
          <w:numId w:val="54"/>
        </w:numPr>
        <w:sectPr>
          <w:type w:val="nextPage"/>
          <w:pgSz w:w="12240" w:h="15840"/>
          <w:pgMar w:top="1440" w:right="1800" w:bottom="1440" w:left="1800" w:header="720" w:footer="720" w:gutter="0"/>
          <w:pgNumType w:start="6"/>
          <w:cols w:space="720"/>
          <w:titlePg w:val="0"/>
        </w:sectPr>
      </w:pPr>
      <w:r>
        <w:t>消费者、企业和政府共同参与，构建绿色消费环境，促进绿色营销策略的普及和发展，为实现可持续发展目标作出贡献。</w:t>
      </w:r>
    </w:p>
    <w:bookmarkEnd w:id="29"/>
    <w:bookmarkEnd w:id="27"/>
    <w:bookmarkEnd w:id="0"/>
    <w:p>
      <w:pPr>
        <w:pStyle w:val="Heading1"/>
      </w:pPr>
      <w:r>
        <w:t>绿色营销策略对消费者行为的影响</w:t>
      </w:r>
    </w:p>
    <w:bookmarkStart w:id="30" w:name="引言-1"/>
    <w:p>
      <w:pPr>
        <w:pStyle w:val="Heading2"/>
      </w:pPr>
      <w:r>
        <w:t>1. 引言</w:t>
      </w:r>
    </w:p>
    <w:bookmarkStart w:id="31" w:name="介绍绿色营销的定义与背景"/>
    <w:p>
      <w:pPr>
        <w:pStyle w:val="Heading3"/>
      </w:pPr>
      <w:r>
        <w:t>1.1 介绍绿色营销的定义与背景</w:t>
      </w:r>
    </w:p>
    <w:p>
      <w:pPr>
        <w:pStyle w:val="FirstParagraph"/>
      </w:pPr>
      <w:r>
        <w:t>绿色营销，作为一种新兴的营销理念和策略，主要是指企业在市场营销活动中，以满足消费者需求为核心，倡导和实施可持续发展，注重环境保护，通过提供绿色产品和服务，实现企业的经济、社会和环境三重效益。</w:t>
      </w:r>
    </w:p>
    <w:p>
      <w:pPr>
        <w:pStyle w:val="BodyText"/>
      </w:pPr>
      <w:r>
        <w:t>随着全球环境问题的日益严重，各国政府和消费者对环境保护的关注度不断提升，绿色营销应运而生。我国也明确提出要构建生态文明，推进绿色发展，这为绿色营销提供了广阔的发展空间。</w:t>
      </w:r>
    </w:p>
    <w:bookmarkEnd w:id="31"/>
    <w:bookmarkStart w:id="32" w:name="阐述绿色营销策略的重要性"/>
    <w:p>
      <w:pPr>
        <w:pStyle w:val="Heading3"/>
      </w:pPr>
      <w:r>
        <w:t>1.2 阐述绿色营销策略的重要性</w:t>
      </w:r>
    </w:p>
    <w:p>
      <w:pPr>
        <w:pStyle w:val="FirstParagraph"/>
      </w:pPr>
      <w:r>
        <w:t>绿色营销策略对企业、消费者和环境具有重要意义。首先，企业实施绿色营销可以提高资源利用效率，降低生产成本，增强市场竞争力；其次，绿色营销有助于消费者形成绿色消费观念，提高生活品质；最后，绿色营销有利于缓解环境压力，促进可持续发展。</w:t>
      </w:r>
    </w:p>
    <w:bookmarkEnd w:id="32"/>
    <w:bookmarkStart w:id="33" w:name="提出研究目的与意义"/>
    <w:p>
      <w:pPr>
        <w:pStyle w:val="Heading3"/>
      </w:pPr>
      <w:r>
        <w:t>1.3 提出研究目的与意义</w:t>
      </w:r>
    </w:p>
    <w:p>
      <w:pPr>
        <w:pStyle w:val="FirstParagraph"/>
      </w:pPr>
      <w:r>
        <w:t>本研究旨在探讨绿色营销策略对消费者行为的影响，以期为我国企业实施绿色营销提供理论指导和实践参考。研究绿色营销策略对消费者行为的影响，有助于企业更好地把握市场需求，优化绿色产品和服务，促进绿色消费的发展，实现经济与环境的双赢。</w:t>
      </w:r>
    </w:p>
    <w:p>
      <w:pPr>
        <w:pStyle w:val="BodyText"/>
      </w:pPr>
      <w:r>
        <w:t>通过对绿色营销策略与消费者行为之间的关系进行研究，可以为政府、企业和消费者提供有益的启示，推动我国绿色营销的健康发展。</w:t>
      </w:r>
    </w:p>
    <w:bookmarkEnd w:id="33"/>
    <w:bookmarkEnd w:id="30"/>
    <w:bookmarkStart w:id="34" w:name="绿色营销策略概述-1"/>
    <w:p>
      <w:pPr>
        <w:pStyle w:val="Heading2"/>
      </w:pPr>
      <w:r>
        <w:t>2. 绿色营销策略概述</w:t>
      </w:r>
    </w:p>
    <w:bookmarkStart w:id="35" w:name="绿色营销策略的分类与特点"/>
    <w:p>
      <w:pPr>
        <w:pStyle w:val="Heading3"/>
      </w:pPr>
      <w:r>
        <w:t>2.1 绿色营销策略的分类与特点</w:t>
      </w:r>
    </w:p>
    <w:p>
      <w:pPr>
        <w:pStyle w:val="FirstParagraph"/>
      </w:pPr>
      <w:r>
        <w:t>绿色营销策略可以从多个角度进行分类。首先，根据策略的侧重点，可以分为产品策略、价格策略、渠道策略和促销策略。产品策略强调绿色设计、生产过程的环境友好性以及产品的可回收性；价格策略则通过提供绿色产品价格优惠，激励消费者购买；渠道策略注重减少物流过程中的能源消耗和排放；促销策略则是通过各种营销活动，提升消费者对绿色产品的认知。</w:t>
      </w:r>
    </w:p>
    <w:p>
      <w:pPr>
        <w:pStyle w:val="BodyText"/>
        <w:sectPr>
          <w:type w:val="nextPage"/>
          <w:pgSz w:w="12240" w:h="15840"/>
          <w:pgMar w:top="1440" w:right="1800" w:bottom="1440" w:left="1800" w:header="720" w:footer="720" w:gutter="0"/>
          <w:pgNumType w:start="7"/>
          <w:cols w:space="720"/>
          <w:titlePg w:val="0"/>
        </w:sectPr>
      </w:pPr>
      <w:r>
        <w:t>绿色营销的特点主要包括：</w:t>
      </w:r>
    </w:p>
    <w:p>
      <w:pPr>
        <w:pStyle w:val="Compact"/>
        <w:numPr>
          <w:ilvl w:val="0"/>
          <w:numId w:val="22"/>
        </w:numPr>
      </w:pPr>
      <w:r>
        <w:t>环保性：以减少环境污染和资源消耗为核心目标。</w:t>
      </w:r>
    </w:p>
    <w:p>
      <w:pPr>
        <w:pStyle w:val="Compact"/>
        <w:numPr>
          <w:ilvl w:val="0"/>
          <w:numId w:val="22"/>
        </w:numPr>
      </w:pPr>
      <w:r>
        <w:t>长期性：注重企业的可持续发展，而非短期利润。</w:t>
      </w:r>
    </w:p>
    <w:p>
      <w:pPr>
        <w:pStyle w:val="Compact"/>
        <w:numPr>
          <w:ilvl w:val="0"/>
          <w:numId w:val="22"/>
        </w:numPr>
      </w:pPr>
      <w:r>
        <w:t>合作性：需要政府、企业和消费者共同参与，形成合力。</w:t>
      </w:r>
    </w:p>
    <w:p>
      <w:pPr>
        <w:pStyle w:val="Compact"/>
        <w:numPr>
          <w:ilvl w:val="0"/>
          <w:numId w:val="22"/>
        </w:numPr>
      </w:pPr>
      <w:r>
        <w:t>教育性：通过营销活动，提升消费者的环保意识和行为。</w:t>
      </w:r>
    </w:p>
    <w:bookmarkEnd w:id="35"/>
    <w:bookmarkStart w:id="36" w:name="绿色营销策略的实施方法"/>
    <w:p>
      <w:pPr>
        <w:pStyle w:val="Heading3"/>
      </w:pPr>
      <w:r>
        <w:t>2.2 绿色营销策略的实施方法</w:t>
      </w:r>
    </w:p>
    <w:p>
      <w:pPr>
        <w:pStyle w:val="FirstParagraph"/>
      </w:pPr>
      <w:r>
        <w:t>实施绿色营销策略的方法多样，主要包括：</w:t>
      </w:r>
    </w:p>
    <w:p>
      <w:pPr>
        <w:pStyle w:val="Compact"/>
        <w:numPr>
          <w:ilvl w:val="0"/>
          <w:numId w:val="22"/>
        </w:numPr>
      </w:pPr>
      <w:r>
        <w:t>绿色产品设计：使用环境友好的材料，简化产品设计，提高产品的可回收性。</w:t>
      </w:r>
    </w:p>
    <w:p>
      <w:pPr>
        <w:pStyle w:val="Compact"/>
        <w:numPr>
          <w:ilvl w:val="0"/>
          <w:numId w:val="22"/>
        </w:numPr>
      </w:pPr>
      <w:r>
        <w:t>绿色生产：采用清洁生产技术，减少生产过程中的能源消耗和废物排放。</w:t>
      </w:r>
    </w:p>
    <w:p>
      <w:pPr>
        <w:pStyle w:val="Compact"/>
        <w:numPr>
          <w:ilvl w:val="0"/>
          <w:numId w:val="22"/>
        </w:numPr>
      </w:pPr>
      <w:r>
        <w:t>绿色包装：使用可降解或循环利用的包装材料，减少包装废弃物对环境的压力。</w:t>
      </w:r>
    </w:p>
    <w:p>
      <w:pPr>
        <w:pStyle w:val="Compact"/>
        <w:numPr>
          <w:ilvl w:val="0"/>
          <w:numId w:val="22"/>
        </w:numPr>
      </w:pPr>
      <w:r>
        <w:t>绿色认证：通过第三方认证，提升产品的绿色形象。</w:t>
      </w:r>
    </w:p>
    <w:p>
      <w:pPr>
        <w:pStyle w:val="Compact"/>
        <w:numPr>
          <w:ilvl w:val="0"/>
          <w:numId w:val="22"/>
        </w:numPr>
      </w:pPr>
      <w:r>
        <w:t>绿色广告：通过广告传播环保理念，引导消费者绿色消费。</w:t>
      </w:r>
    </w:p>
    <w:bookmarkEnd w:id="36"/>
    <w:bookmarkStart w:id="37" w:name="国内外绿色营销策略的发展现状"/>
    <w:p>
      <w:pPr>
        <w:pStyle w:val="Heading3"/>
      </w:pPr>
      <w:r>
        <w:t>2.3 国内外绿色营销策略的发展现状</w:t>
      </w:r>
    </w:p>
    <w:p>
      <w:pPr>
        <w:pStyle w:val="FirstParagraph"/>
      </w:pPr>
      <w:r>
        <w:rPr>
          <w:b/>
          <w:bCs/>
        </w:rPr>
        <w:t>国内发展现状：</w:t>
      </w:r>
      <w:r>
        <w:t>近年来，随着我国环保法规的完善和消费者环保意识的提升，绿色营销在我国逐渐受到重视。众多企业开始实施绿色营销策略，推出绿色产品，如新能源汽车、节能家电等。但与发达国家相比，我国绿色营销的发展仍有较大差距，存在绿色产品种类少、绿色营销水平不高等问题。</w:t>
      </w:r>
    </w:p>
    <w:p>
      <w:pPr>
        <w:pStyle w:val="BodyText"/>
      </w:pPr>
      <w:r>
        <w:rPr>
          <w:b/>
          <w:bCs/>
        </w:rPr>
        <w:t>国外发展现状：</w:t>
      </w:r>
      <w:r>
        <w:t>发达国家在绿色营销方面已有较长时间的实践，形成了较为成熟的绿色营销体系。如德国的“蓝天使”环保标志、美国的“绿色印章”等，这些认证标志为消费者提供了明确的绿色产品选择。此外，国际知名品牌如苹果、宜家等，都在其生产和营销活动中积极融入绿色理念，推动可持续发展。</w:t>
      </w:r>
    </w:p>
    <w:bookmarkEnd w:id="37"/>
    <w:bookmarkEnd w:id="34"/>
    <w:bookmarkStart w:id="38" w:name="消费者行为理论"/>
    <w:p>
      <w:pPr>
        <w:pStyle w:val="Heading2"/>
      </w:pPr>
      <w:r>
        <w:t>3. 消费者行为理论</w:t>
      </w:r>
    </w:p>
    <w:bookmarkStart w:id="39" w:name="消费者行为的基本概念"/>
    <w:p>
      <w:pPr>
        <w:pStyle w:val="Heading3"/>
      </w:pPr>
      <w:r>
        <w:t>3.1 消费者行为的基本概念</w:t>
      </w:r>
    </w:p>
    <w:p>
      <w:pPr>
        <w:pStyle w:val="FirstParagraph"/>
      </w:pPr>
      <w:r>
        <w:t>消费者行为是指消费者在寻找、购买、使用和评价产品和服务的过程中所表现出的各种行为。它涉及消费者的心理、社会和文化等多个方面。消费者行为不仅包括消费者的购买决策，还包括使用后的感受和评价，以及后续的再购买行为。</w:t>
      </w:r>
    </w:p>
    <w:p>
      <w:pPr>
        <w:pStyle w:val="BodyText"/>
      </w:pPr>
      <w:r>
        <w:t>消费者的购买决策过程通常分为以下几个阶段：</w:t>
      </w:r>
    </w:p>
    <w:p>
      <w:pPr>
        <w:pStyle w:val="Compact"/>
        <w:numPr>
          <w:ilvl w:val="0"/>
          <w:numId w:val="19"/>
        </w:numPr>
      </w:pPr>
      <w:r>
        <w:t>需求识别：消费者认识到某种需求或欲望。</w:t>
      </w:r>
    </w:p>
    <w:p>
      <w:pPr>
        <w:pStyle w:val="Compact"/>
        <w:numPr>
          <w:ilvl w:val="0"/>
          <w:numId w:val="19"/>
        </w:numPr>
      </w:pPr>
      <w:r>
        <w:t>信息搜索：寻找满足需求的解决方案或产品信息。</w:t>
      </w:r>
    </w:p>
    <w:p>
      <w:pPr>
        <w:pStyle w:val="Compact"/>
        <w:numPr>
          <w:ilvl w:val="0"/>
          <w:numId w:val="19"/>
        </w:numPr>
      </w:pPr>
      <w:r>
        <w:t>评估选择：对不同的产品或品牌进行比较和评估。</w:t>
      </w:r>
    </w:p>
    <w:p>
      <w:pPr>
        <w:pStyle w:val="Compact"/>
        <w:numPr>
          <w:ilvl w:val="0"/>
          <w:numId w:val="19"/>
        </w:numPr>
        <w:sectPr>
          <w:type w:val="nextPage"/>
          <w:pgSz w:w="12240" w:h="15840"/>
          <w:pgMar w:top="1440" w:right="1800" w:bottom="1440" w:left="1800" w:header="720" w:footer="720" w:gutter="0"/>
          <w:pgNumType w:start="8"/>
          <w:cols w:space="720"/>
          <w:titlePg w:val="0"/>
        </w:sectPr>
      </w:pPr>
      <w:r>
        <w:t>购买决策：做出购买选择。</w:t>
      </w:r>
    </w:p>
    <w:p>
      <w:pPr>
        <w:pStyle w:val="Compact"/>
        <w:numPr>
          <w:ilvl w:val="0"/>
          <w:numId w:val="19"/>
        </w:numPr>
      </w:pPr>
      <w:r>
        <w:t>购后行为：购买后的使用体验和满意度。</w:t>
      </w:r>
    </w:p>
    <w:bookmarkEnd w:id="39"/>
    <w:bookmarkStart w:id="40" w:name="影响消费者行为的因素-1"/>
    <w:p>
      <w:pPr>
        <w:pStyle w:val="Heading3"/>
      </w:pPr>
      <w:r>
        <w:t>3.2 影响消费者行为的因素</w:t>
      </w:r>
    </w:p>
    <w:p>
      <w:pPr>
        <w:pStyle w:val="FirstParagraph"/>
      </w:pPr>
      <w:r>
        <w:t>影响消费者行为的因素众多，以下列举了几个主要因素：</w:t>
      </w:r>
    </w:p>
    <w:p>
      <w:pPr>
        <w:pStyle w:val="Compact"/>
        <w:numPr>
          <w:ilvl w:val="0"/>
          <w:numId w:val="19"/>
        </w:numPr>
      </w:pPr>
      <w:r>
        <w:t>个人因素：如年龄、性别、收入、教育水平等。</w:t>
      </w:r>
    </w:p>
    <w:p>
      <w:pPr>
        <w:pStyle w:val="Compact"/>
        <w:numPr>
          <w:ilvl w:val="0"/>
          <w:numId w:val="19"/>
        </w:numPr>
      </w:pPr>
      <w:r>
        <w:t>心理因素：如动机、知觉、态度、个性等。</w:t>
      </w:r>
    </w:p>
    <w:p>
      <w:pPr>
        <w:pStyle w:val="Compact"/>
        <w:numPr>
          <w:ilvl w:val="0"/>
          <w:numId w:val="19"/>
        </w:numPr>
      </w:pPr>
      <w:r>
        <w:t>社会因素：如家庭、朋友、社会阶层、文化等。</w:t>
      </w:r>
    </w:p>
    <w:p>
      <w:pPr>
        <w:pStyle w:val="Compact"/>
        <w:numPr>
          <w:ilvl w:val="0"/>
          <w:numId w:val="19"/>
        </w:numPr>
      </w:pPr>
      <w:r>
        <w:t>文化因素：如文化传统、价值观、生活方式等。</w:t>
      </w:r>
    </w:p>
    <w:p>
      <w:pPr>
        <w:pStyle w:val="Compact"/>
        <w:numPr>
          <w:ilvl w:val="0"/>
          <w:numId w:val="19"/>
        </w:numPr>
      </w:pPr>
      <w:r>
        <w:t>环境因素：如社会环境、自然环境、经济环境等。</w:t>
      </w:r>
    </w:p>
    <w:p>
      <w:pPr>
        <w:pStyle w:val="FirstParagraph"/>
      </w:pPr>
      <w:r>
        <w:t>这些因素相互作用，共同影响着消费者的购买行为。</w:t>
      </w:r>
    </w:p>
    <w:bookmarkEnd w:id="40"/>
    <w:bookmarkStart w:id="41" w:name="消费者购买决策过程-1"/>
    <w:p>
      <w:pPr>
        <w:pStyle w:val="Heading3"/>
      </w:pPr>
      <w:r>
        <w:t>3.3 消费者购买决策过程</w:t>
      </w:r>
    </w:p>
    <w:p>
      <w:pPr>
        <w:pStyle w:val="FirstParagraph"/>
      </w:pPr>
      <w:r>
        <w:t>消费者购买决策过程包括以下五个阶段：</w:t>
      </w:r>
    </w:p>
    <w:p>
      <w:pPr>
        <w:pStyle w:val="Compact"/>
        <w:numPr>
          <w:ilvl w:val="0"/>
          <w:numId w:val="19"/>
        </w:numPr>
      </w:pPr>
      <w:r>
        <w:t>问题识别：消费者意识到需求或欲望。</w:t>
      </w:r>
    </w:p>
    <w:p>
      <w:pPr>
        <w:pStyle w:val="Compact"/>
        <w:numPr>
          <w:ilvl w:val="0"/>
          <w:numId w:val="19"/>
        </w:numPr>
      </w:pPr>
      <w:r>
        <w:t>信息搜索：通过广告、口碑、网络等渠道收集信息。</w:t>
      </w:r>
    </w:p>
    <w:p>
      <w:pPr>
        <w:pStyle w:val="Compact"/>
        <w:numPr>
          <w:ilvl w:val="0"/>
          <w:numId w:val="19"/>
        </w:numPr>
      </w:pPr>
      <w:r>
        <w:t>评估选择：根据个人需求和偏好对产品或品牌进行评估。</w:t>
      </w:r>
    </w:p>
    <w:p>
      <w:pPr>
        <w:pStyle w:val="Compact"/>
        <w:numPr>
          <w:ilvl w:val="0"/>
          <w:numId w:val="19"/>
        </w:numPr>
      </w:pPr>
      <w:r>
        <w:t>购买决策：在多个选项中做出购买决策。</w:t>
      </w:r>
    </w:p>
    <w:p>
      <w:pPr>
        <w:pStyle w:val="Compact"/>
        <w:numPr>
          <w:ilvl w:val="0"/>
          <w:numId w:val="19"/>
        </w:numPr>
      </w:pPr>
      <w:r>
        <w:t>购后行为：对购买的产品进行使用和评价，影响后续的购买行为。</w:t>
      </w:r>
    </w:p>
    <w:p>
      <w:pPr>
        <w:pStyle w:val="FirstParagraph"/>
      </w:pPr>
      <w:r>
        <w:t>了解消费者购买决策过程，有助于绿色营销策略更好地针对消费者的需求和行为进行设计和实施。</w:t>
      </w:r>
    </w:p>
    <w:bookmarkEnd w:id="41"/>
    <w:bookmarkEnd w:id="38"/>
    <w:p>
      <w:pPr>
        <w:pStyle w:val="Heading2"/>
      </w:pPr>
      <w:r>
        <w:t>4 绿色营销策略对消费者行为的影响</w:t>
      </w:r>
    </w:p>
    <w:bookmarkStart w:id="42" w:name="绿色营销策略对消费者认知的影响"/>
    <w:p>
      <w:pPr>
        <w:pStyle w:val="Heading3"/>
      </w:pPr>
      <w:r>
        <w:t>4.1 绿色营销策略对消费者认知的影响</w:t>
      </w:r>
    </w:p>
    <w:p>
      <w:pPr>
        <w:pStyle w:val="FirstParagraph"/>
      </w:pPr>
      <w:r>
        <w:t>绿色营销策略通过强调产品或服务的环保特性，对消费者的认知产生重要影响。首先，绿色营销策略有助于提高消费者对环保的关注度，使消费者在购买决策时更加重视产品的环境影响。其次，绿色营销策略通过提供明确的信息，帮助消费者识别真正的绿色产品，从而增强消费者对绿色产品的认知。</w:t>
      </w:r>
    </w:p>
    <w:bookmarkStart w:id="43" w:name="提升消费者对环保的关注度"/>
    <w:p>
      <w:pPr>
        <w:pStyle w:val="Heading4"/>
      </w:pPr>
      <w:r>
        <w:t>4.1.1 提升消费者对环保的关注度</w:t>
      </w:r>
    </w:p>
    <w:p>
      <w:pPr>
        <w:pStyle w:val="FirstParagraph"/>
        <w:sectPr>
          <w:type w:val="nextPage"/>
          <w:pgSz w:w="12240" w:h="15840"/>
          <w:pgMar w:top="1440" w:right="1800" w:bottom="1440" w:left="1800" w:header="720" w:footer="720" w:gutter="0"/>
          <w:pgNumType w:start="9"/>
          <w:cols w:space="720"/>
          <w:titlePg w:val="0"/>
        </w:sectPr>
      </w:pPr>
      <w:r>
        <w:t>绿色营销策略通过广告、宣传等手段，让消费者认识到环保的重要性。企业通过展示其绿色产品在减少污染、节约能源等方面的优势，使消费者在购买过程中更加关注产品的环保性能。</w:t>
      </w:r>
    </w:p>
    <w:bookmarkEnd w:id="43"/>
    <w:bookmarkStart w:id="44" w:name="增强消费者对绿色产品的识别能力"/>
    <w:p>
      <w:pPr>
        <w:pStyle w:val="Heading4"/>
      </w:pPr>
      <w:r>
        <w:t>4.1.2 增强消费者对绿色产品的识别能力</w:t>
      </w:r>
    </w:p>
    <w:p>
      <w:pPr>
        <w:pStyle w:val="FirstParagraph"/>
      </w:pPr>
      <w:r>
        <w:t>企业采用绿色营销策略，会在产品包装、宣传资料等方面突出绿色标志，便于消费者识别。此外，绿色营销策略还会提供详细的产品信息，让消费者了解产品的环保性能，从而提高消费者对绿色产品的识别能力。</w:t>
      </w:r>
    </w:p>
    <w:bookmarkEnd w:id="44"/>
    <w:bookmarkEnd w:id="42"/>
    <w:bookmarkStart w:id="45" w:name="绿色营销策略对消费者态度的影响"/>
    <w:p>
      <w:pPr>
        <w:pStyle w:val="Heading3"/>
      </w:pPr>
      <w:r>
        <w:t>4.2 绿色营销策略对消费者态度的影响</w:t>
      </w:r>
    </w:p>
    <w:p>
      <w:pPr>
        <w:pStyle w:val="FirstParagraph"/>
      </w:pPr>
      <w:r>
        <w:t>绿色营销策略通过塑造企业的环保形象，对消费者的态度产生积极影响。消费者在接触到绿色营销策略时，会对企业的环保行为产生认同感，从而提高对企业及其产品的信任度和满意度。</w:t>
      </w:r>
    </w:p>
    <w:bookmarkStart w:id="46" w:name="塑造企业环保形象"/>
    <w:p>
      <w:pPr>
        <w:pStyle w:val="Heading4"/>
      </w:pPr>
      <w:r>
        <w:t>4.2.1 塑造企业环保形象</w:t>
      </w:r>
    </w:p>
    <w:p>
      <w:pPr>
        <w:pStyle w:val="FirstParagraph"/>
      </w:pPr>
      <w:r>
        <w:t>企业通过绿色营销策略，展示其在环保方面的努力，如节能减排、绿色生产等。这种形象塑造有助于提高消费者对企业的好感度，进而影响消费者的购买态度。</w:t>
      </w:r>
    </w:p>
    <w:bookmarkEnd w:id="46"/>
    <w:bookmarkStart w:id="47" w:name="提高消费者信任度和满意度"/>
    <w:p>
      <w:pPr>
        <w:pStyle w:val="Heading4"/>
      </w:pPr>
      <w:r>
        <w:t>4.2.2 提高消费者信任度和满意度</w:t>
      </w:r>
    </w:p>
    <w:p>
      <w:pPr>
        <w:pStyle w:val="FirstParagraph"/>
      </w:pPr>
      <w:r>
        <w:t>绿色营销策略强调产品的环保性能和质量，使消费者在购买过程中对企业产生信任。当消费者使用绿色产品后，感受到产品的环保优势，会提高其对企业的满意度，进而影响消费者的购买态度。</w:t>
      </w:r>
    </w:p>
    <w:bookmarkEnd w:id="47"/>
    <w:bookmarkEnd w:id="45"/>
    <w:p>
      <w:pPr>
        <w:pStyle w:val="Heading3"/>
      </w:pPr>
      <w:r>
        <w:t>4.3 绿色营销策略对消费者购买行为的影响</w:t>
      </w:r>
    </w:p>
    <w:p>
      <w:pPr>
        <w:pStyle w:val="FirstParagraph"/>
      </w:pPr>
      <w:r>
        <w:t>绿色营销策略通过引导消费者关注环保、提高消费者对绿色产品的认知和信任度，最终影响消费者的购买行为。</w:t>
      </w:r>
    </w:p>
    <w:bookmarkStart w:id="48" w:name="促进消费者购买绿色产品"/>
    <w:p>
      <w:pPr>
        <w:pStyle w:val="Heading4"/>
      </w:pPr>
      <w:r>
        <w:t>4.3.1 促进消费者购买绿色产品</w:t>
      </w:r>
    </w:p>
    <w:p>
      <w:pPr>
        <w:pStyle w:val="FirstParagraph"/>
      </w:pPr>
      <w:r>
        <w:t>绿色营销策略使消费者更加关注环保，从而在购买决策时倾向于选择绿色产品。此外，绿色营销策略还通过提供优惠、促销等手段，鼓励消费者购买绿色产品。</w:t>
      </w:r>
    </w:p>
    <w:bookmarkEnd w:id="48"/>
    <w:bookmarkStart w:id="49" w:name="引导消费者形成长期购买习惯"/>
    <w:p>
      <w:pPr>
        <w:pStyle w:val="Heading4"/>
      </w:pPr>
      <w:r>
        <w:t>4.3.2 引导消费者形成长期购买习惯</w:t>
      </w:r>
    </w:p>
    <w:p>
      <w:pPr>
        <w:pStyle w:val="FirstParagraph"/>
      </w:pPr>
      <w:r>
        <w:t>绿色营销策略通过持续的宣传和推广，使消费者逐渐形成绿色消费的观念。当消费者认识到绿色产品对环境和生活质量的好处时，他们会更愿意长期购买绿色产品，从而形成稳定的消费市场。</w:t>
      </w:r>
      <w:r>
        <w:br/>
      </w:r>
      <w:r>
        <w:br/>
      </w:r>
    </w:p>
    <w:p>
      <w:pPr>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https://d.book118.com/908033112004006047</w:t>
        </w:r>
      </w:hyperlink>
    </w:p>
    <w:bookmarkEnd w:id="49"/>
    <w:p>
      <w:pPr>
        <w:pStyle w:val="FirstParagraph"/>
      </w:pPr>
    </w:p>
    <w:sectPr>
      <w:type w:val="nextPage"/>
      <w:pgSz w:w="12240" w:h="15840"/>
      <w:pgMar w:top="1440" w:right="1800" w:bottom="1440" w:left="1800" w:header="720" w:footer="720" w:gutter="0"/>
      <w:pgNumType w:start="10"/>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Fira Code">
    <w:charset w:val="00"/>
    <w:family w:val="modern"/>
    <w:pitch w:val="fixed"/>
    <w:sig w:usb0="E00002EF" w:usb1="1200F8FB" w:usb2="00000008" w:usb3="00000000" w:csb0="0000009F" w:csb1="00000000"/>
  </w:font>
  <w:font w:name="Times New Roman (正文 CS 字体)">
    <w:altName w:val="宋体"/>
    <w:panose1 w:val="00000000000000000000"/>
    <w:charset w:val="86"/>
    <w:family w:val="roman"/>
    <w:notTrueType/>
    <w:pitch w:val="default"/>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singleLevel"/>
    <w:tmpl w:val="01C2D5EE"/>
    <w:lvl w:ilvl="0">
      <w:start w:val="1"/>
      <w:numFmt w:val="decimal"/>
      <w:lvlText w:val="%1."/>
      <w:lvlJc w:val="left"/>
      <w:pPr>
        <w:tabs>
          <w:tab w:val="num" w:pos="2040"/>
        </w:tabs>
        <w:ind w:left="2040" w:hanging="360" w:leftChars="800" w:hangingChars="200"/>
      </w:pPr>
    </w:lvl>
  </w:abstractNum>
  <w:abstractNum w:abstractNumId="1">
    <w:nsid w:val="FFFFFF7D"/>
    <w:multiLevelType w:val="singleLevel"/>
    <w:tmpl w:val="AE7E8D6C"/>
    <w:lvl w:ilvl="0">
      <w:start w:val="1"/>
      <w:numFmt w:val="decimal"/>
      <w:lvlText w:val="%1."/>
      <w:lvlJc w:val="left"/>
      <w:pPr>
        <w:tabs>
          <w:tab w:val="num" w:pos="1620"/>
        </w:tabs>
        <w:ind w:left="1620" w:hanging="360" w:leftChars="600" w:hangingChars="200"/>
      </w:pPr>
    </w:lvl>
  </w:abstractNum>
  <w:abstractNum w:abstractNumId="2">
    <w:nsid w:val="FFFFFF7E"/>
    <w:multiLevelType w:val="singleLevel"/>
    <w:tmpl w:val="54F4A8E4"/>
    <w:lvl w:ilvl="0">
      <w:start w:val="1"/>
      <w:numFmt w:val="decimal"/>
      <w:lvlText w:val="%1."/>
      <w:lvlJc w:val="left"/>
      <w:pPr>
        <w:tabs>
          <w:tab w:val="num" w:pos="1200"/>
        </w:tabs>
        <w:ind w:left="1200" w:hanging="360" w:leftChars="400" w:hangingChars="200"/>
      </w:pPr>
    </w:lvl>
  </w:abstractNum>
  <w:abstractNum w:abstractNumId="3">
    <w:nsid w:val="FFFFFF7F"/>
    <w:multiLevelType w:val="singleLevel"/>
    <w:tmpl w:val="48E4A3D2"/>
    <w:lvl w:ilvl="0">
      <w:start w:val="1"/>
      <w:numFmt w:val="decimal"/>
      <w:lvlText w:val="%1."/>
      <w:lvlJc w:val="left"/>
      <w:pPr>
        <w:tabs>
          <w:tab w:val="num" w:pos="780"/>
        </w:tabs>
        <w:ind w:left="780" w:hanging="360" w:leftChars="200" w:hangingChars="200"/>
      </w:pPr>
    </w:lvl>
  </w:abstractNum>
  <w:abstractNum w:abstractNumId="4">
    <w:nsid w:val="FFFFFF80"/>
    <w:multiLevelType w:val="singleLevel"/>
    <w:tmpl w:val="774C1C1A"/>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5">
    <w:nsid w:val="FFFFFF81"/>
    <w:multiLevelType w:val="singleLevel"/>
    <w:tmpl w:val="10EC9FC2"/>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6">
    <w:nsid w:val="FFFFFF82"/>
    <w:multiLevelType w:val="singleLevel"/>
    <w:tmpl w:val="DBBA14C4"/>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7">
    <w:nsid w:val="FFFFFF83"/>
    <w:multiLevelType w:val="singleLevel"/>
    <w:tmpl w:val="B428EF1E"/>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8">
    <w:nsid w:val="FFFFFF88"/>
    <w:multiLevelType w:val="singleLevel"/>
    <w:tmpl w:val="DF24F268"/>
    <w:lvl w:ilvl="0">
      <w:start w:val="1"/>
      <w:numFmt w:val="decimal"/>
      <w:lvlText w:val="%1."/>
      <w:lvlJc w:val="left"/>
      <w:pPr>
        <w:tabs>
          <w:tab w:val="num" w:pos="360"/>
        </w:tabs>
        <w:ind w:left="360" w:hanging="360" w:hangingChars="200"/>
      </w:pPr>
    </w:lvl>
  </w:abstractNum>
  <w:abstractNum w:abstractNumId="9">
    <w:nsid w:val="FFFFFF89"/>
    <w:multiLevelType w:val="singleLevel"/>
    <w:tmpl w:val="BEE4A8C8"/>
    <w:lvl w:ilvl="0">
      <w:start w:val="1"/>
      <w:numFmt w:val="bullet"/>
      <w:lvlText w:val=""/>
      <w:lvlJc w:val="left"/>
      <w:pPr>
        <w:tabs>
          <w:tab w:val="num" w:pos="360"/>
        </w:tabs>
        <w:ind w:left="360" w:hanging="360" w:hangingChars="200"/>
      </w:pPr>
      <w:rPr>
        <w:rFonts w:ascii="Wingdings" w:hAnsi="Wingdings" w:hint="default"/>
      </w:rPr>
    </w:lvl>
  </w:abstractNum>
  <w:abstractNum w:abstractNumId="10">
    <w:nsid w:val="0000A990"/>
    <w:multiLevelType w:val="multilevel"/>
    <w:tmpl w:val="7472B000"/>
    <w:lvl w:ilvl="0">
      <w:start w:val="0"/>
      <w:numFmt w:val="bullet"/>
      <w:lvlText w:val=" "/>
      <w:lvlJc w:val="left"/>
      <w:pPr>
        <w:ind w:left="720" w:hanging="480"/>
      </w:pPr>
    </w:lvl>
    <w:lvl w:ilvl="1">
      <w:start w:val="0"/>
      <w:numFmt w:val="bullet"/>
      <w:lvlText w:val=" "/>
      <w:lvlJc w:val="left"/>
      <w:pPr>
        <w:ind w:left="1440" w:hanging="480"/>
      </w:pPr>
    </w:lvl>
    <w:lvl w:ilvl="2">
      <w:start w:val="0"/>
      <w:numFmt w:val="bullet"/>
      <w:lvlText w:val=" "/>
      <w:lvlJc w:val="left"/>
      <w:pPr>
        <w:ind w:left="2160" w:hanging="480"/>
      </w:pPr>
    </w:lvl>
    <w:lvl w:ilvl="3">
      <w:start w:val="0"/>
      <w:numFmt w:val="bullet"/>
      <w:lvlText w:val=" "/>
      <w:lvlJc w:val="left"/>
      <w:pPr>
        <w:ind w:left="2880" w:hanging="480"/>
      </w:pPr>
    </w:lvl>
    <w:lvl w:ilvl="4">
      <w:start w:val="0"/>
      <w:numFmt w:val="bullet"/>
      <w:lvlText w:val=" "/>
      <w:lvlJc w:val="left"/>
      <w:pPr>
        <w:ind w:left="3600" w:hanging="480"/>
      </w:pPr>
    </w:lvl>
    <w:lvl w:ilvl="5">
      <w:start w:val="0"/>
      <w:numFmt w:val="bullet"/>
      <w:lvlText w:val=" "/>
      <w:lvlJc w:val="left"/>
      <w:pPr>
        <w:ind w:left="4320" w:hanging="480"/>
      </w:pPr>
    </w:lvl>
    <w:lvl w:ilvl="6">
      <w:start w:val="0"/>
      <w:numFmt w:val="bullet"/>
      <w:lvlText w:val=" "/>
      <w:lvlJc w:val="left"/>
      <w:pPr>
        <w:ind w:left="5040" w:hanging="480"/>
      </w:pPr>
    </w:lvl>
    <w:lvl w:ilvl="7">
      <w:start w:val="0"/>
      <w:numFmt w:val="bullet"/>
      <w:lvlText w:val=" "/>
      <w:lvlJc w:val="left"/>
      <w:pPr>
        <w:ind w:left="5760" w:hanging="480"/>
      </w:pPr>
    </w:lvl>
    <w:lvl w:ilvl="8">
      <w:start w:val="0"/>
      <w:numFmt w:val="bullet"/>
      <w:lvlText w:val=" "/>
      <w:lvlJc w:val="left"/>
      <w:pPr>
        <w:ind w:left="6480" w:hanging="480"/>
      </w:pPr>
    </w:lvl>
  </w:abstractNum>
  <w:abstractNum w:abstractNumId="11">
    <w:nsid w:val="0000A991"/>
    <w:multiLevelType w:val="multilevel"/>
    <w:tmpl w:val="05EEB5E4"/>
    <w:lvl w:ilvl="0">
      <w:start w:val="0"/>
      <w:numFmt w:val="bullet"/>
      <w:lvlText w:val="•"/>
      <w:lvlJc w:val="left"/>
      <w:pPr>
        <w:ind w:left="720" w:hanging="480"/>
      </w:p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2">
    <w:nsid w:val="00A99411"/>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
    <w:nsid w:val="0E04727E"/>
    <w:multiLevelType w:val="multilevel"/>
    <w:tmpl w:val="E15AC8F6"/>
    <w:lvl w:ilvl="0">
      <w:start w:val="1"/>
      <w:numFmt w:val="decimal"/>
      <w:lvlText w:val="%1)"/>
      <w:lvlJc w:val="left"/>
      <w:pPr>
        <w:ind w:left="720" w:hanging="480"/>
      </w:pPr>
      <w:rPr>
        <w:rFonts w:hint="eastAsia"/>
      </w:rPr>
    </w:lvl>
    <w:lvl w:ilvl="1">
      <w:start w:val="1"/>
      <w:numFmt w:val="lowerLetter"/>
      <w:lvlText w:val="%2."/>
      <w:lvlJc w:val="left"/>
      <w:pPr>
        <w:ind w:left="1440" w:hanging="480"/>
      </w:pPr>
      <w:rPr>
        <w:rFonts w:hint="eastAsia"/>
      </w:rPr>
    </w:lvl>
    <w:lvl w:ilvl="2">
      <w:start w:val="1"/>
      <w:numFmt w:val="lowerRoman"/>
      <w:lvlText w:val="%3."/>
      <w:lvlJc w:val="left"/>
      <w:pPr>
        <w:ind w:left="2160" w:hanging="480"/>
      </w:pPr>
      <w:rPr>
        <w:rFonts w:hint="eastAsia"/>
      </w:rPr>
    </w:lvl>
    <w:lvl w:ilvl="3">
      <w:start w:val="1"/>
      <w:numFmt w:val="decimal"/>
      <w:lvlText w:val="%4."/>
      <w:lvlJc w:val="left"/>
      <w:pPr>
        <w:ind w:left="2880" w:hanging="480"/>
      </w:pPr>
      <w:rPr>
        <w:rFonts w:hint="eastAsia"/>
      </w:rPr>
    </w:lvl>
    <w:lvl w:ilvl="4">
      <w:start w:val="1"/>
      <w:numFmt w:val="decimal"/>
      <w:lvlText w:val="%5."/>
      <w:lvlJc w:val="left"/>
      <w:pPr>
        <w:ind w:left="3600" w:hanging="480"/>
      </w:pPr>
      <w:rPr>
        <w:rFonts w:hint="eastAsia"/>
      </w:rPr>
    </w:lvl>
    <w:lvl w:ilvl="5">
      <w:start w:val="1"/>
      <w:numFmt w:val="decimal"/>
      <w:lvlText w:val="%6."/>
      <w:lvlJc w:val="left"/>
      <w:pPr>
        <w:ind w:left="4320" w:hanging="480"/>
      </w:pPr>
      <w:rPr>
        <w:rFonts w:hint="eastAsia"/>
      </w:rPr>
    </w:lvl>
    <w:lvl w:ilvl="6">
      <w:start w:val="1"/>
      <w:numFmt w:val="decimal"/>
      <w:lvlText w:val="%7."/>
      <w:lvlJc w:val="left"/>
      <w:pPr>
        <w:ind w:left="5040" w:hanging="480"/>
      </w:pPr>
      <w:rPr>
        <w:rFonts w:hint="eastAsia"/>
      </w:rPr>
    </w:lvl>
    <w:lvl w:ilvl="7">
      <w:start w:val="1"/>
      <w:numFmt w:val="decimal"/>
      <w:lvlText w:val="%8."/>
      <w:lvlJc w:val="left"/>
      <w:pPr>
        <w:ind w:left="5760" w:hanging="480"/>
      </w:pPr>
      <w:rPr>
        <w:rFonts w:hint="eastAsia"/>
      </w:rPr>
    </w:lvl>
    <w:lvl w:ilvl="8">
      <w:start w:val="1"/>
      <w:numFmt w:val="decimal"/>
      <w:lvlText w:val="%9."/>
      <w:lvlJc w:val="left"/>
      <w:pPr>
        <w:ind w:left="6480" w:hanging="480"/>
      </w:pPr>
      <w:rPr>
        <w:rFonts w:hint="eastAsia"/>
      </w:rPr>
    </w:lvl>
  </w:abstractNum>
  <w:abstractNum w:abstractNumId="14">
    <w:nsid w:val="11CF6EE7"/>
    <w:multiLevelType w:val="multilevel"/>
    <w:tmpl w:val="A88EEDBC"/>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suff w:val="space"/>
      <w:lvlText w:val="%1.%2.%3.%4.%5"/>
      <w:lvlJc w:val="left"/>
      <w:pPr>
        <w:ind w:left="0" w:firstLine="0"/>
      </w:pPr>
      <w:rPr>
        <w:rFonts w:hint="eastAsia"/>
      </w:rPr>
    </w:lvl>
    <w:lvl w:ilvl="5">
      <w:start w:val="1"/>
      <w:numFmt w:val="decimal"/>
      <w:suff w:val="space"/>
      <w:lvlText w:val="%1.%2.%3.%4.%5.%6"/>
      <w:lvlJc w:val="left"/>
      <w:pPr>
        <w:ind w:left="0" w:firstLine="0"/>
      </w:pPr>
      <w:rPr>
        <w:rFonts w:hint="eastAsia"/>
      </w:rPr>
    </w:lvl>
    <w:lvl w:ilvl="6">
      <w:start w:val="1"/>
      <w:numFmt w:val="decimal"/>
      <w:suff w:val="space"/>
      <w:lvlText w:val="%1.%2.%3.%4.%5.%6.%7"/>
      <w:lvlJc w:val="left"/>
      <w:pPr>
        <w:ind w:left="0" w:firstLine="0"/>
      </w:pPr>
      <w:rPr>
        <w:rFonts w:hint="eastAsia"/>
      </w:rPr>
    </w:lvl>
    <w:lvl w:ilvl="7">
      <w:start w:val="1"/>
      <w:numFmt w:val="decimal"/>
      <w:suff w:val="space"/>
      <w:lvlText w:val="%1.%2.%3.%4.%5.%6.%7.%8"/>
      <w:lvlJc w:val="left"/>
      <w:pPr>
        <w:ind w:left="0" w:firstLine="0"/>
      </w:pPr>
      <w:rPr>
        <w:rFonts w:hint="eastAsia"/>
      </w:rPr>
    </w:lvl>
    <w:lvl w:ilvl="8">
      <w:start w:val="1"/>
      <w:numFmt w:val="decimal"/>
      <w:suff w:val="space"/>
      <w:lvlText w:val="%1.%2.%3.%4.%5.%6.%7.%8.%9"/>
      <w:lvlJc w:val="left"/>
      <w:pPr>
        <w:ind w:left="0" w:firstLine="0"/>
      </w:pPr>
      <w:rPr>
        <w:rFonts w:hint="eastAsia"/>
      </w:rPr>
    </w:lvl>
  </w:abstractNum>
  <w:abstractNum w:abstractNumId="15">
    <w:nsid w:val="4144551B"/>
    <w:multiLevelType w:val="multilevel"/>
    <w:tmpl w:val="05EEB5E4"/>
    <w:lvl w:ilvl="0">
      <w:start w:val="0"/>
      <w:numFmt w:val="bullet"/>
      <w:lvlText w:val="•"/>
      <w:lvlJc w:val="left"/>
      <w:pPr>
        <w:ind w:left="720" w:hanging="480"/>
      </w:p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6">
    <w:nsid w:val="5F6AA2D8"/>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7">
    <w:nsid w:val="64DE5E58"/>
    <w:multiLevelType w:val="multilevel"/>
    <w:tmpl w:val="C2B2AA22"/>
    <w:lvl w:ilvl="0">
      <w:start w:val="1"/>
      <w:numFmt w:val="bullet"/>
      <w:lvlText w:val=""/>
      <w:lvlJc w:val="center"/>
      <w:pPr>
        <w:ind w:left="720" w:hanging="480"/>
      </w:pPr>
      <w:rPr>
        <w:rFonts w:ascii="Wingdings" w:hAnsi="Wingdings" w:hint="default"/>
      </w:r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8">
    <w:nsid w:val="720A5832"/>
    <w:multiLevelType w:val="multilevel"/>
    <w:tmpl w:val="05EEB5E4"/>
    <w:lvl w:ilvl="0">
      <w:start w:val="0"/>
      <w:numFmt w:val="bullet"/>
      <w:lvlText w:val="•"/>
      <w:lvlJc w:val="left"/>
      <w:pPr>
        <w:ind w:left="720" w:hanging="480"/>
      </w:p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9">
    <w:nsid w:val="7211BB07"/>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16cid:durableId="1844514363">
    <w:abstractNumId w:val="10"/>
  </w:num>
  <w:num w:numId="2" w16cid:durableId="1305817760">
    <w:abstractNumId w:val="11"/>
  </w:num>
  <w:num w:numId="3" w16cid:durableId="7022477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88088830">
    <w:abstractNumId w:val="11"/>
  </w:num>
  <w:num w:numId="5" w16cid:durableId="343823731">
    <w:abstractNumId w:val="8"/>
  </w:num>
  <w:num w:numId="6" w16cid:durableId="67509249">
    <w:abstractNumId w:val="3"/>
  </w:num>
  <w:num w:numId="7" w16cid:durableId="1439447107">
    <w:abstractNumId w:val="2"/>
  </w:num>
  <w:num w:numId="8" w16cid:durableId="1845440163">
    <w:abstractNumId w:val="1"/>
  </w:num>
  <w:num w:numId="9" w16cid:durableId="731200114">
    <w:abstractNumId w:val="0"/>
  </w:num>
  <w:num w:numId="10" w16cid:durableId="1151336791">
    <w:abstractNumId w:val="9"/>
  </w:num>
  <w:num w:numId="11" w16cid:durableId="1082801689">
    <w:abstractNumId w:val="7"/>
  </w:num>
  <w:num w:numId="12" w16cid:durableId="814644599">
    <w:abstractNumId w:val="6"/>
  </w:num>
  <w:num w:numId="13" w16cid:durableId="1335958112">
    <w:abstractNumId w:val="5"/>
  </w:num>
  <w:num w:numId="14" w16cid:durableId="348022997">
    <w:abstractNumId w:val="4"/>
  </w:num>
  <w:num w:numId="15" w16cid:durableId="1312171763">
    <w:abstractNumId w:val="13"/>
  </w:num>
  <w:num w:numId="16" w16cid:durableId="1782609997">
    <w:abstractNumId w:val="17"/>
  </w:num>
  <w:num w:numId="17" w16cid:durableId="160001286">
    <w:abstractNumId w:val="14"/>
  </w:num>
  <w:num w:numId="18">
    <w:abstractNumId w:val="10"/>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 w:numId="23">
    <w:abstractNumId w:val="11"/>
  </w:num>
  <w:num w:numId="24">
    <w:abstractNumId w:val="11"/>
  </w:num>
  <w:num w:numId="25">
    <w:abstractNumId w:val="11"/>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 w:numId="29">
    <w:abstractNumId w:val="11"/>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num>
  <w:num w:numId="38">
    <w:abstractNumId w:val="11"/>
  </w:num>
  <w:num w:numId="39">
    <w:abstractNumId w:val="11"/>
  </w:num>
  <w:num w:numId="40">
    <w:abstractNumId w:val="11"/>
  </w:num>
  <w:num w:numId="41">
    <w:abstractNumId w:val="11"/>
  </w:num>
  <w:num w:numId="42">
    <w:abstractNumId w:val="11"/>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1"/>
  </w:num>
  <w:num w:numId="45">
    <w:abstractNumId w:val="11"/>
  </w:num>
  <w:num w:numId="46">
    <w:abstractNumId w:val="11"/>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8"/>
  </w:num>
  <w:num w:numId="53">
    <w:abstractNumId w:val="15"/>
  </w:num>
  <w:num w:numId="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0004"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isibleStyles="0"/>
  <w:doNotTrackMove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DDE"/>
    <w:rsid w:val="00057430"/>
    <w:rsid w:val="00083A05"/>
    <w:rsid w:val="00090279"/>
    <w:rsid w:val="000915A7"/>
    <w:rsid w:val="001912E9"/>
    <w:rsid w:val="001B2928"/>
    <w:rsid w:val="001F3289"/>
    <w:rsid w:val="00227FCA"/>
    <w:rsid w:val="00312938"/>
    <w:rsid w:val="00365D4F"/>
    <w:rsid w:val="003A401E"/>
    <w:rsid w:val="003C2D5C"/>
    <w:rsid w:val="003C33F8"/>
    <w:rsid w:val="003D1DDE"/>
    <w:rsid w:val="00446E08"/>
    <w:rsid w:val="004C1B52"/>
    <w:rsid w:val="00513E5E"/>
    <w:rsid w:val="00553978"/>
    <w:rsid w:val="0056461B"/>
    <w:rsid w:val="005B4EFC"/>
    <w:rsid w:val="005E0D36"/>
    <w:rsid w:val="005F7817"/>
    <w:rsid w:val="00666710"/>
    <w:rsid w:val="0067144A"/>
    <w:rsid w:val="00697CE1"/>
    <w:rsid w:val="006F367C"/>
    <w:rsid w:val="00756227"/>
    <w:rsid w:val="007F612A"/>
    <w:rsid w:val="008803E1"/>
    <w:rsid w:val="00885E58"/>
    <w:rsid w:val="008E0E2E"/>
    <w:rsid w:val="008F24D2"/>
    <w:rsid w:val="0095500F"/>
    <w:rsid w:val="00960F71"/>
    <w:rsid w:val="00991F08"/>
    <w:rsid w:val="009F49BA"/>
    <w:rsid w:val="00B10F95"/>
    <w:rsid w:val="00B65C77"/>
    <w:rsid w:val="00B966D1"/>
    <w:rsid w:val="00B967C9"/>
    <w:rsid w:val="00BD6163"/>
    <w:rsid w:val="00C16290"/>
    <w:rsid w:val="00C24453"/>
    <w:rsid w:val="00C40A8F"/>
    <w:rsid w:val="00D72DD5"/>
    <w:rsid w:val="00E07D1D"/>
    <w:rsid w:val="00E463AB"/>
    <w:rsid w:val="00E7492F"/>
    <w:rsid w:val="00F52B7B"/>
    <w:rsid w:val="00F909F9"/>
    <w:rsid w:val="00F96E73"/>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56227"/>
    <w:rPr>
      <w:rFonts w:ascii="Times New Roman" w:hAnsi="Times New Roman"/>
    </w:rPr>
  </w:style>
  <w:style w:type="paragraph" w:styleId="Heading1">
    <w:name w:val="heading 1"/>
    <w:next w:val="BodyText"/>
    <w:uiPriority w:val="9"/>
    <w:qFormat/>
    <w:rsid w:val="00B10F95"/>
    <w:pPr>
      <w:keepNext/>
      <w:keepLines/>
      <w:pageBreakBefore/>
      <w:spacing w:before="480" w:after="0" w:line="360" w:lineRule="auto"/>
      <w:jc w:val="center"/>
      <w:outlineLvl w:val="0"/>
    </w:pPr>
    <w:rPr>
      <w:rFonts w:ascii="Times New Roman" w:eastAsia="黑体" w:hAnsi="Times New Roman" w:cstheme="majorBidi"/>
      <w:b/>
      <w:bCs/>
      <w:sz w:val="36"/>
      <w:szCs w:val="32"/>
    </w:rPr>
  </w:style>
  <w:style w:type="paragraph" w:styleId="Heading2">
    <w:name w:val="heading 2"/>
    <w:next w:val="BodyText"/>
    <w:uiPriority w:val="9"/>
    <w:unhideWhenUsed/>
    <w:qFormat/>
    <w:rsid w:val="00E463AB"/>
    <w:pPr>
      <w:keepNext/>
      <w:keepLines/>
      <w:spacing w:before="200" w:after="0"/>
      <w:outlineLvl w:val="1"/>
    </w:pPr>
    <w:rPr>
      <w:rFonts w:ascii="Times New Roman" w:eastAsia="黑体" w:hAnsi="Times New Roman" w:cstheme="majorBidi"/>
      <w:b/>
      <w:bCs/>
      <w:sz w:val="30"/>
      <w:szCs w:val="28"/>
    </w:rPr>
  </w:style>
  <w:style w:type="paragraph" w:styleId="Heading3">
    <w:name w:val="heading 3"/>
    <w:next w:val="BodyText"/>
    <w:uiPriority w:val="9"/>
    <w:unhideWhenUsed/>
    <w:qFormat/>
    <w:rsid w:val="00E463AB"/>
    <w:pPr>
      <w:keepNext/>
      <w:keepLines/>
      <w:spacing w:before="100" w:beforeLines="100" w:after="0" w:line="360" w:lineRule="auto"/>
      <w:outlineLvl w:val="2"/>
    </w:pPr>
    <w:rPr>
      <w:rFonts w:ascii="Times New Roman" w:eastAsia="黑体" w:hAnsi="Times New Roman" w:cstheme="majorBidi"/>
      <w:b/>
      <w:bCs/>
    </w:rPr>
  </w:style>
  <w:style w:type="paragraph" w:styleId="Heading4">
    <w:name w:val="heading 4"/>
    <w:basedOn w:val="Normal"/>
    <w:next w:val="BodyText"/>
    <w:uiPriority w:val="9"/>
    <w:unhideWhenUsed/>
    <w:qFormat/>
    <w:rsid w:val="00E463AB"/>
    <w:pPr>
      <w:keepNext/>
      <w:keepLines/>
      <w:spacing w:before="200" w:after="0" w:line="360" w:lineRule="auto"/>
      <w:outlineLvl w:val="3"/>
    </w:pPr>
    <w:rPr>
      <w:rFonts w:eastAsia="黑体" w:cstheme="majorBidi"/>
      <w:bCs/>
      <w:iCs/>
      <w:lang w:eastAsia="zh-CN"/>
    </w:rPr>
  </w:style>
  <w:style w:type="paragraph" w:styleId="Heading5">
    <w:name w:val="heading 5"/>
    <w:basedOn w:val="Normal"/>
    <w:next w:val="BodyText"/>
    <w:uiPriority w:val="9"/>
    <w:unhideWhenUsed/>
    <w:qFormat/>
    <w:rsid w:val="00E463AB"/>
    <w:pPr>
      <w:keepNext/>
      <w:keepLines/>
      <w:spacing w:before="200" w:after="0" w:line="360" w:lineRule="auto"/>
      <w:outlineLvl w:val="4"/>
    </w:pPr>
    <w:rPr>
      <w:rFonts w:eastAsia="黑体" w:cstheme="majorBidi"/>
      <w:bCs/>
      <w:iCs/>
      <w:lang w:eastAsia="zh-CN"/>
    </w:rPr>
  </w:style>
  <w:style w:type="paragraph" w:styleId="Heading6">
    <w:name w:val="heading 6"/>
    <w:basedOn w:val="Normal"/>
    <w:next w:val="BodyText"/>
    <w:uiPriority w:val="9"/>
    <w:unhideWhenUsed/>
    <w:qFormat/>
    <w:rsid w:val="00E463AB"/>
    <w:pPr>
      <w:keepNext/>
      <w:keepLines/>
      <w:spacing w:before="200" w:after="0" w:line="360" w:lineRule="auto"/>
      <w:outlineLvl w:val="5"/>
    </w:pPr>
    <w:rPr>
      <w:rFonts w:eastAsia="黑体" w:cstheme="majorBidi"/>
      <w:bCs/>
      <w:lang w:eastAsia="zh-CN"/>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3"/>
    <w:qFormat/>
    <w:pPr>
      <w:spacing w:before="180" w:after="180"/>
    </w:pPr>
  </w:style>
  <w:style w:type="paragraph" w:customStyle="1" w:styleId="FirstParagraph">
    <w:name w:val="First Paragraph"/>
    <w:basedOn w:val="BodyText"/>
    <w:next w:val="BodyText"/>
    <w:qFormat/>
    <w:rsid w:val="001B2928"/>
    <w:pPr>
      <w:ind w:firstLine="200" w:firstLineChars="200"/>
    </w:pPr>
  </w:style>
  <w:style w:type="paragraph" w:customStyle="1" w:styleId="Compact">
    <w:name w:val="Compact"/>
    <w:basedOn w:val="BodyText"/>
    <w:qFormat/>
    <w:rsid w:val="009F49BA"/>
    <w:pPr>
      <w:spacing w:before="36" w:after="36"/>
    </w:pPr>
  </w:style>
  <w:style w:type="paragraph" w:styleId="Title">
    <w:name w:val="Title"/>
    <w:basedOn w:val="Normal"/>
    <w:next w:val="BodyText"/>
    <w:qFormat/>
    <w:rsid w:val="00227FCA"/>
    <w:pPr>
      <w:keepNext/>
      <w:keepLines/>
      <w:spacing w:before="480" w:after="240"/>
      <w:jc w:val="center"/>
    </w:pPr>
    <w:rPr>
      <w:rFonts w:eastAsia="黑体"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rsid w:val="00553978"/>
    <w:pPr>
      <w:keepNext/>
      <w:keepLines/>
      <w:jc w:val="center"/>
    </w:pPr>
    <w:rPr>
      <w:rFonts w:ascii="Times New Roman" w:hAnsi="Times New Roman"/>
    </w:r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rsid w:val="00057430"/>
    <w:pPr>
      <w:pBdr>
        <w:top w:val="single" w:sz="8" w:space="1" w:color="auto" w:shadow="1"/>
        <w:left w:val="single" w:sz="8" w:space="4" w:color="auto" w:shadow="1"/>
        <w:bottom w:val="single" w:sz="8" w:space="1" w:color="auto" w:shadow="1"/>
        <w:right w:val="single" w:sz="8" w:space="4" w:color="auto" w:shadow="1"/>
      </w:pBdr>
      <w:shd w:val="clear" w:color="auto" w:fill="D9D9D9" w:themeFill="background1" w:themeFillShade="D9"/>
      <w:spacing w:before="100" w:after="100"/>
      <w:ind w:left="57" w:right="482"/>
    </w:pPr>
  </w:style>
  <w:style w:type="paragraph" w:styleId="FootnoteText">
    <w:name w:val="footnote text"/>
    <w:basedOn w:val="Normal"/>
    <w:uiPriority w:val="9"/>
    <w:unhideWhenUsed/>
    <w:qFormat/>
  </w:style>
  <w:style w:type="table" w:customStyle="1" w:styleId="Table">
    <w:name w:val="Table"/>
    <w:semiHidden/>
    <w:unhideWhenUsed/>
    <w:qFormat/>
    <w:rsid w:val="00697CE1"/>
    <w:pPr>
      <w:jc w:val="center"/>
    </w:pPr>
    <w:rPr>
      <w:rFonts w:ascii="Times New Roman" w:hAnsi="Times New Roman"/>
      <w:sz w:val="20"/>
      <w:szCs w:val="20"/>
      <w:lang w:eastAsia="zh-CN"/>
    </w:rPr>
    <w:tblPr>
      <w:jc w:val="center"/>
      <w:tblInd w:w="0" w:type="dxa"/>
      <w:tblBorders>
        <w:top w:val="single" w:sz="12" w:space="0" w:color="auto"/>
        <w:bottom w:val="single" w:sz="12" w:space="0" w:color="auto"/>
      </w:tblBorders>
      <w:tblCellMar>
        <w:top w:w="0" w:type="dxa"/>
        <w:left w:w="108" w:type="dxa"/>
        <w:bottom w:w="0" w:type="dxa"/>
        <w:right w:w="108" w:type="dxa"/>
      </w:tblCellMar>
    </w:tblPr>
    <w:trPr>
      <w:jc w:val="center"/>
    </w:trPr>
    <w:tcPr>
      <w:shd w:val="clear" w:color="auto" w:fill="auto"/>
      <w:vAlign w:val="center"/>
    </w:tcPr>
    <w:tblStylePr w:type="firstRow">
      <w:pPr>
        <w:jc w:val="center"/>
      </w:pPr>
      <w:rPr>
        <w:rFonts w:ascii="Times New Roman" w:eastAsia="黑体" w:hAnsi="Times New Roman"/>
        <w:b/>
      </w:rPr>
      <w:tblPr/>
      <w:tcPr>
        <w:tcBorders>
          <w:bottom w:val="single" w:sz="0" w:space="0" w:color="auto"/>
        </w:tcBorders>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next w:val="FirstParagraph"/>
    <w:link w:val="a"/>
    <w:autoRedefine/>
    <w:rsid w:val="00090279"/>
    <w:pPr>
      <w:spacing w:after="120"/>
      <w:ind w:left="240" w:right="100" w:leftChars="100" w:rightChars="100"/>
      <w:jc w:val="center"/>
    </w:pPr>
    <w:rPr>
      <w:rFonts w:ascii="Times New Roman" w:hAnsi="Times New Roman"/>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rsid w:val="007F612A"/>
    <w:pPr>
      <w:jc w:val="center"/>
    </w:pPr>
  </w:style>
  <w:style w:type="paragraph" w:customStyle="1" w:styleId="CaptionedFigure">
    <w:name w:val="Captioned Figure"/>
    <w:basedOn w:val="Figure"/>
    <w:pPr>
      <w:keepNext/>
    </w:pPr>
  </w:style>
  <w:style w:type="character" w:customStyle="1" w:styleId="a">
    <w:name w:val="题注 字符"/>
    <w:basedOn w:val="DefaultParagraphFont"/>
    <w:link w:val="Caption"/>
    <w:rsid w:val="00090279"/>
    <w:rPr>
      <w:rFonts w:ascii="Times New Roman" w:hAnsi="Times New Roman"/>
    </w:rPr>
  </w:style>
  <w:style w:type="character" w:customStyle="1" w:styleId="VerbatimChar">
    <w:name w:val="Verbatim Char"/>
    <w:basedOn w:val="a"/>
    <w:link w:val="SourceCode"/>
    <w:rsid w:val="00365D4F"/>
    <w:rPr>
      <w:rFonts w:ascii="Fira Code" w:eastAsia="宋体" w:hAnsi="Fira Code" w:cs="Times New Roman (正文 CS 字体)"/>
      <w:color w:val="404040" w:themeColor="text1" w:themeTint="BF"/>
      <w:sz w:val="21"/>
      <w:shd w:val="pct5" w:color="auto" w:fill="auto"/>
      <w:lang w:eastAsia="zh-CN"/>
    </w:rPr>
  </w:style>
  <w:style w:type="character" w:customStyle="1" w:styleId="SectionNumber">
    <w:name w:val="Section Number"/>
    <w:basedOn w:val="a"/>
    <w:rPr>
      <w:rFonts w:ascii="Times New Roman" w:hAnsi="Times New Roman"/>
    </w:rPr>
  </w:style>
  <w:style w:type="character" w:styleId="FootnoteReference">
    <w:name w:val="footnote reference"/>
    <w:basedOn w:val="a"/>
    <w:rPr>
      <w:rFonts w:ascii="Times New Roman" w:hAnsi="Times New Roman"/>
      <w:vertAlign w:val="superscript"/>
    </w:rPr>
  </w:style>
  <w:style w:type="character" w:styleId="Hyperlink">
    <w:name w:val="Hyperlink"/>
    <w:basedOn w:val="a"/>
    <w:uiPriority w:val="99"/>
    <w:rsid w:val="00D72DD5"/>
    <w:rPr>
      <w:rFonts w:ascii="Times New Roman" w:hAnsi="Times New Roman"/>
      <w:color w:val="4F81BD" w:themeColor="accent1"/>
      <w:u w:val="none"/>
    </w:rPr>
  </w:style>
  <w:style w:type="paragraph" w:styleId="TOCHeading">
    <w:name w:val="TOC Heading"/>
    <w:basedOn w:val="Title"/>
    <w:next w:val="BodyText"/>
    <w:uiPriority w:val="39"/>
    <w:unhideWhenUsed/>
    <w:qFormat/>
    <w:rsid w:val="008F24D2"/>
    <w:pPr>
      <w:spacing w:before="240"/>
    </w:pPr>
    <w:rPr>
      <w:b w:val="0"/>
      <w:bCs w:val="0"/>
    </w:rPr>
  </w:style>
  <w:style w:type="paragraph" w:customStyle="1" w:styleId="SourceCode">
    <w:name w:val="Source Code"/>
    <w:basedOn w:val="Normal"/>
    <w:link w:val="VerbatimChar"/>
    <w:autoRedefine/>
    <w:qFormat/>
    <w:rsid w:val="00365D4F"/>
    <w:pPr>
      <w:pBdr>
        <w:top w:val="single" w:sz="8" w:space="10" w:color="BFBFBF" w:themeColor="background1" w:themeShade="BF"/>
        <w:left w:val="single" w:sz="8" w:space="10" w:color="BFBFBF" w:themeColor="background1" w:themeShade="BF"/>
        <w:bottom w:val="single" w:sz="8" w:space="10" w:color="BFBFBF" w:themeColor="background1" w:themeShade="BF"/>
        <w:right w:val="single" w:sz="8" w:space="10" w:color="BFBFBF" w:themeColor="background1" w:themeShade="BF"/>
      </w:pBdr>
      <w:shd w:val="pct5" w:color="auto" w:fill="auto"/>
      <w:wordWrap w:val="0"/>
    </w:pPr>
    <w:rPr>
      <w:rFonts w:ascii="Fira Code" w:eastAsia="宋体" w:hAnsi="Fira Code" w:cs="Times New Roman (正文 CS 字体)"/>
      <w:color w:val="404040" w:themeColor="text1" w:themeTint="BF"/>
      <w:sz w:val="21"/>
      <w:shd w:val="pct5" w:color="auto" w:fill="auto"/>
      <w:lang w:eastAsia="zh-CN"/>
    </w:rPr>
  </w:style>
  <w:style w:type="character" w:customStyle="1" w:styleId="KeywordTok">
    <w:name w:val="KeywordTok"/>
    <w:basedOn w:val="VerbatimChar"/>
    <w:rPr>
      <w:rFonts w:ascii="Fira Code" w:eastAsia="宋体" w:hAnsi="Fira Code" w:cs="Times New Roman (正文 CS 字体)"/>
      <w:color w:val="D73A49"/>
      <w:sz w:val="21"/>
      <w:shd w:val="pct5" w:color="auto" w:fill="auto"/>
      <w:lang w:eastAsia="zh-CN"/>
    </w:rPr>
  </w:style>
  <w:style w:type="character" w:customStyle="1" w:styleId="DataTypeTok">
    <w:name w:val="DataTypeTok"/>
    <w:basedOn w:val="VerbatimChar"/>
    <w:rPr>
      <w:rFonts w:ascii="Fira Code" w:eastAsia="宋体" w:hAnsi="Fira Code" w:cs="Times New Roman (正文 CS 字体)"/>
      <w:color w:val="D73A49"/>
      <w:sz w:val="21"/>
      <w:shd w:val="pct5" w:color="auto" w:fill="auto"/>
      <w:lang w:eastAsia="zh-CN"/>
    </w:rPr>
  </w:style>
  <w:style w:type="character" w:customStyle="1" w:styleId="DecValTok">
    <w:name w:val="DecValTok"/>
    <w:basedOn w:val="VerbatimChar"/>
    <w:rPr>
      <w:rFonts w:ascii="Fira Code" w:eastAsia="宋体" w:hAnsi="Fira Code" w:cs="Times New Roman (正文 CS 字体)"/>
      <w:color w:val="005CC5"/>
      <w:sz w:val="21"/>
      <w:shd w:val="pct5" w:color="auto" w:fill="auto"/>
      <w:lang w:eastAsia="zh-CN"/>
    </w:rPr>
  </w:style>
  <w:style w:type="character" w:customStyle="1" w:styleId="BaseNTok">
    <w:name w:val="BaseNTok"/>
    <w:basedOn w:val="VerbatimChar"/>
    <w:rPr>
      <w:rFonts w:ascii="Fira Code" w:eastAsia="宋体" w:hAnsi="Fira Code" w:cs="Times New Roman (正文 CS 字体)"/>
      <w:color w:val="005CC5"/>
      <w:sz w:val="21"/>
      <w:shd w:val="pct5" w:color="auto" w:fill="auto"/>
      <w:lang w:eastAsia="zh-CN"/>
    </w:rPr>
  </w:style>
  <w:style w:type="character" w:customStyle="1" w:styleId="FloatTok">
    <w:name w:val="FloatTok"/>
    <w:basedOn w:val="VerbatimChar"/>
    <w:rPr>
      <w:rFonts w:ascii="Fira Code" w:eastAsia="宋体" w:hAnsi="Fira Code" w:cs="Times New Roman (正文 CS 字体)"/>
      <w:color w:val="005CC5"/>
      <w:sz w:val="21"/>
      <w:shd w:val="pct5" w:color="auto" w:fill="auto"/>
      <w:lang w:eastAsia="zh-CN"/>
    </w:rPr>
  </w:style>
  <w:style w:type="character" w:customStyle="1" w:styleId="ConstantTok">
    <w:name w:val="ConstantTok"/>
    <w:basedOn w:val="VerbatimChar"/>
    <w:rPr>
      <w:rFonts w:ascii="Fira Code" w:eastAsia="宋体" w:hAnsi="Fira Code" w:cs="Times New Roman (正文 CS 字体)"/>
      <w:color w:val="005CC5"/>
      <w:sz w:val="21"/>
      <w:shd w:val="pct5" w:color="auto" w:fill="auto"/>
      <w:lang w:eastAsia="zh-CN"/>
    </w:rPr>
  </w:style>
  <w:style w:type="character" w:customStyle="1" w:styleId="CharTok">
    <w:name w:val="CharTok"/>
    <w:basedOn w:val="VerbatimChar"/>
    <w:rPr>
      <w:rFonts w:ascii="Fira Code" w:eastAsia="宋体" w:hAnsi="Fira Code" w:cs="Times New Roman (正文 CS 字体)"/>
      <w:color w:val="032F62"/>
      <w:sz w:val="21"/>
      <w:shd w:val="pct5" w:color="auto" w:fill="auto"/>
      <w:lang w:eastAsia="zh-CN"/>
    </w:rPr>
  </w:style>
  <w:style w:type="character" w:customStyle="1" w:styleId="SpecialCharTok">
    <w:name w:val="SpecialCharTok"/>
    <w:basedOn w:val="VerbatimChar"/>
    <w:rPr>
      <w:rFonts w:ascii="Fira Code" w:eastAsia="宋体" w:hAnsi="Fira Code" w:cs="Times New Roman (正文 CS 字体)"/>
      <w:color w:val="005CC5"/>
      <w:sz w:val="21"/>
      <w:shd w:val="pct5" w:color="auto" w:fill="auto"/>
      <w:lang w:eastAsia="zh-CN"/>
    </w:rPr>
  </w:style>
  <w:style w:type="character" w:customStyle="1" w:styleId="StringTok">
    <w:name w:val="StringTok"/>
    <w:basedOn w:val="VerbatimChar"/>
    <w:rPr>
      <w:rFonts w:ascii="Fira Code" w:eastAsia="宋体" w:hAnsi="Fira Code" w:cs="Times New Roman (正文 CS 字体)"/>
      <w:color w:val="032F62"/>
      <w:sz w:val="21"/>
      <w:shd w:val="pct5" w:color="auto" w:fill="auto"/>
      <w:lang w:eastAsia="zh-CN"/>
    </w:rPr>
  </w:style>
  <w:style w:type="character" w:customStyle="1" w:styleId="VerbatimStringTok">
    <w:name w:val="VerbatimStringTok"/>
    <w:basedOn w:val="VerbatimChar"/>
    <w:rPr>
      <w:rFonts w:ascii="Fira Code" w:eastAsia="宋体" w:hAnsi="Fira Code" w:cs="Times New Roman (正文 CS 字体)"/>
      <w:color w:val="032F62"/>
      <w:sz w:val="21"/>
      <w:shd w:val="pct5" w:color="auto" w:fill="auto"/>
      <w:lang w:eastAsia="zh-CN"/>
    </w:rPr>
  </w:style>
  <w:style w:type="character" w:customStyle="1" w:styleId="SpecialStringTok">
    <w:name w:val="SpecialStringTok"/>
    <w:basedOn w:val="VerbatimChar"/>
    <w:rPr>
      <w:rFonts w:ascii="Fira Code" w:eastAsia="宋体" w:hAnsi="Fira Code" w:cs="Times New Roman (正文 CS 字体)"/>
      <w:color w:val="032F62"/>
      <w:sz w:val="21"/>
      <w:shd w:val="pct5" w:color="auto" w:fill="auto"/>
      <w:lang w:eastAsia="zh-CN"/>
    </w:rPr>
  </w:style>
  <w:style w:type="character" w:customStyle="1" w:styleId="ImportTok">
    <w:name w:val="ImportTok"/>
    <w:basedOn w:val="VerbatimChar"/>
    <w:rPr>
      <w:rFonts w:ascii="Fira Code" w:eastAsia="宋体" w:hAnsi="Fira Code" w:cs="Times New Roman (正文 CS 字体)"/>
      <w:color w:val="032F62"/>
      <w:sz w:val="21"/>
      <w:shd w:val="pct5" w:color="auto" w:fill="auto"/>
      <w:lang w:eastAsia="zh-CN"/>
    </w:rPr>
  </w:style>
  <w:style w:type="character" w:customStyle="1" w:styleId="CommentTok">
    <w:name w:val="CommentTok"/>
    <w:basedOn w:val="VerbatimChar"/>
    <w:rPr>
      <w:rFonts w:ascii="Fira Code" w:eastAsia="宋体" w:hAnsi="Fira Code" w:cs="Times New Roman (正文 CS 字体)"/>
      <w:color w:val="6A737D"/>
      <w:sz w:val="21"/>
      <w:shd w:val="pct5" w:color="auto" w:fill="auto"/>
      <w:lang w:eastAsia="zh-CN"/>
    </w:rPr>
  </w:style>
  <w:style w:type="character" w:customStyle="1" w:styleId="DocumentationTok">
    <w:name w:val="DocumentationTok"/>
    <w:basedOn w:val="VerbatimChar"/>
    <w:rPr>
      <w:rFonts w:ascii="Fira Code" w:eastAsia="宋体" w:hAnsi="Fira Code" w:cs="Times New Roman (正文 CS 字体)"/>
      <w:color w:val="6A737D"/>
      <w:sz w:val="21"/>
      <w:shd w:val="pct5" w:color="auto" w:fill="auto"/>
      <w:lang w:eastAsia="zh-CN"/>
    </w:rPr>
  </w:style>
  <w:style w:type="character" w:customStyle="1" w:styleId="AnnotationTok">
    <w:name w:val="AnnotationTok"/>
    <w:basedOn w:val="VerbatimChar"/>
    <w:rPr>
      <w:rFonts w:ascii="Fira Code" w:eastAsia="宋体" w:hAnsi="Fira Code" w:cs="Times New Roman (正文 CS 字体)"/>
      <w:color w:val="6A737D"/>
      <w:sz w:val="21"/>
      <w:shd w:val="pct5" w:color="auto" w:fill="auto"/>
      <w:lang w:eastAsia="zh-CN"/>
    </w:rPr>
  </w:style>
  <w:style w:type="character" w:customStyle="1" w:styleId="CommentVarTok">
    <w:name w:val="CommentVarTok"/>
    <w:basedOn w:val="VerbatimChar"/>
    <w:rPr>
      <w:rFonts w:ascii="Fira Code" w:eastAsia="宋体" w:hAnsi="Fira Code" w:cs="Times New Roman (正文 CS 字体)"/>
      <w:color w:val="6A737D"/>
      <w:sz w:val="21"/>
      <w:shd w:val="pct5" w:color="auto" w:fill="auto"/>
      <w:lang w:eastAsia="zh-CN"/>
    </w:rPr>
  </w:style>
  <w:style w:type="character" w:customStyle="1" w:styleId="OtherTok">
    <w:name w:val="OtherTok"/>
    <w:basedOn w:val="VerbatimChar"/>
    <w:rPr>
      <w:rFonts w:ascii="Fira Code" w:eastAsia="宋体" w:hAnsi="Fira Code" w:cs="Times New Roman (正文 CS 字体)"/>
      <w:color w:val="6F42C1"/>
      <w:sz w:val="21"/>
      <w:shd w:val="pct5" w:color="auto" w:fill="auto"/>
      <w:lang w:eastAsia="zh-CN"/>
    </w:rPr>
  </w:style>
  <w:style w:type="character" w:customStyle="1" w:styleId="FunctionTok">
    <w:name w:val="FunctionTok"/>
    <w:basedOn w:val="VerbatimChar"/>
    <w:rPr>
      <w:rFonts w:ascii="Fira Code" w:eastAsia="宋体" w:hAnsi="Fira Code" w:cs="Times New Roman (正文 CS 字体)"/>
      <w:color w:val="6F42C1"/>
      <w:sz w:val="21"/>
      <w:shd w:val="pct5" w:color="auto" w:fill="auto"/>
      <w:lang w:eastAsia="zh-CN"/>
    </w:rPr>
  </w:style>
  <w:style w:type="character" w:customStyle="1" w:styleId="VariableTok">
    <w:name w:val="VariableTok"/>
    <w:basedOn w:val="VerbatimChar"/>
    <w:rPr>
      <w:rFonts w:ascii="Fira Code" w:eastAsia="宋体" w:hAnsi="Fira Code" w:cs="Times New Roman (正文 CS 字体)"/>
      <w:color w:val="E36209"/>
      <w:sz w:val="21"/>
      <w:shd w:val="pct5" w:color="auto" w:fill="auto"/>
      <w:lang w:eastAsia="zh-CN"/>
    </w:rPr>
  </w:style>
  <w:style w:type="character" w:customStyle="1" w:styleId="ControlFlowTok">
    <w:name w:val="ControlFlowTok"/>
    <w:basedOn w:val="VerbatimChar"/>
    <w:rPr>
      <w:rFonts w:ascii="Fira Code" w:eastAsia="宋体" w:hAnsi="Fira Code" w:cs="Times New Roman (正文 CS 字体)"/>
      <w:color w:val="D73A49"/>
      <w:sz w:val="21"/>
      <w:shd w:val="pct5" w:color="auto" w:fill="auto"/>
      <w:lang w:eastAsia="zh-CN"/>
    </w:rPr>
  </w:style>
  <w:style w:type="character" w:customStyle="1" w:styleId="OperatorTok">
    <w:name w:val="OperatorTok"/>
    <w:basedOn w:val="VerbatimChar"/>
    <w:rPr>
      <w:rFonts w:ascii="Fira Code" w:eastAsia="宋体" w:hAnsi="Fira Code" w:cs="Times New Roman (正文 CS 字体)"/>
      <w:color w:val="24292E"/>
      <w:sz w:val="21"/>
      <w:shd w:val="pct5" w:color="auto" w:fill="auto"/>
      <w:lang w:eastAsia="zh-CN"/>
    </w:rPr>
  </w:style>
  <w:style w:type="character" w:customStyle="1" w:styleId="BuiltInTok">
    <w:name w:val="BuiltInTok"/>
    <w:basedOn w:val="VerbatimChar"/>
    <w:rPr>
      <w:rFonts w:ascii="Fira Code" w:eastAsia="宋体" w:hAnsi="Fira Code" w:cs="Times New Roman (正文 CS 字体)"/>
      <w:color w:val="D73A49"/>
      <w:sz w:val="21"/>
      <w:shd w:val="pct5" w:color="auto" w:fill="auto"/>
      <w:lang w:eastAsia="zh-CN"/>
    </w:rPr>
  </w:style>
  <w:style w:type="character" w:customStyle="1" w:styleId="ExtensionTok">
    <w:name w:val="ExtensionTok"/>
    <w:basedOn w:val="VerbatimChar"/>
    <w:rPr>
      <w:rFonts w:ascii="Fira Code" w:eastAsia="宋体" w:hAnsi="Fira Code" w:cs="Times New Roman (正文 CS 字体)"/>
      <w:b/>
      <w:color w:val="D73A49"/>
      <w:sz w:val="21"/>
      <w:shd w:val="pct5" w:color="auto" w:fill="auto"/>
      <w:lang w:eastAsia="zh-CN"/>
    </w:rPr>
  </w:style>
  <w:style w:type="character" w:customStyle="1" w:styleId="PreprocessorTok">
    <w:name w:val="PreprocessorTok"/>
    <w:basedOn w:val="VerbatimChar"/>
    <w:rPr>
      <w:rFonts w:ascii="Fira Code" w:eastAsia="宋体" w:hAnsi="Fira Code" w:cs="Times New Roman (正文 CS 字体)"/>
      <w:color w:val="D73A49"/>
      <w:sz w:val="21"/>
      <w:shd w:val="pct5" w:color="auto" w:fill="auto"/>
      <w:lang w:eastAsia="zh-CN"/>
    </w:rPr>
  </w:style>
  <w:style w:type="character" w:customStyle="1" w:styleId="AttributeTok">
    <w:name w:val="AttributeTok"/>
    <w:basedOn w:val="VerbatimChar"/>
    <w:rPr>
      <w:rFonts w:ascii="Fira Code" w:eastAsia="宋体" w:hAnsi="Fira Code" w:cs="Times New Roman (正文 CS 字体)"/>
      <w:color w:val="D73A49"/>
      <w:sz w:val="21"/>
      <w:shd w:val="pct5" w:color="auto" w:fill="auto"/>
      <w:lang w:eastAsia="zh-CN"/>
    </w:rPr>
  </w:style>
  <w:style w:type="character" w:customStyle="1" w:styleId="RegionMarkerTok">
    <w:name w:val="RegionMarkerTok"/>
    <w:basedOn w:val="VerbatimChar"/>
    <w:rPr>
      <w:rFonts w:ascii="Fira Code" w:eastAsia="宋体" w:hAnsi="Fira Code" w:cs="Times New Roman (正文 CS 字体)"/>
      <w:color w:val="6A737D"/>
      <w:sz w:val="21"/>
      <w:shd w:val="pct5" w:color="auto" w:fill="auto"/>
      <w:lang w:eastAsia="zh-CN"/>
    </w:rPr>
  </w:style>
  <w:style w:type="character" w:customStyle="1" w:styleId="InformationTok">
    <w:name w:val="InformationTok"/>
    <w:basedOn w:val="VerbatimChar"/>
    <w:rPr>
      <w:rFonts w:ascii="Fira Code" w:eastAsia="宋体" w:hAnsi="Fira Code" w:cs="Times New Roman (正文 CS 字体)"/>
      <w:color w:val="6A737D"/>
      <w:sz w:val="21"/>
      <w:shd w:val="pct5" w:color="auto" w:fill="auto"/>
      <w:lang w:eastAsia="zh-CN"/>
    </w:rPr>
  </w:style>
  <w:style w:type="character" w:customStyle="1" w:styleId="WarningTok">
    <w:name w:val="WarningTok"/>
    <w:basedOn w:val="VerbatimChar"/>
    <w:rPr>
      <w:rFonts w:ascii="Fira Code" w:eastAsia="宋体" w:hAnsi="Fira Code" w:cs="Times New Roman (正文 CS 字体)"/>
      <w:color w:val="FF5555"/>
      <w:sz w:val="21"/>
      <w:shd w:val="pct5" w:color="auto" w:fill="auto"/>
      <w:lang w:eastAsia="zh-CN"/>
    </w:rPr>
  </w:style>
  <w:style w:type="character" w:customStyle="1" w:styleId="AlertTok">
    <w:name w:val="AlertTok"/>
    <w:basedOn w:val="VerbatimChar"/>
    <w:rPr>
      <w:rFonts w:ascii="Fira Code" w:eastAsia="宋体" w:hAnsi="Fira Code" w:cs="Times New Roman (正文 CS 字体)"/>
      <w:b/>
      <w:color w:val="FF5555"/>
      <w:sz w:val="21"/>
      <w:shd w:val="pct5" w:color="auto" w:fill="auto"/>
      <w:lang w:eastAsia="zh-CN"/>
    </w:rPr>
  </w:style>
  <w:style w:type="character" w:customStyle="1" w:styleId="ErrorTok">
    <w:name w:val="ErrorTok"/>
    <w:basedOn w:val="VerbatimChar"/>
    <w:rPr>
      <w:rFonts w:ascii="Fira Code" w:eastAsia="宋体" w:hAnsi="Fira Code" w:cs="Times New Roman (正文 CS 字体)"/>
      <w:color w:val="FF5555"/>
      <w:sz w:val="21"/>
      <w:shd w:val="pct5" w:color="auto" w:fill="auto"/>
      <w:lang w:eastAsia="zh-CN"/>
    </w:rPr>
  </w:style>
  <w:style w:type="character" w:customStyle="1" w:styleId="NormalTok">
    <w:name w:val="NormalTok"/>
    <w:basedOn w:val="VerbatimChar"/>
    <w:rPr>
      <w:rFonts w:ascii="Fira Code" w:eastAsia="宋体" w:hAnsi="Fira Code" w:cs="Times New Roman (正文 CS 字体)"/>
      <w:color w:val="24292E"/>
      <w:sz w:val="21"/>
      <w:shd w:val="pct5" w:color="auto" w:fill="auto"/>
      <w:lang w:eastAsia="zh-CN"/>
    </w:rPr>
  </w:style>
  <w:style w:type="paragraph" w:styleId="TOC1">
    <w:name w:val="toc 1"/>
    <w:basedOn w:val="Normal"/>
    <w:next w:val="Normal"/>
    <w:autoRedefine/>
    <w:uiPriority w:val="39"/>
    <w:unhideWhenUsed/>
    <w:rsid w:val="0056461B"/>
    <w:rPr>
      <w:b/>
    </w:rPr>
  </w:style>
  <w:style w:type="paragraph" w:styleId="TOC2">
    <w:name w:val="toc 2"/>
    <w:basedOn w:val="Normal"/>
    <w:next w:val="Normal"/>
    <w:autoRedefine/>
    <w:uiPriority w:val="39"/>
    <w:unhideWhenUsed/>
    <w:rsid w:val="00365D4F"/>
    <w:pPr>
      <w:ind w:left="420" w:leftChars="200"/>
    </w:pPr>
  </w:style>
  <w:style w:type="paragraph" w:styleId="TOC3">
    <w:name w:val="toc 3"/>
    <w:basedOn w:val="Normal"/>
    <w:next w:val="Normal"/>
    <w:autoRedefine/>
    <w:uiPriority w:val="39"/>
    <w:unhideWhenUsed/>
    <w:rsid w:val="00365D4F"/>
    <w:pPr>
      <w:ind w:left="840" w:leftChars="400"/>
    </w:pPr>
  </w:style>
  <w:style w:type="paragraph" w:styleId="Header">
    <w:name w:val="header"/>
    <w:basedOn w:val="Normal"/>
    <w:link w:val="a0"/>
    <w:unhideWhenUsed/>
    <w:rsid w:val="00365D4F"/>
    <w:pPr>
      <w:pBdr>
        <w:bottom w:val="single" w:sz="6" w:space="1" w:color="auto"/>
      </w:pBdr>
      <w:tabs>
        <w:tab w:val="center" w:pos="4153"/>
        <w:tab w:val="right" w:pos="8306"/>
      </w:tabs>
      <w:snapToGrid w:val="0"/>
      <w:jc w:val="center"/>
    </w:pPr>
    <w:rPr>
      <w:sz w:val="18"/>
      <w:szCs w:val="18"/>
    </w:rPr>
  </w:style>
  <w:style w:type="character" w:customStyle="1" w:styleId="a0">
    <w:name w:val="页眉 字符"/>
    <w:basedOn w:val="DefaultParagraphFont"/>
    <w:link w:val="Header"/>
    <w:rsid w:val="00365D4F"/>
    <w:rPr>
      <w:sz w:val="18"/>
      <w:szCs w:val="18"/>
    </w:rPr>
  </w:style>
  <w:style w:type="paragraph" w:styleId="Footer">
    <w:name w:val="footer"/>
    <w:basedOn w:val="Normal"/>
    <w:link w:val="a1"/>
    <w:unhideWhenUsed/>
    <w:rsid w:val="00365D4F"/>
    <w:pPr>
      <w:tabs>
        <w:tab w:val="center" w:pos="4153"/>
        <w:tab w:val="right" w:pos="8306"/>
      </w:tabs>
      <w:snapToGrid w:val="0"/>
    </w:pPr>
    <w:rPr>
      <w:sz w:val="18"/>
      <w:szCs w:val="18"/>
    </w:rPr>
  </w:style>
  <w:style w:type="character" w:customStyle="1" w:styleId="a1">
    <w:name w:val="页脚 字符"/>
    <w:basedOn w:val="DefaultParagraphFont"/>
    <w:link w:val="Footer"/>
    <w:rsid w:val="00365D4F"/>
    <w:rPr>
      <w:sz w:val="18"/>
      <w:szCs w:val="18"/>
    </w:rPr>
  </w:style>
  <w:style w:type="table" w:customStyle="1" w:styleId="a2">
    <w:name w:val="三线表"/>
    <w:basedOn w:val="TableNormal"/>
    <w:uiPriority w:val="99"/>
    <w:rsid w:val="00B966D1"/>
    <w:pPr>
      <w:spacing w:after="0"/>
      <w:jc w:val="center"/>
    </w:pPr>
    <w:rPr>
      <w:rFonts w:ascii="Times New Roman" w:hAnsi="Times New Roman"/>
    </w:rPr>
    <w:tblPr>
      <w:tblBorders>
        <w:top w:val="single" w:sz="12" w:space="0" w:color="auto"/>
        <w:bottom w:val="single" w:sz="12" w:space="0" w:color="auto"/>
      </w:tblBorders>
    </w:tblPr>
    <w:tcPr>
      <w:vAlign w:val="center"/>
    </w:tcPr>
    <w:tblStylePr w:type="firstRow">
      <w:pPr>
        <w:jc w:val="center"/>
      </w:pPr>
      <w:rPr>
        <w:rFonts w:ascii="Times New Roman" w:hAnsi="Times New Roman" w:eastAsiaTheme="minorEastAsia"/>
        <w:b/>
      </w:rPr>
      <w:tblPr/>
      <w:tcPr>
        <w:tcBorders>
          <w:bottom w:val="single" w:sz="4" w:space="0" w:color="auto"/>
        </w:tcBorders>
        <w:vAlign w:val="center"/>
      </w:tcPr>
    </w:tblStylePr>
  </w:style>
  <w:style w:type="character" w:customStyle="1" w:styleId="a3">
    <w:name w:val="正文文本 字符"/>
    <w:basedOn w:val="DefaultParagraphFont"/>
    <w:link w:val="BodyText"/>
    <w:rsid w:val="00365D4F"/>
  </w:style>
  <w:style w:type="table" w:styleId="TableGrid">
    <w:name w:val="Table Grid"/>
    <w:basedOn w:val="TableNormal"/>
    <w:rsid w:val="00B966D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033112004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10</Pages>
  <Words>304</Words>
  <Characters>1738</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2024-03-16T17:38:26Z</dcterms:created>
  <dcterms:modified xsi:type="dcterms:W3CDTF">2024-03-16T17:38:26Z</dcterms:modified>
</cp:coreProperties>
</file>