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0" w:lineRule="atLeast"/>
        <w:outlineLvl w:val="2"/>
        <w:rPr>
          <w:rFonts w:eastAsia="黑体" w:cs="Times New Roman"/>
          <w:b/>
          <w:sz w:val="24"/>
          <w:szCs w:val="24"/>
        </w:rPr>
      </w:pPr>
      <w:bookmarkStart w:id="0" w:name="_Toc482405610"/>
      <w:bookmarkStart w:id="1" w:name="_Toc484883304"/>
      <w:bookmarkStart w:id="2" w:name="_Toc483476843"/>
      <w:bookmarkStart w:id="3" w:name="_Toc482405517"/>
      <w:bookmarkStart w:id="4" w:name="_Toc1797"/>
      <w:bookmarkStart w:id="5" w:name="_Toc32406"/>
      <w:bookmarkStart w:id="6" w:name="_Toc8075"/>
      <w:bookmarkStart w:id="7" w:name="_Toc484364288"/>
      <w:bookmarkStart w:id="8" w:name="_Toc469846343"/>
      <w:r>
        <w:rPr>
          <w:rFonts w:eastAsia="黑体" w:cs="Times New Roman"/>
          <w:b/>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cs="Times New Roman"/>
          <w:b/>
          <w:sz w:val="24"/>
          <w:szCs w:val="24"/>
        </w:rPr>
        <w:instrText>ADDIN CNKISM.UserStyle</w:instrText>
      </w:r>
      <w:r>
        <w:rPr>
          <w:rFonts w:eastAsia="黑体" w:cs="Times New Roman"/>
          <w:b/>
          <w:sz w:val="24"/>
          <w:szCs w:val="24"/>
        </w:rPr>
        <w:fldChar w:fldCharType="separate"/>
      </w:r>
      <w:r>
        <w:rPr>
          <w:rFonts w:eastAsia="黑体" w:cs="Times New Roman"/>
          <w:b/>
          <w:sz w:val="24"/>
          <w:szCs w:val="24"/>
        </w:rPr>
        <w:fldChar w:fldCharType="end"/>
      </w:r>
      <w:bookmarkStart w:id="9" w:name="_Toc533853756"/>
      <w:bookmarkStart w:id="10" w:name="_Toc532416636"/>
      <w:bookmarkStart w:id="11" w:name="_Toc532417347"/>
      <w:bookmarkStart w:id="12" w:name="_Toc3550169"/>
      <w:bookmarkStart w:id="13" w:name="_Toc3550031"/>
      <w:bookmarkStart w:id="14" w:name="_Toc3546943"/>
      <w:bookmarkStart w:id="15" w:name="_Toc532416513"/>
      <w:bookmarkStart w:id="16" w:name="_Toc2606719"/>
      <w:bookmarkStart w:id="17" w:name="_Toc53214364"/>
      <w:bookmarkStart w:id="18" w:name="_Toc53214489"/>
      <w:bookmarkStart w:id="19" w:name="_Toc72139682"/>
      <w:bookmarkStart w:id="20" w:name="_Toc3322323"/>
      <w:r>
        <w:rPr>
          <w:rFonts w:eastAsia="黑体" w:cs="Times New Roman"/>
          <w:b/>
          <w:sz w:val="24"/>
          <w:szCs w:val="24"/>
        </w:rPr>
        <w:t>UDC</w:t>
      </w:r>
      <w:bookmarkEnd w:id="9"/>
      <w:bookmarkEnd w:id="10"/>
      <w:bookmarkEnd w:id="11"/>
      <w:bookmarkEnd w:id="12"/>
      <w:bookmarkEnd w:id="13"/>
      <w:bookmarkEnd w:id="14"/>
      <w:bookmarkEnd w:id="15"/>
      <w:bookmarkEnd w:id="16"/>
      <w:bookmarkEnd w:id="17"/>
      <w:bookmarkEnd w:id="18"/>
      <w:bookmarkEnd w:id="19"/>
      <w:bookmarkEnd w:id="20"/>
    </w:p>
    <w:p>
      <w:pPr>
        <w:spacing w:line="440" w:lineRule="atLeast"/>
        <w:jc w:val="center"/>
        <w:outlineLvl w:val="2"/>
        <w:rPr>
          <w:rFonts w:eastAsia="黑体" w:cs="Times New Roman"/>
          <w:b/>
          <w:sz w:val="36"/>
          <w:szCs w:val="36"/>
        </w:rPr>
      </w:pPr>
      <w:bookmarkStart w:id="21" w:name="_Toc532416637"/>
      <w:bookmarkStart w:id="22" w:name="_Toc532416514"/>
      <w:bookmarkStart w:id="23" w:name="_Toc532417348"/>
      <w:bookmarkStart w:id="24" w:name="_Toc3322324"/>
      <w:bookmarkStart w:id="25" w:name="_Toc53214490"/>
      <w:bookmarkStart w:id="26" w:name="_Toc533853757"/>
      <w:bookmarkStart w:id="27" w:name="_Toc2606720"/>
      <w:bookmarkStart w:id="28" w:name="_Toc3546944"/>
      <w:bookmarkStart w:id="29" w:name="_Toc53214365"/>
      <w:bookmarkStart w:id="30" w:name="_Toc72139683"/>
      <w:bookmarkStart w:id="31" w:name="_Toc3550032"/>
      <w:bookmarkStart w:id="32" w:name="_Toc3550170"/>
      <w:r>
        <w:rPr>
          <w:rFonts w:eastAsia="黑体" w:cs="Times New Roman"/>
          <w:b/>
          <w:sz w:val="36"/>
          <w:szCs w:val="36"/>
        </w:rPr>
        <w:t>团 体 标 准</w:t>
      </w:r>
      <w:bookmarkEnd w:id="21"/>
      <w:bookmarkEnd w:id="22"/>
      <w:bookmarkEnd w:id="23"/>
      <w:bookmarkEnd w:id="24"/>
      <w:bookmarkEnd w:id="25"/>
      <w:bookmarkEnd w:id="26"/>
      <w:bookmarkEnd w:id="27"/>
      <w:bookmarkEnd w:id="28"/>
      <w:bookmarkEnd w:id="29"/>
      <w:bookmarkEnd w:id="30"/>
      <w:bookmarkEnd w:id="31"/>
      <w:bookmarkEnd w:id="32"/>
    </w:p>
    <w:p>
      <w:pPr>
        <w:rPr>
          <w:rFonts w:cs="Times New Roman"/>
          <w:b/>
          <w:bCs/>
          <w:sz w:val="24"/>
          <w:szCs w:val="24"/>
        </w:rPr>
      </w:pPr>
      <w:r>
        <w:rPr>
          <w:rFonts w:cs="Times New Roman"/>
          <w:b/>
          <w:bCs/>
          <w:sz w:val="24"/>
          <w:szCs w:val="24"/>
        </w:rPr>
        <w:t>P                              T/CMCA 400X─202X</w:t>
      </w:r>
    </w:p>
    <w:p>
      <w:pPr>
        <w:rPr>
          <w:rFonts w:cs="Times New Roman"/>
          <w:b/>
          <w:kern w:val="44"/>
          <w:sz w:val="36"/>
          <w:szCs w:val="24"/>
        </w:rPr>
      </w:pPr>
      <w:r>
        <w:rPr>
          <w:rFonts w:cs="Times New Roman"/>
          <w:szCs w:val="24"/>
        </w:rPr>
        <w:t>__________________________________________________________</w:t>
      </w:r>
    </w:p>
    <w:p>
      <w:pPr>
        <w:keepNext/>
        <w:keepLines/>
        <w:spacing w:before="100" w:after="100" w:line="440" w:lineRule="exact"/>
        <w:jc w:val="center"/>
        <w:outlineLvl w:val="0"/>
        <w:rPr>
          <w:rFonts w:cs="Times New Roman"/>
          <w:b/>
          <w:kern w:val="44"/>
          <w:sz w:val="36"/>
          <w:szCs w:val="24"/>
        </w:rPr>
      </w:pPr>
      <w:bookmarkStart w:id="33" w:name="_Toc482405604"/>
      <w:bookmarkStart w:id="34" w:name="_Toc483476420"/>
      <w:bookmarkStart w:id="35" w:name="_Toc470624834"/>
      <w:bookmarkStart w:id="36" w:name="_Toc15060"/>
      <w:bookmarkStart w:id="37" w:name="_Toc480380745"/>
      <w:bookmarkStart w:id="38" w:name="_Toc476082586"/>
      <w:bookmarkStart w:id="39" w:name="_Toc469924209"/>
      <w:bookmarkStart w:id="40" w:name="_Toc476082669"/>
      <w:bookmarkStart w:id="41" w:name="_Toc476057938"/>
      <w:bookmarkStart w:id="42" w:name="_Toc31712"/>
      <w:bookmarkStart w:id="43" w:name="_Toc484883298"/>
      <w:bookmarkStart w:id="44" w:name="_Toc469921323"/>
      <w:bookmarkStart w:id="45" w:name="_Toc472163289"/>
      <w:bookmarkStart w:id="46" w:name="_Toc480374648"/>
      <w:bookmarkStart w:id="47" w:name="_Toc472091742"/>
      <w:bookmarkStart w:id="48" w:name="_Toc482405511"/>
      <w:bookmarkStart w:id="49" w:name="_Toc472071042"/>
      <w:bookmarkStart w:id="50" w:name="_Toc484880455"/>
      <w:bookmarkStart w:id="51" w:name="_Toc472163553"/>
      <w:bookmarkStart w:id="52" w:name="_Toc6552"/>
      <w:bookmarkStart w:id="53" w:name="_Toc484364407"/>
      <w:bookmarkStart w:id="54" w:name="_Toc480485773"/>
      <w:bookmarkStart w:id="55" w:name="_Toc484364282"/>
      <w:bookmarkStart w:id="56" w:name="_Toc482375381"/>
      <w:bookmarkStart w:id="57" w:name="_Toc72139684"/>
      <w:bookmarkStart w:id="58" w:name="_Toc53214491"/>
      <w:bookmarkStart w:id="59" w:name="_Toc532416638"/>
      <w:bookmarkStart w:id="60" w:name="_Toc53214366"/>
      <w:bookmarkStart w:id="61" w:name="_Toc2606721"/>
      <w:bookmarkStart w:id="62" w:name="_Toc532416515"/>
      <w:bookmarkStart w:id="63" w:name="_Toc469924301"/>
      <w:bookmarkStart w:id="64" w:name="_Toc3550033"/>
      <w:bookmarkStart w:id="65" w:name="_Toc533853758"/>
      <w:bookmarkStart w:id="66" w:name="_Toc532417349"/>
      <w:bookmarkStart w:id="67" w:name="_Toc470624789"/>
      <w:bookmarkStart w:id="68" w:name="_Toc445"/>
      <w:bookmarkStart w:id="69" w:name="_Toc23569"/>
      <w:bookmarkStart w:id="70" w:name="_Toc3546945"/>
      <w:bookmarkStart w:id="71" w:name="_Toc3550171"/>
      <w:bookmarkStart w:id="72" w:name="_Toc472069339"/>
      <w:bookmarkStart w:id="73" w:name="_Toc483476837"/>
      <w:bookmarkStart w:id="74" w:name="_Toc472069664"/>
      <w:bookmarkStart w:id="75" w:name="_Toc25168"/>
      <w:bookmarkStart w:id="76" w:name="_Toc3322325"/>
      <w:bookmarkStart w:id="77" w:name="_Toc472071094"/>
      <w:r>
        <w:rPr>
          <w:rFonts w:cs="Times New Roman"/>
          <w:b/>
          <w:kern w:val="44"/>
          <w:sz w:val="36"/>
          <w:szCs w:val="24"/>
        </w:rPr>
        <w:t>旧工业建筑再生利用</w:t>
      </w:r>
      <w:r>
        <w:rPr>
          <w:rFonts w:cs="Times New Roman" w:hint="eastAsia"/>
          <w:b/>
          <w:kern w:val="44"/>
          <w:sz w:val="36"/>
          <w:szCs w:val="24"/>
        </w:rPr>
        <w:t>施工组织</w:t>
      </w:r>
      <w:r>
        <w:rPr>
          <w:rFonts w:cs="Times New Roman"/>
          <w:b/>
          <w:kern w:val="44"/>
          <w:sz w:val="36"/>
          <w:szCs w:val="24"/>
        </w:rPr>
        <w:t>设计标准</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pPr>
        <w:keepNext/>
        <w:keepLines/>
        <w:spacing w:before="100" w:after="100" w:line="440" w:lineRule="exact"/>
        <w:jc w:val="center"/>
        <w:outlineLvl w:val="0"/>
        <w:rPr>
          <w:rFonts w:cs="Times New Roman"/>
          <w:b/>
          <w:kern w:val="44"/>
          <w:sz w:val="28"/>
          <w:szCs w:val="28"/>
        </w:rPr>
      </w:pPr>
      <w:bookmarkStart w:id="78" w:name="_Toc3096"/>
      <w:bookmarkStart w:id="79" w:name="_Toc23048"/>
      <w:bookmarkStart w:id="80" w:name="_Toc532416516"/>
      <w:bookmarkStart w:id="81" w:name="_Toc3550034"/>
      <w:bookmarkStart w:id="82" w:name="_Toc24433"/>
      <w:bookmarkStart w:id="83" w:name="_Toc18101"/>
      <w:bookmarkStart w:id="84" w:name="_Toc3322326"/>
      <w:bookmarkStart w:id="85" w:name="_Toc3546946"/>
      <w:bookmarkStart w:id="86" w:name="_Toc2606722"/>
      <w:bookmarkStart w:id="87" w:name="_Toc532417350"/>
      <w:bookmarkStart w:id="88" w:name="_Toc525330781"/>
      <w:bookmarkStart w:id="89" w:name="_Toc72139685"/>
      <w:bookmarkStart w:id="90" w:name="_Toc532416639"/>
      <w:bookmarkStart w:id="91" w:name="_Toc3550172"/>
      <w:bookmarkStart w:id="92" w:name="_Toc53214367"/>
      <w:bookmarkStart w:id="93" w:name="_Toc2764"/>
      <w:bookmarkStart w:id="94" w:name="_Toc533853759"/>
      <w:bookmarkStart w:id="95" w:name="_Toc53214492"/>
      <w:bookmarkStart w:id="96" w:name="_Toc25088"/>
      <w:bookmarkStart w:id="97" w:name="_Toc29188"/>
      <w:bookmarkStart w:id="98" w:name="_Toc10252"/>
      <w:bookmarkStart w:id="99" w:name="_Toc15547"/>
      <w:bookmarkStart w:id="100" w:name="_Toc25040"/>
      <w:r>
        <w:rPr>
          <w:rFonts w:cs="Times New Roman"/>
          <w:b/>
          <w:kern w:val="44"/>
          <w:sz w:val="28"/>
          <w:szCs w:val="28"/>
        </w:rPr>
        <w:t>Construction organization plan standard for the regeneration of</w:t>
      </w:r>
      <w:bookmarkEnd w:id="78"/>
      <w:bookmarkEnd w:id="79"/>
      <w:bookmarkStart w:id="101" w:name="_Toc13503"/>
      <w:bookmarkStart w:id="102" w:name="_Toc19172"/>
      <w:r>
        <w:rPr>
          <w:rFonts w:cs="Times New Roman"/>
          <w:b/>
          <w:kern w:val="44"/>
          <w:sz w:val="28"/>
          <w:szCs w:val="28"/>
        </w:rPr>
        <w:t xml:space="preserve"> old industrial building</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101"/>
      <w:bookmarkEnd w:id="102"/>
    </w:p>
    <w:bookmarkEnd w:id="96"/>
    <w:bookmarkEnd w:id="97"/>
    <w:bookmarkEnd w:id="98"/>
    <w:bookmarkEnd w:id="99"/>
    <w:bookmarkEnd w:id="100"/>
    <w:p>
      <w:pPr>
        <w:jc w:val="center"/>
        <w:rPr>
          <w:rFonts w:cs="Times New Roman"/>
          <w:b/>
          <w:bCs/>
          <w:sz w:val="28"/>
          <w:szCs w:val="28"/>
        </w:rPr>
      </w:pPr>
      <w:r>
        <w:rPr>
          <w:rFonts w:cs="Times New Roman" w:hint="eastAsia"/>
          <w:b/>
          <w:bCs/>
          <w:sz w:val="28"/>
          <w:szCs w:val="28"/>
        </w:rPr>
        <w:t>（征求意见稿）</w:t>
      </w:r>
    </w:p>
    <w:p>
      <w:pPr>
        <w:rPr>
          <w:rFonts w:cs="Times New Roman"/>
          <w:b/>
          <w:kern w:val="44"/>
          <w:sz w:val="30"/>
          <w:szCs w:val="24"/>
        </w:rPr>
      </w:pPr>
    </w:p>
    <w:p>
      <w:pPr>
        <w:rPr>
          <w:rFonts w:cs="Times New Roman"/>
          <w:szCs w:val="24"/>
        </w:rPr>
      </w:pPr>
    </w:p>
    <w:p>
      <w:pPr>
        <w:rPr>
          <w:rFonts w:cs="Times New Roman"/>
          <w:szCs w:val="24"/>
        </w:rPr>
      </w:pPr>
    </w:p>
    <w:p>
      <w:pPr>
        <w:rPr>
          <w:rFonts w:cs="Times New Roman"/>
          <w:szCs w:val="24"/>
        </w:rPr>
      </w:pPr>
    </w:p>
    <w:p>
      <w:pPr>
        <w:rPr>
          <w:rFonts w:cs="Times New Roman"/>
          <w:szCs w:val="24"/>
        </w:rPr>
      </w:pPr>
    </w:p>
    <w:p>
      <w:pPr>
        <w:rPr>
          <w:rFonts w:cs="Times New Roman"/>
          <w:szCs w:val="24"/>
        </w:rPr>
      </w:pPr>
    </w:p>
    <w:p>
      <w:pPr>
        <w:rPr>
          <w:rFonts w:cs="Times New Roman"/>
          <w:szCs w:val="24"/>
        </w:rPr>
      </w:pPr>
    </w:p>
    <w:p>
      <w:pPr>
        <w:rPr>
          <w:rFonts w:cs="Times New Roman"/>
          <w:szCs w:val="24"/>
        </w:rPr>
      </w:pPr>
    </w:p>
    <w:p>
      <w:pPr>
        <w:rPr>
          <w:rFonts w:cs="Times New Roman"/>
          <w:szCs w:val="24"/>
        </w:rPr>
      </w:pPr>
    </w:p>
    <w:p>
      <w:pPr>
        <w:pBdr>
          <w:bottom w:val="single" w:sz="6" w:space="1" w:color="auto"/>
        </w:pBdr>
        <w:rPr>
          <w:rFonts w:eastAsia="黑体" w:cs="Times New Roman"/>
          <w:b/>
          <w:sz w:val="24"/>
          <w:szCs w:val="24"/>
        </w:rPr>
      </w:pPr>
      <w:r>
        <w:rPr>
          <w:rFonts w:cs="Times New Roman"/>
          <w:sz w:val="24"/>
          <w:szCs w:val="24"/>
        </w:rPr>
        <w:t>××××－××－××</w:t>
      </w:r>
      <w:r>
        <w:rPr>
          <w:rFonts w:eastAsia="黑体" w:cs="Times New Roman"/>
          <w:b/>
          <w:sz w:val="24"/>
          <w:szCs w:val="24"/>
        </w:rPr>
        <w:t xml:space="preserve">发布                </w:t>
      </w:r>
      <w:r>
        <w:rPr>
          <w:rFonts w:cs="Times New Roman"/>
          <w:sz w:val="24"/>
          <w:szCs w:val="24"/>
        </w:rPr>
        <w:t>××××－××－××</w:t>
      </w:r>
      <w:r>
        <w:rPr>
          <w:rFonts w:eastAsia="黑体" w:cs="Times New Roman"/>
          <w:b/>
          <w:sz w:val="24"/>
          <w:szCs w:val="24"/>
        </w:rPr>
        <w:t>实施</w:t>
      </w:r>
    </w:p>
    <w:p>
      <w:pPr>
        <w:rPr>
          <w:rFonts w:cs="Times New Roman"/>
          <w:szCs w:val="24"/>
        </w:rPr>
      </w:pPr>
    </w:p>
    <w:p>
      <w:pPr>
        <w:rPr>
          <w:rFonts w:cs="Times New Roman"/>
          <w:szCs w:val="24"/>
        </w:rPr>
      </w:pPr>
    </w:p>
    <w:p>
      <w:pPr>
        <w:rPr>
          <w:rFonts w:cs="Times New Roman"/>
          <w:szCs w:val="24"/>
        </w:rPr>
      </w:pPr>
    </w:p>
    <w:p>
      <w:pPr>
        <w:jc w:val="center"/>
        <w:rPr>
          <w:rFonts w:eastAsia="黑体" w:cs="Times New Roman"/>
          <w:b/>
          <w:bCs/>
          <w:sz w:val="24"/>
          <w:szCs w:val="24"/>
        </w:rPr>
        <w:sectPr>
          <w:footerReference w:type="even" r:id="rId5"/>
          <w:footerReference w:type="default" r:id="rId6"/>
          <w:pgSz w:w="8335" w:h="11850"/>
          <w:pgMar w:top="1083" w:right="1083" w:bottom="1083" w:left="1083" w:header="851" w:footer="992" w:gutter="0"/>
          <w:pgNumType w:start="1"/>
          <w:cols w:num="1" w:space="720"/>
          <w:docGrid w:type="linesAndChars" w:linePitch="312" w:charSpace="0"/>
        </w:sectPr>
      </w:pPr>
      <w:r>
        <w:rPr>
          <w:rFonts w:eastAsia="黑体" w:cs="Times New Roman"/>
          <w:b/>
          <w:bCs/>
          <w:sz w:val="24"/>
          <w:szCs w:val="24"/>
        </w:rPr>
        <w:t>中国冶金建设协会    发布</w:t>
      </w:r>
    </w:p>
    <w:p>
      <w:pPr>
        <w:pStyle w:val="Heading1"/>
        <w:rPr>
          <w:rStyle w:val="1"/>
        </w:rPr>
      </w:pPr>
      <w:bookmarkStart w:id="103" w:name="_Toc53214368"/>
      <w:bookmarkStart w:id="104" w:name="_Toc72139686"/>
      <w:bookmarkStart w:id="105" w:name="_GoBack"/>
      <w:bookmarkEnd w:id="105"/>
      <w:r>
        <w:rPr>
          <w:rStyle w:val="1"/>
          <w:b/>
        </w:rPr>
        <w:t xml:space="preserve">1 </w:t>
      </w:r>
      <w:r>
        <w:rPr>
          <w:rStyle w:val="1"/>
          <w:rFonts w:hint="eastAsia"/>
          <w:b/>
        </w:rPr>
        <w:t xml:space="preserve"> </w:t>
      </w:r>
      <w:r>
        <w:rPr>
          <w:rStyle w:val="1"/>
          <w:b/>
        </w:rPr>
        <w:t>总</w:t>
      </w:r>
      <w:r>
        <w:rPr>
          <w:rStyle w:val="1"/>
          <w:rFonts w:hint="eastAsia"/>
          <w:b/>
        </w:rPr>
        <w:t xml:space="preserve">    </w:t>
      </w:r>
      <w:r>
        <w:rPr>
          <w:rStyle w:val="1"/>
          <w:b/>
        </w:rPr>
        <w:t>则</w:t>
      </w:r>
      <w:bookmarkEnd w:id="0"/>
      <w:bookmarkEnd w:id="1"/>
      <w:bookmarkEnd w:id="2"/>
      <w:bookmarkEnd w:id="3"/>
      <w:bookmarkEnd w:id="4"/>
      <w:bookmarkEnd w:id="5"/>
      <w:bookmarkEnd w:id="6"/>
      <w:bookmarkEnd w:id="7"/>
      <w:bookmarkEnd w:id="103"/>
      <w:bookmarkEnd w:id="104"/>
    </w:p>
    <w:p>
      <w:pPr>
        <w:rPr>
          <w:b/>
          <w:bCs/>
        </w:rPr>
      </w:pPr>
      <w:r>
        <w:rPr>
          <w:b/>
          <w:bCs/>
        </w:rPr>
        <w:t>1.0.1</w:t>
      </w:r>
      <w:r>
        <w:rPr>
          <w:rFonts w:cs="Times New Roman"/>
          <w:b/>
          <w:bCs/>
          <w:szCs w:val="24"/>
        </w:rPr>
        <w:t xml:space="preserve"> </w:t>
      </w:r>
      <w:r>
        <w:rPr>
          <w:rFonts w:cs="Times New Roman"/>
          <w:b/>
          <w:szCs w:val="24"/>
        </w:rPr>
        <w:t xml:space="preserve"> </w:t>
      </w:r>
      <w:r>
        <w:t>为贯彻国家技术经济政策，建立资源节约型社会，充分合理利用旧工业建筑，</w:t>
      </w:r>
      <w:r>
        <w:rPr>
          <w:rFonts w:hint="eastAsia"/>
        </w:rPr>
        <w:t>规范</w:t>
      </w:r>
      <w:r>
        <w:t>旧工业建筑再生利用</w:t>
      </w:r>
      <w:r>
        <w:rPr>
          <w:rFonts w:hint="eastAsia"/>
        </w:rPr>
        <w:t>项目的施工组织设计编制</w:t>
      </w:r>
      <w:r>
        <w:t>，</w:t>
      </w:r>
      <w:r>
        <w:rPr>
          <w:rFonts w:hint="eastAsia"/>
        </w:rPr>
        <w:t>提高施工管理水平，</w:t>
      </w:r>
      <w:r>
        <w:t>做到技术先进、</w:t>
      </w:r>
      <w:r>
        <w:rPr>
          <w:rFonts w:hint="eastAsia"/>
        </w:rPr>
        <w:t>操作高效、使用方便</w:t>
      </w:r>
      <w:r>
        <w:t>，制定本</w:t>
      </w:r>
      <w:r>
        <w:rPr>
          <w:rFonts w:hint="eastAsia"/>
        </w:rPr>
        <w:t>标准</w:t>
      </w:r>
      <w:r>
        <w:t>。</w:t>
      </w:r>
    </w:p>
    <w:p>
      <w:pPr>
        <w:rPr>
          <w:rStyle w:val="Strong"/>
        </w:rPr>
      </w:pPr>
      <w:bookmarkStart w:id="106" w:name="_Toc53214369"/>
      <w:r>
        <w:rPr>
          <w:rFonts w:hint="eastAsia"/>
          <w:b/>
          <w:bCs/>
        </w:rPr>
        <w:t>1</w:t>
      </w:r>
      <w:r>
        <w:rPr>
          <w:b/>
          <w:bCs/>
        </w:rPr>
        <w:t>.0.2</w:t>
      </w:r>
      <w:bookmarkEnd w:id="106"/>
      <w:r>
        <w:rPr>
          <w:b/>
          <w:bCs/>
        </w:rPr>
        <w:t xml:space="preserve"> </w:t>
      </w:r>
      <w:r>
        <w:rPr>
          <w:rStyle w:val="Strong"/>
        </w:rPr>
        <w:t xml:space="preserve"> </w:t>
      </w:r>
      <w:r>
        <w:rPr>
          <w:rFonts w:hint="eastAsia"/>
        </w:rPr>
        <w:t>本标准适用于旧工业厂区及建（构）筑物等再生项目的施工组织设计的编制和管理。</w:t>
      </w:r>
    </w:p>
    <w:p>
      <w:pPr>
        <w:rPr>
          <w:b/>
          <w:bCs/>
        </w:rPr>
      </w:pPr>
      <w:r>
        <w:rPr>
          <w:b/>
          <w:bCs/>
        </w:rPr>
        <w:t>1.0.3</w:t>
      </w:r>
      <w:r>
        <w:rPr>
          <w:rFonts w:cs="Times New Roman"/>
          <w:b/>
          <w:szCs w:val="24"/>
        </w:rPr>
        <w:t xml:space="preserve">  </w:t>
      </w:r>
      <w:r>
        <w:t>旧工业建筑再生利用项目的</w:t>
      </w:r>
      <w:r>
        <w:rPr>
          <w:rFonts w:hint="eastAsia"/>
        </w:rPr>
        <w:t>施工组织设计编制，</w:t>
      </w:r>
      <w:r>
        <w:t>除应符合本</w:t>
      </w:r>
      <w:r>
        <w:rPr>
          <w:rFonts w:hint="eastAsia"/>
        </w:rPr>
        <w:t>标准</w:t>
      </w:r>
      <w:r>
        <w:t>的规定外，尚应符合国家现行有关标准的规定。</w:t>
      </w:r>
    </w:p>
    <w:p>
      <w:pPr>
        <w:sectPr>
          <w:footerReference w:type="even" r:id="rId7"/>
          <w:footerReference w:type="default" r:id="rId8"/>
          <w:type w:val="nextPage"/>
          <w:pgSz w:w="8335" w:h="11850"/>
          <w:pgMar w:top="1083" w:right="1083" w:bottom="1083" w:left="1083" w:header="851" w:footer="992" w:gutter="0"/>
          <w:pgNumType w:start="2"/>
          <w:cols w:num="1" w:space="720"/>
          <w:titlePg w:val="0"/>
          <w:docGrid w:type="linesAndChars" w:linePitch="312" w:charSpace="0"/>
        </w:sectPr>
      </w:pPr>
    </w:p>
    <w:p>
      <w:pPr>
        <w:pStyle w:val="Heading1"/>
      </w:pPr>
      <w:bookmarkStart w:id="107" w:name="_Toc13008"/>
      <w:bookmarkStart w:id="108" w:name="_Toc483476844"/>
      <w:bookmarkStart w:id="109" w:name="_Toc482405611"/>
      <w:bookmarkStart w:id="110" w:name="_Toc19427"/>
      <w:bookmarkStart w:id="111" w:name="_Toc482405518"/>
      <w:bookmarkStart w:id="112" w:name="_Toc484364289"/>
      <w:bookmarkStart w:id="113" w:name="_Toc53214370"/>
      <w:bookmarkStart w:id="114" w:name="_Toc31963"/>
      <w:bookmarkStart w:id="115" w:name="_Toc484883305"/>
      <w:bookmarkStart w:id="116" w:name="_Toc72139687"/>
      <w:r>
        <w:t>2  术</w:t>
      </w:r>
      <w:r>
        <w:rPr>
          <w:rFonts w:hint="eastAsia"/>
        </w:rPr>
        <w:t xml:space="preserve">   </w:t>
      </w:r>
      <w:r>
        <w:t>语</w:t>
      </w:r>
      <w:bookmarkEnd w:id="107"/>
      <w:bookmarkEnd w:id="108"/>
      <w:bookmarkEnd w:id="109"/>
      <w:bookmarkEnd w:id="110"/>
      <w:bookmarkEnd w:id="111"/>
      <w:bookmarkEnd w:id="112"/>
      <w:bookmarkEnd w:id="113"/>
      <w:bookmarkEnd w:id="114"/>
      <w:bookmarkEnd w:id="115"/>
      <w:bookmarkEnd w:id="116"/>
    </w:p>
    <w:p>
      <w:pPr>
        <w:rPr>
          <w:rFonts w:cs="Times New Roman"/>
          <w:b/>
          <w:kern w:val="44"/>
          <w:sz w:val="28"/>
          <w:szCs w:val="28"/>
        </w:rPr>
      </w:pPr>
      <w:r>
        <w:rPr>
          <w:rFonts w:hint="eastAsia"/>
          <w:b/>
          <w:bCs/>
        </w:rPr>
        <w:t>2.0.1</w:t>
      </w:r>
      <w:r>
        <w:rPr>
          <w:rFonts w:cs="Times New Roman"/>
          <w:b/>
          <w:szCs w:val="24"/>
        </w:rPr>
        <w:t xml:space="preserve">  </w:t>
      </w:r>
      <w:r>
        <w:rPr>
          <w:rFonts w:cs="Times New Roman" w:hint="eastAsia"/>
          <w:bCs/>
          <w:szCs w:val="24"/>
        </w:rPr>
        <w:t>旧工业建筑再生利用</w:t>
      </w:r>
      <w:r>
        <w:rPr>
          <w:rFonts w:hint="eastAsia"/>
        </w:rPr>
        <w:t>施工组织设计 construction organization</w:t>
      </w:r>
      <w:r>
        <w:t xml:space="preserve"> </w:t>
      </w:r>
      <w:r>
        <w:rPr>
          <w:rFonts w:hint="eastAsia"/>
        </w:rPr>
        <w:t>plan</w:t>
      </w:r>
      <w:r>
        <w:t xml:space="preserve"> </w:t>
      </w:r>
      <w:r>
        <w:rPr>
          <w:rFonts w:hint="eastAsia"/>
        </w:rPr>
        <w:t>for</w:t>
      </w:r>
      <w:r>
        <w:t xml:space="preserve"> the regeneration of old industrial building</w:t>
      </w:r>
    </w:p>
    <w:p>
      <w:pPr>
        <w:ind w:firstLine="420" w:firstLineChars="200"/>
      </w:pPr>
      <w:r>
        <w:rPr>
          <w:rFonts w:hint="eastAsia"/>
        </w:rPr>
        <w:t>以旧工业建筑再生利用项目为对象而编制的现场施工组织文件，用以指导施工在规定的时间内完成合格的建筑产品。</w:t>
      </w:r>
    </w:p>
    <w:p>
      <w:r>
        <w:rPr>
          <w:rFonts w:hint="eastAsia"/>
          <w:b/>
          <w:bCs/>
        </w:rPr>
        <w:t>2.0.</w:t>
      </w:r>
      <w:r>
        <w:rPr>
          <w:b/>
          <w:bCs/>
        </w:rPr>
        <w:t>2</w:t>
      </w:r>
      <w:r>
        <w:rPr>
          <w:rFonts w:cs="Times New Roman"/>
          <w:b/>
          <w:szCs w:val="24"/>
        </w:rPr>
        <w:t xml:space="preserve">  </w:t>
      </w:r>
      <w:r>
        <w:rPr>
          <w:rFonts w:cs="Times New Roman" w:hint="eastAsia"/>
          <w:bCs/>
          <w:szCs w:val="24"/>
        </w:rPr>
        <w:t>旧工业建筑再生利用</w:t>
      </w:r>
      <w:r>
        <w:rPr>
          <w:rFonts w:hint="eastAsia"/>
        </w:rPr>
        <w:t>施工组织总设计g</w:t>
      </w:r>
      <w:r>
        <w:t>eneral</w:t>
      </w:r>
      <w:r>
        <w:rPr>
          <w:rFonts w:hint="eastAsia"/>
        </w:rPr>
        <w:t xml:space="preserve"> construction organization</w:t>
      </w:r>
      <w:r>
        <w:t xml:space="preserve"> </w:t>
      </w:r>
      <w:r>
        <w:rPr>
          <w:rFonts w:hint="eastAsia"/>
        </w:rPr>
        <w:t>plan</w:t>
      </w:r>
      <w:r>
        <w:t xml:space="preserve"> </w:t>
      </w:r>
      <w:r>
        <w:rPr>
          <w:rFonts w:hint="eastAsia"/>
        </w:rPr>
        <w:t>for</w:t>
      </w:r>
      <w:r>
        <w:t xml:space="preserve"> the regeneration of old industrial building</w:t>
      </w:r>
    </w:p>
    <w:p>
      <w:pPr>
        <w:ind w:firstLine="420" w:firstLineChars="200"/>
      </w:pPr>
      <w:r>
        <w:rPr>
          <w:rFonts w:hint="eastAsia"/>
        </w:rPr>
        <w:t>以旧工业建筑再生利用项目组成的厂区内或一定区域内的项目为对象编制的施工组织设计，对整个项目的施工起到指导作用。</w:t>
      </w:r>
    </w:p>
    <w:p>
      <w:r>
        <w:rPr>
          <w:rFonts w:hint="eastAsia"/>
          <w:b/>
          <w:bCs/>
        </w:rPr>
        <w:t>2.0.</w:t>
      </w:r>
      <w:r>
        <w:rPr>
          <w:b/>
          <w:bCs/>
        </w:rPr>
        <w:t>3</w:t>
      </w:r>
      <w:r>
        <w:rPr>
          <w:rFonts w:cs="Times New Roman"/>
          <w:b/>
          <w:szCs w:val="24"/>
        </w:rPr>
        <w:t xml:space="preserve">  </w:t>
      </w:r>
      <w:r>
        <w:rPr>
          <w:rFonts w:cs="Times New Roman" w:hint="eastAsia"/>
          <w:bCs/>
          <w:szCs w:val="24"/>
        </w:rPr>
        <w:t>旧工业建筑再生利用单位工程</w:t>
      </w:r>
      <w:r>
        <w:rPr>
          <w:rFonts w:hint="eastAsia"/>
        </w:rPr>
        <w:t>施工组织设计construction organization</w:t>
      </w:r>
      <w:r>
        <w:t xml:space="preserve"> </w:t>
      </w:r>
      <w:r>
        <w:rPr>
          <w:rFonts w:hint="eastAsia"/>
        </w:rPr>
        <w:t>plan</w:t>
      </w:r>
      <w:r>
        <w:t xml:space="preserve"> </w:t>
      </w:r>
      <w:r>
        <w:rPr>
          <w:rFonts w:hint="eastAsia"/>
        </w:rPr>
        <w:t>for</w:t>
      </w:r>
      <w:r>
        <w:t xml:space="preserve"> </w:t>
      </w:r>
      <w:r>
        <w:rPr>
          <w:rFonts w:hint="eastAsia"/>
        </w:rPr>
        <w:t>unit</w:t>
      </w:r>
      <w:r>
        <w:t xml:space="preserve"> project for the regeneration of old industrial building</w:t>
      </w:r>
    </w:p>
    <w:p>
      <w:pPr>
        <w:ind w:firstLine="420" w:firstLineChars="200"/>
      </w:pPr>
      <w:r>
        <w:rPr>
          <w:rFonts w:hint="eastAsia"/>
        </w:rPr>
        <w:t>以旧工业建筑再生利用项目单位工程为对象编制的施工组织设计，对单位工程的施工起到指导作用。</w:t>
      </w:r>
    </w:p>
    <w:p>
      <w:pPr>
        <w:ind w:firstLine="420"/>
        <w:sectPr>
          <w:headerReference w:type="default" r:id="rId9"/>
          <w:footerReference w:type="even" r:id="rId10"/>
          <w:footerReference w:type="default" r:id="rId11"/>
          <w:pgSz w:w="8335" w:h="11850"/>
          <w:pgMar w:top="1083" w:right="1083" w:bottom="1083" w:left="1083" w:header="851" w:footer="992" w:gutter="0"/>
          <w:pgNumType w:start="3"/>
          <w:cols w:num="1" w:space="0"/>
          <w:docGrid w:type="linesAndChars" w:linePitch="312" w:charSpace="0"/>
        </w:sectPr>
      </w:pPr>
      <w:bookmarkStart w:id="117" w:name="_Toc484364290"/>
      <w:bookmarkStart w:id="118" w:name="_Toc17463"/>
      <w:bookmarkStart w:id="119" w:name="_Toc484883306"/>
      <w:bookmarkStart w:id="120" w:name="_Toc483476845"/>
      <w:bookmarkStart w:id="121" w:name="_Toc482405519"/>
      <w:bookmarkStart w:id="122" w:name="_Toc482405612"/>
    </w:p>
    <w:p>
      <w:pPr>
        <w:spacing w:before="100" w:after="100" w:line="440" w:lineRule="exact"/>
        <w:jc w:val="center"/>
        <w:outlineLvl w:val="0"/>
        <w:rPr>
          <w:rFonts w:cs="Times New Roman"/>
          <w:b/>
          <w:sz w:val="30"/>
          <w:szCs w:val="30"/>
        </w:rPr>
      </w:pPr>
      <w:bookmarkStart w:id="123" w:name="_Toc72139688"/>
      <w:bookmarkStart w:id="124" w:name="_Toc53214371"/>
      <w:bookmarkStart w:id="125" w:name="_Toc16351"/>
      <w:bookmarkStart w:id="126" w:name="_Toc26660"/>
      <w:r>
        <w:rPr>
          <w:rFonts w:cs="Times New Roman"/>
          <w:b/>
          <w:sz w:val="30"/>
          <w:szCs w:val="30"/>
        </w:rPr>
        <w:t>3  基本规定</w:t>
      </w:r>
      <w:bookmarkEnd w:id="117"/>
      <w:bookmarkEnd w:id="118"/>
      <w:bookmarkEnd w:id="119"/>
      <w:bookmarkEnd w:id="120"/>
      <w:bookmarkEnd w:id="121"/>
      <w:bookmarkEnd w:id="122"/>
      <w:bookmarkEnd w:id="123"/>
      <w:bookmarkEnd w:id="124"/>
      <w:bookmarkEnd w:id="125"/>
      <w:bookmarkEnd w:id="126"/>
    </w:p>
    <w:p>
      <w:r>
        <w:rPr>
          <w:rFonts w:hint="eastAsia"/>
          <w:b/>
          <w:bCs/>
        </w:rPr>
        <w:t>3</w:t>
      </w:r>
      <w:r>
        <w:rPr>
          <w:b/>
          <w:bCs/>
        </w:rPr>
        <w:t>.0.1</w:t>
      </w:r>
      <w:r>
        <w:t xml:space="preserve">  旧工业建筑再生利用</w:t>
      </w:r>
      <w:r>
        <w:rPr>
          <w:rFonts w:hint="eastAsia"/>
        </w:rPr>
        <w:t>施工组织设计的编制</w:t>
      </w:r>
      <w:r>
        <w:t>应遵循</w:t>
      </w:r>
      <w:r>
        <w:rPr>
          <w:rFonts w:hint="eastAsia"/>
        </w:rPr>
        <w:t>“</w:t>
      </w:r>
      <w:r>
        <w:t>安全第一</w:t>
      </w:r>
      <w:r>
        <w:rPr>
          <w:rFonts w:hint="eastAsia"/>
        </w:rPr>
        <w:t>、科学布局、合理布置”</w:t>
      </w:r>
      <w:r>
        <w:t>的原则，充分</w:t>
      </w:r>
      <w:r>
        <w:rPr>
          <w:rFonts w:hint="eastAsia"/>
        </w:rPr>
        <w:t>做好施工现场管理。</w:t>
      </w:r>
    </w:p>
    <w:p>
      <w:pPr>
        <w:rPr>
          <w:b/>
        </w:rPr>
      </w:pPr>
      <w:r>
        <w:rPr>
          <w:rFonts w:hint="eastAsia"/>
          <w:b/>
          <w:bCs/>
        </w:rPr>
        <w:t>3.0.</w:t>
      </w:r>
      <w:r>
        <w:rPr>
          <w:b/>
          <w:bCs/>
        </w:rPr>
        <w:t>2</w:t>
      </w:r>
      <w:r>
        <w:t xml:space="preserve">  </w:t>
      </w:r>
      <w:r>
        <w:rPr>
          <w:rFonts w:hint="eastAsia"/>
        </w:rPr>
        <w:t>旧工业建筑再生利用施工组织设计按照再生项目体量可分为施工组织总设计、单项工程施工组织设计、单位工程施工组织设计、专业施工组织设计。</w:t>
      </w:r>
    </w:p>
    <w:p>
      <w:pPr>
        <w:rPr>
          <w:b/>
        </w:rPr>
      </w:pPr>
      <w:r>
        <w:rPr>
          <w:rFonts w:hint="eastAsia"/>
          <w:b/>
          <w:bCs/>
        </w:rPr>
        <w:t>3.0.</w:t>
      </w:r>
      <w:r>
        <w:rPr>
          <w:b/>
          <w:bCs/>
        </w:rPr>
        <w:t>3</w:t>
      </w:r>
      <w:r>
        <w:rPr>
          <w:rStyle w:val="32"/>
          <w:b w:val="0"/>
          <w:bCs w:val="0"/>
        </w:rPr>
        <w:t xml:space="preserve"> </w:t>
      </w:r>
      <w:r>
        <w:rPr>
          <w:rStyle w:val="32"/>
        </w:rPr>
        <w:t xml:space="preserve"> </w:t>
      </w:r>
      <w:r>
        <w:rPr>
          <w:rFonts w:hint="eastAsia"/>
        </w:rPr>
        <w:t>旧工业建筑再生利用施工组织设计的编制依据如下：</w:t>
      </w:r>
    </w:p>
    <w:p>
      <w:pPr>
        <w:ind w:firstLine="315" w:firstLineChars="150"/>
      </w:pPr>
      <w:r>
        <w:rPr>
          <w:rFonts w:cs="Times New Roman" w:hint="eastAsia"/>
          <w:b/>
          <w:bCs/>
          <w:szCs w:val="24"/>
        </w:rPr>
        <w:t>1</w:t>
      </w:r>
      <w:r>
        <w:rPr>
          <w:rStyle w:val="32"/>
        </w:rPr>
        <w:t xml:space="preserve">  </w:t>
      </w:r>
      <w:r>
        <w:rPr>
          <w:rFonts w:hint="eastAsia"/>
        </w:rPr>
        <w:t>与工程建设有关的法律、法规和文件</w:t>
      </w:r>
      <w:bookmarkStart w:id="127" w:name="_Hlk72139324"/>
      <w:r>
        <w:rPr>
          <w:rFonts w:hint="eastAsia"/>
        </w:rPr>
        <w:t>。</w:t>
      </w:r>
      <w:bookmarkEnd w:id="127"/>
    </w:p>
    <w:p>
      <w:pPr>
        <w:ind w:firstLine="315" w:firstLineChars="150"/>
        <w:rPr>
          <w:b/>
        </w:rPr>
      </w:pPr>
      <w:r>
        <w:rPr>
          <w:rFonts w:cs="Times New Roman" w:hint="eastAsia"/>
          <w:b/>
          <w:bCs/>
          <w:szCs w:val="24"/>
        </w:rPr>
        <w:t>2</w:t>
      </w:r>
      <w:r>
        <w:t xml:space="preserve">  </w:t>
      </w:r>
      <w:r>
        <w:rPr>
          <w:rFonts w:hint="eastAsia"/>
        </w:rPr>
        <w:t>国家现行有关标准和技术经济指标。</w:t>
      </w:r>
    </w:p>
    <w:p>
      <w:pPr>
        <w:ind w:firstLine="315" w:firstLineChars="150"/>
      </w:pPr>
      <w:r>
        <w:rPr>
          <w:b/>
          <w:bCs/>
        </w:rPr>
        <w:t>3</w:t>
      </w:r>
      <w:r>
        <w:t xml:space="preserve">  </w:t>
      </w:r>
      <w:r>
        <w:rPr>
          <w:rFonts w:hint="eastAsia"/>
        </w:rPr>
        <w:t>工程施工合同、招投标文件和与工程有关的其他合同。</w:t>
      </w:r>
    </w:p>
    <w:p>
      <w:pPr>
        <w:ind w:firstLine="315" w:firstLineChars="150"/>
        <w:rPr>
          <w:b/>
        </w:rPr>
      </w:pPr>
      <w:r>
        <w:rPr>
          <w:b/>
          <w:bCs/>
        </w:rPr>
        <w:t>4</w:t>
      </w:r>
      <w:r>
        <w:t xml:space="preserve">  </w:t>
      </w:r>
      <w:r>
        <w:rPr>
          <w:rFonts w:hint="eastAsia"/>
        </w:rPr>
        <w:t>已批准的工程设计及有关文件。</w:t>
      </w:r>
    </w:p>
    <w:p>
      <w:pPr>
        <w:ind w:firstLine="315" w:firstLineChars="150"/>
      </w:pPr>
      <w:r>
        <w:rPr>
          <w:b/>
          <w:bCs/>
        </w:rPr>
        <w:t>5</w:t>
      </w:r>
      <w:r>
        <w:t xml:space="preserve">  </w:t>
      </w:r>
      <w:r>
        <w:rPr>
          <w:rFonts w:hint="eastAsia"/>
        </w:rPr>
        <w:t>工程概算和主要工程量。</w:t>
      </w:r>
    </w:p>
    <w:p>
      <w:pPr>
        <w:ind w:firstLine="315" w:firstLineChars="150"/>
      </w:pPr>
      <w:r>
        <w:rPr>
          <w:b/>
          <w:bCs/>
        </w:rPr>
        <w:t>6</w:t>
      </w:r>
      <w:r>
        <w:t xml:space="preserve">  </w:t>
      </w:r>
      <w:r>
        <w:rPr>
          <w:rFonts w:hint="eastAsia"/>
        </w:rPr>
        <w:t>设备清单及主要材料清单。</w:t>
      </w:r>
    </w:p>
    <w:p>
      <w:pPr>
        <w:ind w:firstLine="315" w:firstLineChars="150"/>
      </w:pPr>
      <w:r>
        <w:rPr>
          <w:b/>
          <w:bCs/>
        </w:rPr>
        <w:t>7</w:t>
      </w:r>
      <w:r>
        <w:t xml:space="preserve">  </w:t>
      </w:r>
      <w:r>
        <w:rPr>
          <w:rFonts w:hint="eastAsia"/>
        </w:rPr>
        <w:t>主要设备技术文件。</w:t>
      </w:r>
    </w:p>
    <w:p>
      <w:pPr>
        <w:ind w:firstLine="315" w:firstLineChars="150"/>
        <w:rPr>
          <w:b/>
        </w:rPr>
      </w:pPr>
      <w:r>
        <w:rPr>
          <w:b/>
          <w:bCs/>
        </w:rPr>
        <w:t>8</w:t>
      </w:r>
      <w:r>
        <w:t xml:space="preserve">  </w:t>
      </w:r>
      <w:r>
        <w:rPr>
          <w:rFonts w:hint="eastAsia"/>
        </w:rPr>
        <w:t>新设备、新材料试验资料。</w:t>
      </w:r>
    </w:p>
    <w:p>
      <w:pPr>
        <w:ind w:firstLine="315" w:firstLineChars="150"/>
      </w:pPr>
      <w:r>
        <w:rPr>
          <w:b/>
          <w:bCs/>
        </w:rPr>
        <w:t>9</w:t>
      </w:r>
      <w:r>
        <w:t xml:space="preserve">  </w:t>
      </w:r>
      <w:r>
        <w:rPr>
          <w:rFonts w:hint="eastAsia"/>
        </w:rPr>
        <w:t>工程施工范围内的现场条件，工程地质及水文地质、气象等自然条件。</w:t>
      </w:r>
    </w:p>
    <w:p>
      <w:pPr>
        <w:ind w:firstLine="315" w:firstLineChars="150"/>
      </w:pPr>
      <w:r>
        <w:rPr>
          <w:b/>
          <w:bCs/>
        </w:rPr>
        <w:t>10</w:t>
      </w:r>
      <w:r>
        <w:t xml:space="preserve">  </w:t>
      </w:r>
      <w:r>
        <w:rPr>
          <w:rFonts w:hint="eastAsia"/>
        </w:rPr>
        <w:t>施工企业的生产能力、机具设备状况、技术水平等。</w:t>
      </w:r>
    </w:p>
    <w:p>
      <w:pPr>
        <w:rPr>
          <w:b/>
        </w:rPr>
      </w:pPr>
      <w:r>
        <w:rPr>
          <w:rFonts w:hint="eastAsia"/>
          <w:b/>
          <w:bCs/>
        </w:rPr>
        <w:t>3.0.4</w:t>
      </w:r>
      <w:r>
        <w:t xml:space="preserve">  </w:t>
      </w:r>
      <w:r>
        <w:rPr>
          <w:rFonts w:hint="eastAsia"/>
        </w:rPr>
        <w:t>施工组织设计的编制应符合下列原则：</w:t>
      </w:r>
    </w:p>
    <w:p>
      <w:pPr>
        <w:ind w:firstLine="315" w:firstLineChars="150"/>
      </w:pPr>
      <w:r>
        <w:rPr>
          <w:rFonts w:hint="eastAsia"/>
          <w:b/>
          <w:bCs/>
        </w:rPr>
        <w:t>1</w:t>
      </w:r>
      <w:r>
        <w:t xml:space="preserve">  </w:t>
      </w:r>
      <w:r>
        <w:rPr>
          <w:rFonts w:hint="eastAsia"/>
        </w:rPr>
        <w:t>符合国家法律、法规、标准的规定，结合施工企业的特点，对工程的特点、难点、性质、工程量进行综合分析，确定本工程施工组织设计的指导方针，实现工程建设的目标。</w:t>
      </w:r>
    </w:p>
    <w:p>
      <w:pPr>
        <w:ind w:firstLine="315" w:firstLineChars="150"/>
        <w:rPr>
          <w:b/>
        </w:rPr>
      </w:pPr>
      <w:r>
        <w:rPr>
          <w:rFonts w:hint="eastAsia"/>
          <w:b/>
          <w:bCs/>
        </w:rPr>
        <w:t>2</w:t>
      </w:r>
      <w:r>
        <w:t xml:space="preserve">  </w:t>
      </w:r>
      <w:r>
        <w:rPr>
          <w:rFonts w:hint="eastAsia"/>
        </w:rPr>
        <w:t>符合合同约定的建设工期、各项技术经济指标和质量目标。</w:t>
      </w:r>
    </w:p>
    <w:p>
      <w:pPr>
        <w:ind w:firstLine="315" w:firstLineChars="150"/>
        <w:rPr>
          <w:b/>
        </w:rPr>
      </w:pPr>
      <w:r>
        <w:rPr>
          <w:rFonts w:hint="eastAsia"/>
          <w:b/>
          <w:bCs/>
        </w:rPr>
        <w:t>3</w:t>
      </w:r>
      <w:r>
        <w:t xml:space="preserve">  </w:t>
      </w:r>
      <w:r>
        <w:rPr>
          <w:rFonts w:hint="eastAsia"/>
        </w:rPr>
        <w:t>符合基本建设程序，做好施工前期准备工作，合理安排施工顺序，实现完整的机组投产目标。</w:t>
      </w:r>
    </w:p>
    <w:p>
      <w:pPr>
        <w:ind w:firstLine="315" w:firstLineChars="150"/>
        <w:rPr>
          <w:b/>
        </w:rPr>
        <w:sectPr>
          <w:headerReference w:type="default" r:id="rId12"/>
          <w:footerReference w:type="even" r:id="rId13"/>
          <w:footerReference w:type="default" r:id="rId14"/>
          <w:type w:val="nextPage"/>
          <w:pgSz w:w="8335" w:h="11850"/>
          <w:pgMar w:top="1083" w:right="1083" w:bottom="1083" w:left="1083" w:header="851" w:footer="992" w:gutter="0"/>
          <w:pgNumType w:start="4"/>
          <w:cols w:num="1" w:space="0"/>
          <w:titlePg w:val="0"/>
          <w:docGrid w:type="linesAndChars" w:linePitch="312" w:charSpace="0"/>
        </w:sectPr>
      </w:pPr>
      <w:r>
        <w:rPr>
          <w:rFonts w:hint="eastAsia"/>
          <w:b/>
          <w:bCs/>
        </w:rPr>
        <w:t>4</w:t>
      </w:r>
      <w:r>
        <w:rPr>
          <w:b/>
          <w:bCs/>
        </w:rPr>
        <w:t xml:space="preserve"> </w:t>
      </w:r>
      <w:r>
        <w:t xml:space="preserve"> </w:t>
      </w:r>
    </w:p>
    <w:p>
      <w:pPr>
        <w:ind w:firstLine="315" w:firstLineChars="150"/>
        <w:rPr>
          <w:b/>
        </w:rPr>
      </w:pPr>
      <w:r>
        <w:rPr>
          <w:rFonts w:hint="eastAsia"/>
        </w:rPr>
        <w:t>现场组织机构的设置、管理人员的配备，应精简、高效，满足工程建设的需要。</w:t>
      </w:r>
    </w:p>
    <w:p>
      <w:pPr>
        <w:ind w:firstLine="315" w:firstLineChars="150"/>
        <w:rPr>
          <w:b/>
        </w:rPr>
      </w:pPr>
      <w:r>
        <w:rPr>
          <w:rFonts w:hint="eastAsia"/>
          <w:b/>
          <w:bCs/>
        </w:rPr>
        <w:t>5</w:t>
      </w:r>
      <w:r>
        <w:t xml:space="preserve">  </w:t>
      </w:r>
      <w:r>
        <w:rPr>
          <w:rFonts w:hint="eastAsia"/>
        </w:rPr>
        <w:t>在加强综合平衡、调整施工密度、改善劳动组织的前提下，力求连续均衡施工，满足工程总体进度的要求。</w:t>
      </w:r>
    </w:p>
    <w:p>
      <w:pPr>
        <w:ind w:firstLine="315" w:firstLineChars="150"/>
        <w:rPr>
          <w:b/>
        </w:rPr>
      </w:pPr>
      <w:r>
        <w:rPr>
          <w:rFonts w:hint="eastAsia"/>
          <w:b/>
          <w:bCs/>
        </w:rPr>
        <w:t>6</w:t>
      </w:r>
      <w:r>
        <w:t xml:space="preserve">  </w:t>
      </w:r>
      <w:r>
        <w:rPr>
          <w:rFonts w:hint="eastAsia"/>
        </w:rPr>
        <w:t>施工现场布置应紧凑合理，便于施工，并符合安全、防火、环保、节能减排的要求，提高场地利用率，减少施工用地。</w:t>
      </w:r>
    </w:p>
    <w:p>
      <w:pPr>
        <w:ind w:firstLine="315" w:firstLineChars="150"/>
        <w:rPr>
          <w:b/>
        </w:rPr>
      </w:pPr>
      <w:r>
        <w:rPr>
          <w:rFonts w:hint="eastAsia"/>
          <w:b/>
          <w:bCs/>
        </w:rPr>
        <w:t>7</w:t>
      </w:r>
      <w:r>
        <w:t xml:space="preserve">  </w:t>
      </w:r>
      <w:r>
        <w:rPr>
          <w:rFonts w:hint="eastAsia"/>
        </w:rPr>
        <w:t>运用科学的管理方法和先进的施工技术，推广应用新技术，提高机械利用率和机械化施工的综合水平，降低施工成本，提高劳动生产率。</w:t>
      </w:r>
    </w:p>
    <w:p>
      <w:pPr>
        <w:ind w:firstLine="315" w:firstLineChars="150"/>
        <w:rPr>
          <w:b/>
        </w:rPr>
      </w:pPr>
      <w:r>
        <w:rPr>
          <w:rFonts w:hint="eastAsia"/>
          <w:b/>
          <w:bCs/>
        </w:rPr>
        <w:t>8</w:t>
      </w:r>
      <w:r>
        <w:t xml:space="preserve">  </w:t>
      </w:r>
      <w:r>
        <w:rPr>
          <w:rFonts w:hint="eastAsia"/>
        </w:rPr>
        <w:t>在经济合理的基础上，提高工厂化施工程度，减少现场作业，减少现场施工场地及施工人数。</w:t>
      </w:r>
    </w:p>
    <w:p>
      <w:pPr>
        <w:ind w:firstLine="315" w:firstLineChars="150"/>
        <w:rPr>
          <w:b/>
        </w:rPr>
      </w:pPr>
      <w:r>
        <w:rPr>
          <w:rFonts w:hint="eastAsia"/>
          <w:b/>
          <w:bCs/>
        </w:rPr>
        <w:t>9</w:t>
      </w:r>
      <w:r>
        <w:t xml:space="preserve">  </w:t>
      </w:r>
      <w:r>
        <w:rPr>
          <w:rFonts w:hint="eastAsia"/>
        </w:rPr>
        <w:t>明确质量目标，加强质量管理，保证工程质量，提高质量水平。</w:t>
      </w:r>
    </w:p>
    <w:p>
      <w:pPr>
        <w:ind w:firstLine="315" w:firstLineChars="150"/>
        <w:rPr>
          <w:b/>
        </w:rPr>
      </w:pPr>
      <w:r>
        <w:rPr>
          <w:rFonts w:hint="eastAsia"/>
          <w:b/>
          <w:bCs/>
        </w:rPr>
        <w:t>10</w:t>
      </w:r>
      <w:r>
        <w:t xml:space="preserve">  </w:t>
      </w:r>
      <w:r>
        <w:rPr>
          <w:rFonts w:hint="eastAsia"/>
        </w:rPr>
        <w:t>明确安全、职业健康和环境目标，加强安全、职业健康和环境管理，保证施工安全，提高安全管理水平。</w:t>
      </w:r>
    </w:p>
    <w:p>
      <w:pPr>
        <w:ind w:firstLine="315" w:firstLineChars="150"/>
        <w:rPr>
          <w:b/>
        </w:rPr>
      </w:pPr>
      <w:r>
        <w:rPr>
          <w:rFonts w:hint="eastAsia"/>
          <w:b/>
          <w:bCs/>
        </w:rPr>
        <w:t>11</w:t>
      </w:r>
      <w:r>
        <w:t xml:space="preserve">  </w:t>
      </w:r>
      <w:r>
        <w:rPr>
          <w:rFonts w:hint="eastAsia"/>
        </w:rPr>
        <w:t>加强物资采购、运输、验收、保管和发放的管理，确保工程物资的质量满足工程需要。</w:t>
      </w:r>
    </w:p>
    <w:p>
      <w:pPr>
        <w:ind w:firstLine="315" w:firstLineChars="150"/>
        <w:rPr>
          <w:b/>
        </w:rPr>
      </w:pPr>
      <w:r>
        <w:rPr>
          <w:rFonts w:hint="eastAsia"/>
          <w:b/>
          <w:bCs/>
        </w:rPr>
        <w:t>12</w:t>
      </w:r>
      <w:r>
        <w:t xml:space="preserve">  </w:t>
      </w:r>
      <w:r>
        <w:rPr>
          <w:rFonts w:hint="eastAsia"/>
        </w:rPr>
        <w:t>推行计算机信息技术在施工管理系统中的应用，提高信息化管理水平。</w:t>
      </w:r>
    </w:p>
    <w:p>
      <w:pPr>
        <w:ind w:firstLine="315" w:firstLineChars="150"/>
      </w:pPr>
      <w:r>
        <w:rPr>
          <w:rFonts w:hint="eastAsia"/>
          <w:b/>
          <w:bCs/>
        </w:rPr>
        <w:t>13</w:t>
      </w:r>
      <w:r>
        <w:t xml:space="preserve">  </w:t>
      </w:r>
      <w:r>
        <w:rPr>
          <w:rFonts w:hint="eastAsia"/>
        </w:rPr>
        <w:t>施工组织设计宜作系统的文字说明，并用图表表述，阐明各项内容依据的条件、计算根据、比选意图及技术经济指标。</w:t>
      </w:r>
    </w:p>
    <w:p>
      <w:r>
        <w:rPr>
          <w:rFonts w:hint="eastAsia"/>
          <w:b/>
        </w:rPr>
        <w:t>3.0.</w:t>
      </w:r>
      <w:r>
        <w:rPr>
          <w:b/>
        </w:rPr>
        <w:t>5</w:t>
      </w:r>
      <w:r>
        <w:rPr>
          <w:rFonts w:hint="eastAsia"/>
          <w:b/>
        </w:rPr>
        <w:t xml:space="preserve">  </w:t>
      </w:r>
      <w:r>
        <w:rPr>
          <w:rFonts w:hint="eastAsia"/>
        </w:rPr>
        <w:t>施工组织设计应包括编制依据、工程概况、施工部署、施工进度计划、施工准备与资源配置计划、主要施工方法、施工现场平面布置及主要施工管理计划等基本内容。</w:t>
      </w:r>
    </w:p>
    <w:p>
      <w:pPr>
        <w:rPr>
          <w:b/>
        </w:rPr>
      </w:pPr>
      <w:r>
        <w:rPr>
          <w:rFonts w:hint="eastAsia"/>
          <w:b/>
          <w:bCs/>
        </w:rPr>
        <w:t>3.0.</w:t>
      </w:r>
      <w:r>
        <w:rPr>
          <w:b/>
          <w:bCs/>
        </w:rPr>
        <w:t>6</w:t>
      </w:r>
      <w:r>
        <w:rPr>
          <w:b/>
          <w:bCs/>
          <w:sz w:val="20"/>
        </w:rPr>
        <w:t xml:space="preserve"> </w:t>
      </w:r>
      <w:r>
        <w:rPr>
          <w:sz w:val="20"/>
        </w:rPr>
        <w:t xml:space="preserve"> </w:t>
      </w:r>
      <w:r>
        <w:rPr>
          <w:rFonts w:hint="eastAsia"/>
        </w:rPr>
        <w:t>施工组织总设计和单位工程施工组织设计应按下列顺序和内容进行编制。当单位工程施工组织设计作为施工组织总设计的补充时，编制内容可进行删减。</w:t>
      </w:r>
    </w:p>
    <w:p>
      <w:pPr>
        <w:ind w:firstLine="315" w:firstLineChars="150"/>
        <w:rPr>
          <w:b/>
        </w:rPr>
        <w:sectPr>
          <w:headerReference w:type="default" r:id="rId15"/>
          <w:footerReference w:type="even" r:id="rId16"/>
          <w:footerReference w:type="default" r:id="rId17"/>
          <w:type w:val="nextPage"/>
          <w:pgSz w:w="8335" w:h="11850"/>
          <w:pgMar w:top="1083" w:right="1083" w:bottom="1083" w:left="1083" w:header="851" w:footer="992" w:gutter="0"/>
          <w:pgNumType w:start="5"/>
          <w:cols w:num="1" w:space="0"/>
          <w:titlePg w:val="0"/>
          <w:docGrid w:type="linesAndChars" w:linePitch="312" w:charSpace="0"/>
        </w:sectPr>
      </w:pPr>
      <w:r>
        <w:rPr>
          <w:rFonts w:hint="eastAsia"/>
          <w:b/>
          <w:bCs/>
        </w:rPr>
        <w:t>1</w:t>
      </w:r>
      <w:r>
        <w:t xml:space="preserve">  </w:t>
      </w:r>
      <w:r>
        <w:rPr>
          <w:rFonts w:hint="eastAsia"/>
        </w:rPr>
        <w:t>工程概况。</w:t>
      </w:r>
    </w:p>
    <w:p>
      <w:pPr>
        <w:ind w:firstLine="315" w:firstLineChars="150"/>
        <w:rPr>
          <w:b/>
        </w:rPr>
      </w:pPr>
      <w:r>
        <w:rPr>
          <w:rFonts w:hint="eastAsia"/>
          <w:b/>
          <w:bCs/>
        </w:rPr>
        <w:t>2</w:t>
      </w:r>
      <w:r>
        <w:t xml:space="preserve">  </w:t>
      </w:r>
      <w:r>
        <w:rPr>
          <w:rFonts w:hint="eastAsia"/>
        </w:rPr>
        <w:t>编制依据。</w:t>
      </w:r>
    </w:p>
    <w:p>
      <w:pPr>
        <w:ind w:firstLine="315" w:firstLineChars="150"/>
        <w:rPr>
          <w:b/>
        </w:rPr>
      </w:pPr>
      <w:r>
        <w:rPr>
          <w:rFonts w:hint="eastAsia"/>
          <w:b/>
          <w:bCs/>
        </w:rPr>
        <w:t>3</w:t>
      </w:r>
      <w:r>
        <w:t xml:space="preserve">  </w:t>
      </w:r>
      <w:r>
        <w:rPr>
          <w:rFonts w:hint="eastAsia"/>
        </w:rPr>
        <w:t>施工安排（含施工程序）。</w:t>
      </w:r>
    </w:p>
    <w:p>
      <w:pPr>
        <w:ind w:firstLine="315" w:firstLineChars="150"/>
      </w:pPr>
      <w:r>
        <w:rPr>
          <w:rFonts w:hint="eastAsia"/>
          <w:b/>
          <w:bCs/>
        </w:rPr>
        <w:t>4</w:t>
      </w:r>
      <w:r>
        <w:t xml:space="preserve">  </w:t>
      </w:r>
      <w:r>
        <w:rPr>
          <w:rFonts w:hint="eastAsia"/>
        </w:rPr>
        <w:t>施工准备。</w:t>
      </w:r>
    </w:p>
    <w:p>
      <w:pPr>
        <w:ind w:firstLine="315" w:firstLineChars="150"/>
        <w:rPr>
          <w:b/>
        </w:rPr>
      </w:pPr>
      <w:r>
        <w:rPr>
          <w:rFonts w:hint="eastAsia"/>
          <w:b/>
          <w:bCs/>
        </w:rPr>
        <w:t>5</w:t>
      </w:r>
      <w:r>
        <w:t xml:space="preserve">  </w:t>
      </w:r>
      <w:r>
        <w:rPr>
          <w:rFonts w:hint="eastAsia"/>
        </w:rPr>
        <w:t>施工方法及工艺要求。</w:t>
      </w:r>
    </w:p>
    <w:p>
      <w:pPr>
        <w:ind w:firstLine="315" w:firstLineChars="150"/>
        <w:rPr>
          <w:b/>
        </w:rPr>
      </w:pPr>
      <w:r>
        <w:rPr>
          <w:rFonts w:hint="eastAsia"/>
          <w:b/>
          <w:bCs/>
        </w:rPr>
        <w:t>6</w:t>
      </w:r>
      <w:r>
        <w:t xml:space="preserve">  </w:t>
      </w:r>
      <w:r>
        <w:rPr>
          <w:rFonts w:hint="eastAsia"/>
        </w:rPr>
        <w:t>施工进度计划。</w:t>
      </w:r>
    </w:p>
    <w:p>
      <w:pPr>
        <w:ind w:firstLine="315" w:firstLineChars="150"/>
        <w:rPr>
          <w:b/>
        </w:rPr>
      </w:pPr>
      <w:r>
        <w:rPr>
          <w:rFonts w:hint="eastAsia"/>
          <w:b/>
          <w:bCs/>
        </w:rPr>
        <w:t>7</w:t>
      </w:r>
      <w:r>
        <w:t xml:space="preserve">  </w:t>
      </w:r>
      <w:r>
        <w:rPr>
          <w:rFonts w:hint="eastAsia"/>
        </w:rPr>
        <w:t>劳动力配置计划；</w:t>
      </w:r>
    </w:p>
    <w:p>
      <w:pPr>
        <w:ind w:firstLine="315" w:firstLineChars="150"/>
        <w:rPr>
          <w:b/>
        </w:rPr>
      </w:pPr>
      <w:r>
        <w:rPr>
          <w:rFonts w:hint="eastAsia"/>
          <w:b/>
          <w:bCs/>
        </w:rPr>
        <w:t>8</w:t>
      </w:r>
      <w:r>
        <w:t xml:space="preserve">  </w:t>
      </w:r>
      <w:r>
        <w:rPr>
          <w:rFonts w:hint="eastAsia"/>
        </w:rPr>
        <w:t>物资配置计划。</w:t>
      </w:r>
    </w:p>
    <w:p>
      <w:pPr>
        <w:ind w:firstLine="315" w:firstLineChars="150"/>
        <w:rPr>
          <w:b/>
        </w:rPr>
      </w:pPr>
      <w:r>
        <w:rPr>
          <w:rFonts w:hint="eastAsia"/>
          <w:b/>
          <w:bCs/>
        </w:rPr>
        <w:t>9</w:t>
      </w:r>
      <w:r>
        <w:t xml:space="preserve">  </w:t>
      </w:r>
      <w:r>
        <w:rPr>
          <w:rFonts w:hint="eastAsia"/>
        </w:rPr>
        <w:t>施工平面布置。</w:t>
      </w:r>
    </w:p>
    <w:p>
      <w:pPr>
        <w:ind w:firstLine="315" w:firstLineChars="150"/>
        <w:rPr>
          <w:b/>
        </w:rPr>
      </w:pPr>
      <w:r>
        <w:rPr>
          <w:rFonts w:hint="eastAsia"/>
          <w:b/>
          <w:bCs/>
        </w:rPr>
        <w:t>10</w:t>
      </w:r>
      <w:r>
        <w:t xml:space="preserve">  </w:t>
      </w:r>
      <w:r>
        <w:rPr>
          <w:rFonts w:hint="eastAsia"/>
        </w:rPr>
        <w:t>质量管理措施。</w:t>
      </w:r>
    </w:p>
    <w:p>
      <w:pPr>
        <w:ind w:firstLine="315" w:firstLineChars="150"/>
        <w:rPr>
          <w:b/>
        </w:rPr>
      </w:pPr>
      <w:r>
        <w:rPr>
          <w:rFonts w:hint="eastAsia"/>
          <w:b/>
          <w:bCs/>
        </w:rPr>
        <w:t>11</w:t>
      </w:r>
      <w:r>
        <w:t xml:space="preserve">  </w:t>
      </w:r>
      <w:r>
        <w:rPr>
          <w:rFonts w:hint="eastAsia"/>
        </w:rPr>
        <w:t>职业健康安全管理措施。</w:t>
      </w:r>
    </w:p>
    <w:p>
      <w:pPr>
        <w:ind w:firstLine="315" w:firstLineChars="150"/>
        <w:rPr>
          <w:b/>
        </w:rPr>
      </w:pPr>
      <w:r>
        <w:rPr>
          <w:rFonts w:hint="eastAsia"/>
          <w:b/>
          <w:bCs/>
        </w:rPr>
        <w:t>12</w:t>
      </w:r>
      <w:r>
        <w:t xml:space="preserve">  </w:t>
      </w:r>
      <w:r>
        <w:rPr>
          <w:rFonts w:hint="eastAsia"/>
        </w:rPr>
        <w:t>环境管理措施。</w:t>
      </w:r>
    </w:p>
    <w:p>
      <w:pPr>
        <w:ind w:firstLine="315" w:firstLineChars="150"/>
        <w:rPr>
          <w:b/>
        </w:rPr>
      </w:pPr>
      <w:r>
        <w:rPr>
          <w:rFonts w:hint="eastAsia"/>
          <w:b/>
          <w:bCs/>
        </w:rPr>
        <w:t>13</w:t>
      </w:r>
      <w:r>
        <w:t xml:space="preserve">  </w:t>
      </w:r>
      <w:r>
        <w:rPr>
          <w:rFonts w:hint="eastAsia"/>
        </w:rPr>
        <w:t>其他措施。</w:t>
      </w:r>
    </w:p>
    <w:p>
      <w:pPr>
        <w:rPr>
          <w:b/>
        </w:rPr>
        <w:sectPr>
          <w:headerReference w:type="default" r:id="rId18"/>
          <w:footerReference w:type="even" r:id="rId19"/>
          <w:footerReference w:type="default" r:id="rId20"/>
          <w:type w:val="nextPage"/>
          <w:pgSz w:w="8335" w:h="11850"/>
          <w:pgMar w:top="1083" w:right="1083" w:bottom="1083" w:left="1083" w:header="851" w:footer="992" w:gutter="0"/>
          <w:pgNumType w:start="6"/>
          <w:cols w:num="1" w:space="0"/>
          <w:titlePg w:val="0"/>
          <w:docGrid w:type="linesAndChars" w:linePitch="312" w:charSpace="0"/>
        </w:sectPr>
      </w:pPr>
      <w:r>
        <w:rPr>
          <w:rFonts w:hint="eastAsia"/>
          <w:b/>
          <w:bCs/>
        </w:rPr>
        <w:t>3.0.</w:t>
      </w:r>
      <w:r>
        <w:rPr>
          <w:b/>
          <w:bCs/>
        </w:rPr>
        <w:t>7</w:t>
      </w:r>
      <w:r>
        <w:rPr>
          <w:rFonts w:hint="eastAsia"/>
        </w:rPr>
        <w:t xml:space="preserve">  </w:t>
      </w:r>
      <w:bookmarkEnd w:id="8"/>
      <w:r>
        <w:rPr>
          <w:rFonts w:hint="eastAsia"/>
        </w:rPr>
        <w:t>施工组织设计应在工程竣工验收后归档。</w:t>
      </w:r>
    </w:p>
    <w:p>
      <w:pPr>
        <w:spacing w:before="100" w:after="100" w:line="440" w:lineRule="exact"/>
        <w:jc w:val="center"/>
        <w:outlineLvl w:val="0"/>
        <w:rPr>
          <w:rFonts w:asciiTheme="minorEastAsia" w:hAnsiTheme="minorEastAsia"/>
          <w:b/>
          <w:sz w:val="30"/>
          <w:szCs w:val="30"/>
        </w:rPr>
      </w:pPr>
      <w:bookmarkStart w:id="128" w:name="_Toc53214372"/>
      <w:bookmarkStart w:id="129" w:name="_Toc72139689"/>
      <w:r>
        <w:rPr>
          <w:rFonts w:cs="Times New Roman"/>
          <w:b/>
          <w:sz w:val="30"/>
          <w:szCs w:val="30"/>
        </w:rPr>
        <w:t>4</w:t>
      </w:r>
      <w:r>
        <w:rPr>
          <w:rFonts w:ascii="宋体" w:hAnsi="宋体" w:hint="eastAsia"/>
          <w:b/>
          <w:sz w:val="30"/>
          <w:szCs w:val="30"/>
        </w:rPr>
        <w:t xml:space="preserve"> </w:t>
      </w:r>
      <w:r>
        <w:rPr>
          <w:rFonts w:ascii="宋体" w:hAnsi="宋体"/>
          <w:b/>
          <w:sz w:val="30"/>
          <w:szCs w:val="30"/>
        </w:rPr>
        <w:t xml:space="preserve"> </w:t>
      </w:r>
      <w:r>
        <w:rPr>
          <w:rFonts w:asciiTheme="minorEastAsia" w:hAnsiTheme="minorEastAsia" w:hint="eastAsia"/>
          <w:b/>
          <w:sz w:val="30"/>
          <w:szCs w:val="30"/>
        </w:rPr>
        <w:t>施工组织总设计</w:t>
      </w:r>
      <w:bookmarkEnd w:id="128"/>
      <w:bookmarkEnd w:id="129"/>
    </w:p>
    <w:p>
      <w:pPr>
        <w:spacing w:before="100" w:after="100" w:line="440" w:lineRule="exact"/>
        <w:jc w:val="center"/>
        <w:outlineLvl w:val="1"/>
        <w:rPr>
          <w:b/>
          <w:bCs/>
          <w:sz w:val="28"/>
          <w:szCs w:val="30"/>
        </w:rPr>
      </w:pPr>
      <w:bookmarkStart w:id="130" w:name="_Toc53214373"/>
      <w:bookmarkStart w:id="131" w:name="_Toc72139690"/>
      <w:r>
        <w:rPr>
          <w:b/>
          <w:bCs/>
          <w:sz w:val="28"/>
          <w:szCs w:val="30"/>
        </w:rPr>
        <w:t xml:space="preserve">4.1 </w:t>
      </w:r>
      <w:r>
        <w:rPr>
          <w:rFonts w:hint="eastAsia"/>
          <w:b/>
          <w:bCs/>
          <w:sz w:val="28"/>
          <w:szCs w:val="30"/>
        </w:rPr>
        <w:t>一般规定</w:t>
      </w:r>
      <w:bookmarkEnd w:id="130"/>
      <w:bookmarkEnd w:id="131"/>
    </w:p>
    <w:p>
      <w:r>
        <w:rPr>
          <w:rFonts w:hint="eastAsia"/>
          <w:b/>
          <w:bCs/>
        </w:rPr>
        <w:t>4.1.1</w:t>
      </w:r>
      <w:r>
        <w:rPr>
          <w:rFonts w:hint="eastAsia"/>
        </w:rPr>
        <w:t xml:space="preserve">  编制施工组织总设计应调研并分析旧工业建筑的区域环境和历史沿革，收集资料应具备真实性、完整性、时效性。</w:t>
      </w:r>
    </w:p>
    <w:p>
      <w:r>
        <w:rPr>
          <w:rFonts w:hint="eastAsia"/>
          <w:b/>
          <w:bCs/>
        </w:rPr>
        <w:t>4.1.2</w:t>
      </w:r>
      <w:r>
        <w:rPr>
          <w:rFonts w:hint="eastAsia"/>
        </w:rPr>
        <w:t xml:space="preserve">  旧工业建筑再生利用施工组织总设计应体现施工总体部署和施工程序、施工总平面布置的合理性、建设工期及施工的均衡性，同时考虑施工方案的可行性及质量、安全、再生利用措施的有效性。</w:t>
      </w:r>
    </w:p>
    <w:p>
      <w:r>
        <w:rPr>
          <w:rFonts w:hint="eastAsia"/>
          <w:b/>
          <w:bCs/>
        </w:rPr>
        <w:t>4.1.3</w:t>
      </w:r>
      <w:r>
        <w:rPr>
          <w:rFonts w:hint="eastAsia"/>
        </w:rPr>
        <w:t xml:space="preserve">  旧工业建筑再生利用施工组织总设计应充分体现绿色施工技术、设备及材料等，对既有建(构)筑物、基础设施、土地资源、能源、材料资源最大限度保留和利用。</w:t>
      </w:r>
    </w:p>
    <w:p>
      <w:pPr>
        <w:spacing w:before="100" w:after="100" w:line="440" w:lineRule="exact"/>
        <w:jc w:val="center"/>
        <w:outlineLvl w:val="1"/>
        <w:rPr>
          <w:b/>
          <w:bCs/>
          <w:sz w:val="28"/>
          <w:szCs w:val="30"/>
        </w:rPr>
      </w:pPr>
      <w:bookmarkStart w:id="132" w:name="_Toc53214374"/>
      <w:bookmarkStart w:id="133" w:name="_Toc72139691"/>
      <w:r>
        <w:rPr>
          <w:rFonts w:hint="eastAsia"/>
          <w:b/>
          <w:bCs/>
          <w:sz w:val="28"/>
          <w:szCs w:val="30"/>
        </w:rPr>
        <w:t>4.2 工程概况</w:t>
      </w:r>
      <w:bookmarkEnd w:id="132"/>
      <w:bookmarkEnd w:id="133"/>
    </w:p>
    <w:p>
      <w:r>
        <w:rPr>
          <w:rFonts w:eastAsia="黑体"/>
          <w:b/>
        </w:rPr>
        <w:t>4.</w:t>
      </w:r>
      <w:r>
        <w:rPr>
          <w:rFonts w:eastAsia="黑体" w:hint="eastAsia"/>
          <w:b/>
        </w:rPr>
        <w:t>2</w:t>
      </w:r>
      <w:r>
        <w:rPr>
          <w:rFonts w:eastAsia="黑体"/>
          <w:b/>
        </w:rPr>
        <w:t xml:space="preserve">.1  </w:t>
      </w:r>
      <w:r>
        <w:rPr>
          <w:rFonts w:hint="eastAsia"/>
        </w:rPr>
        <w:t>旧工业建筑再生利用工程概况应包括项目主要情况、项目主要施工条件和项目施工依据等。</w:t>
      </w:r>
    </w:p>
    <w:p>
      <w:r>
        <w:rPr>
          <w:rFonts w:eastAsia="黑体" w:hint="eastAsia"/>
          <w:b/>
        </w:rPr>
        <w:t>4.2.2</w:t>
      </w:r>
      <w:r>
        <w:rPr>
          <w:rFonts w:eastAsia="黑体" w:hint="eastAsia"/>
        </w:rPr>
        <w:t xml:space="preserve">  </w:t>
      </w:r>
      <w:r>
        <w:rPr>
          <w:rFonts w:hint="eastAsia"/>
        </w:rPr>
        <w:t>旧工业建筑再生利用工程基本情况应包括下列内容：</w:t>
      </w:r>
    </w:p>
    <w:p>
      <w:pPr>
        <w:ind w:firstLine="315" w:firstLineChars="150"/>
        <w:rPr>
          <w:rFonts w:eastAsia="黑体"/>
        </w:rPr>
      </w:pPr>
      <w:r>
        <w:rPr>
          <w:rFonts w:hint="eastAsia"/>
          <w:b/>
          <w:bCs/>
        </w:rPr>
        <w:t>1</w:t>
      </w:r>
      <w:r>
        <w:rPr>
          <w:b/>
          <w:bCs/>
        </w:rPr>
        <w:t xml:space="preserve"> </w:t>
      </w:r>
      <w:r>
        <w:rPr>
          <w:rFonts w:hint="eastAsia"/>
        </w:rPr>
        <w:t>项目名称、性质、地理位置、周边场地环境和再生利用规模。</w:t>
      </w:r>
    </w:p>
    <w:p>
      <w:pPr>
        <w:ind w:firstLine="315" w:firstLineChars="150"/>
      </w:pPr>
      <w:r>
        <w:rPr>
          <w:rFonts w:hint="eastAsia"/>
          <w:b/>
          <w:bCs/>
        </w:rPr>
        <w:t>2</w:t>
      </w:r>
      <w:r>
        <w:rPr>
          <w:b/>
          <w:bCs/>
        </w:rPr>
        <w:t xml:space="preserve"> </w:t>
      </w:r>
      <w:r>
        <w:rPr>
          <w:rFonts w:hint="eastAsia"/>
        </w:rPr>
        <w:t>项目的建造年代、结构类型以及结构保存现状等情况。</w:t>
      </w:r>
    </w:p>
    <w:p>
      <w:pPr>
        <w:ind w:firstLine="315" w:firstLineChars="150"/>
      </w:pPr>
      <w:r>
        <w:rPr>
          <w:rFonts w:hint="eastAsia"/>
          <w:b/>
          <w:bCs/>
        </w:rPr>
        <w:t>3</w:t>
      </w:r>
      <w:r>
        <w:rPr>
          <w:b/>
          <w:bCs/>
        </w:rPr>
        <w:t xml:space="preserve"> </w:t>
      </w:r>
      <w:r>
        <w:rPr>
          <w:rFonts w:hint="eastAsia"/>
        </w:rPr>
        <w:t>项目既有设备设施情况、交通组织情况。</w:t>
      </w:r>
    </w:p>
    <w:p>
      <w:pPr>
        <w:ind w:firstLine="315" w:firstLineChars="150"/>
      </w:pPr>
      <w:r>
        <w:rPr>
          <w:rFonts w:hint="eastAsia"/>
          <w:b/>
          <w:bCs/>
        </w:rPr>
        <w:t>4</w:t>
      </w:r>
      <w:r>
        <w:rPr>
          <w:b/>
          <w:bCs/>
        </w:rPr>
        <w:t xml:space="preserve"> </w:t>
      </w:r>
      <w:r>
        <w:rPr>
          <w:rFonts w:hint="eastAsia"/>
        </w:rPr>
        <w:t>项目原有场地污染情况。</w:t>
      </w:r>
    </w:p>
    <w:p>
      <w:pPr>
        <w:ind w:firstLine="315" w:firstLineChars="150"/>
      </w:pPr>
      <w:r>
        <w:rPr>
          <w:rFonts w:hint="eastAsia"/>
          <w:b/>
          <w:bCs/>
        </w:rPr>
        <w:t>5</w:t>
      </w:r>
      <w:r>
        <w:rPr>
          <w:b/>
          <w:bCs/>
        </w:rPr>
        <w:t xml:space="preserve"> </w:t>
      </w:r>
      <w:r>
        <w:rPr>
          <w:rFonts w:hint="eastAsia"/>
        </w:rPr>
        <w:t>项目建</w:t>
      </w:r>
      <w:r>
        <w:t>(</w:t>
      </w:r>
      <w:r>
        <w:rPr>
          <w:rFonts w:hint="eastAsia"/>
        </w:rPr>
        <w:t>构</w:t>
      </w:r>
      <w:r>
        <w:t>)</w:t>
      </w:r>
      <w:r>
        <w:rPr>
          <w:rFonts w:hint="eastAsia"/>
        </w:rPr>
        <w:t>筑物原有功能和再生功能情况。</w:t>
      </w:r>
    </w:p>
    <w:p>
      <w:pPr>
        <w:ind w:firstLine="315" w:firstLineChars="150"/>
      </w:pPr>
      <w:r>
        <w:rPr>
          <w:rFonts w:hint="eastAsia"/>
          <w:b/>
          <w:bCs/>
        </w:rPr>
        <w:t>6</w:t>
      </w:r>
      <w:r>
        <w:rPr>
          <w:b/>
          <w:bCs/>
        </w:rPr>
        <w:t xml:space="preserve"> </w:t>
      </w:r>
      <w:r>
        <w:rPr>
          <w:rFonts w:hint="eastAsia"/>
        </w:rPr>
        <w:t>项目的建设、检测、勘察、设计和监理等相关单位的情况。</w:t>
      </w:r>
    </w:p>
    <w:p>
      <w:pPr>
        <w:ind w:firstLine="315" w:firstLineChars="150"/>
      </w:pPr>
      <w:r>
        <w:rPr>
          <w:rFonts w:hint="eastAsia"/>
          <w:b/>
          <w:bCs/>
        </w:rPr>
        <w:t>7</w:t>
      </w:r>
      <w:r>
        <w:rPr>
          <w:b/>
          <w:bCs/>
        </w:rPr>
        <w:t xml:space="preserve"> </w:t>
      </w:r>
      <w:r>
        <w:rPr>
          <w:rFonts w:hint="eastAsia"/>
        </w:rPr>
        <w:t>施工合同或招标文件对项目施工的重点要求。</w:t>
      </w:r>
    </w:p>
    <w:p>
      <w:pPr>
        <w:ind w:firstLine="315" w:firstLineChars="150"/>
      </w:pPr>
      <w:r>
        <w:rPr>
          <w:b/>
          <w:bCs/>
        </w:rPr>
        <w:t xml:space="preserve">8 </w:t>
      </w:r>
      <w:r>
        <w:rPr>
          <w:rFonts w:hint="eastAsia"/>
        </w:rPr>
        <w:t>项目再生利用设计方案概况。</w:t>
      </w:r>
    </w:p>
    <w:p>
      <w:pPr>
        <w:ind w:firstLine="315" w:firstLineChars="150"/>
      </w:pPr>
      <w:r>
        <w:rPr>
          <w:b/>
          <w:bCs/>
        </w:rPr>
        <w:t xml:space="preserve">9 </w:t>
      </w:r>
      <w:r>
        <w:rPr>
          <w:rFonts w:hint="eastAsia"/>
        </w:rPr>
        <w:t>项目再生利用部分的结构检测报告。</w:t>
      </w:r>
    </w:p>
    <w:p>
      <w:pPr>
        <w:ind w:firstLine="315" w:firstLineChars="150"/>
        <w:sectPr>
          <w:headerReference w:type="default" r:id="rId21"/>
          <w:footerReference w:type="even" r:id="rId22"/>
          <w:footerReference w:type="default" r:id="rId23"/>
          <w:type w:val="nextPage"/>
          <w:pgSz w:w="8335" w:h="11850"/>
          <w:pgMar w:top="1083" w:right="1083" w:bottom="1083" w:left="1083" w:header="851" w:footer="992" w:gutter="0"/>
          <w:pgNumType w:start="7"/>
          <w:cols w:num="1" w:space="0"/>
          <w:titlePg w:val="0"/>
          <w:docGrid w:type="linesAndChars" w:linePitch="312" w:charSpace="0"/>
        </w:sectPr>
      </w:pPr>
      <w:r>
        <w:rPr>
          <w:b/>
          <w:bCs/>
        </w:rPr>
        <w:t xml:space="preserve">10 </w:t>
      </w:r>
      <w:r>
        <w:rPr>
          <w:rFonts w:hint="eastAsia"/>
        </w:rPr>
        <w:t>项目室内外环境检测报告。</w:t>
      </w:r>
    </w:p>
    <w:p>
      <w:pPr>
        <w:ind w:firstLine="315" w:firstLineChars="150"/>
        <w:rPr>
          <w:rFonts w:eastAsia="黑体"/>
        </w:rPr>
      </w:pPr>
      <w:r>
        <w:rPr>
          <w:b/>
          <w:bCs/>
        </w:rPr>
        <w:t xml:space="preserve">11 </w:t>
      </w:r>
      <w:r>
        <w:rPr>
          <w:rFonts w:hint="eastAsia"/>
        </w:rPr>
        <w:t>其他应说明的情况。</w:t>
      </w:r>
    </w:p>
    <w:p>
      <w:r>
        <w:rPr>
          <w:rFonts w:eastAsia="黑体" w:hint="eastAsia"/>
          <w:b/>
        </w:rPr>
        <w:t>4.2.3</w:t>
      </w:r>
      <w:r>
        <w:rPr>
          <w:rFonts w:eastAsia="黑体" w:hint="eastAsia"/>
        </w:rPr>
        <w:t xml:space="preserve">  </w:t>
      </w:r>
      <w:r>
        <w:rPr>
          <w:rFonts w:hint="eastAsia"/>
        </w:rPr>
        <w:t>旧工业建筑再生利用主要施工条件应包括下列内容：</w:t>
      </w:r>
    </w:p>
    <w:p>
      <w:pPr>
        <w:ind w:firstLine="315" w:firstLineChars="150"/>
      </w:pPr>
      <w:r>
        <w:rPr>
          <w:rFonts w:hint="eastAsia"/>
          <w:b/>
          <w:bCs/>
        </w:rPr>
        <w:t>1</w:t>
      </w:r>
      <w:r>
        <w:rPr>
          <w:b/>
          <w:bCs/>
        </w:rPr>
        <w:t xml:space="preserve"> </w:t>
      </w:r>
      <w:r>
        <w:rPr>
          <w:rFonts w:hint="eastAsia"/>
        </w:rPr>
        <w:t>项目建设地点气象状况。</w:t>
      </w:r>
    </w:p>
    <w:p>
      <w:pPr>
        <w:ind w:firstLine="315" w:firstLineChars="150"/>
      </w:pPr>
      <w:r>
        <w:rPr>
          <w:rFonts w:hint="eastAsia"/>
          <w:b/>
          <w:bCs/>
        </w:rPr>
        <w:t>2</w:t>
      </w:r>
      <w:r>
        <w:rPr>
          <w:b/>
          <w:bCs/>
        </w:rPr>
        <w:t xml:space="preserve"> </w:t>
      </w:r>
      <w:r>
        <w:rPr>
          <w:rFonts w:hint="eastAsia"/>
        </w:rPr>
        <w:t>项目施工区域地形和工程水文地质状况。</w:t>
      </w:r>
    </w:p>
    <w:p>
      <w:pPr>
        <w:ind w:firstLine="315" w:firstLineChars="150"/>
      </w:pPr>
      <w:r>
        <w:rPr>
          <w:rFonts w:hint="eastAsia"/>
          <w:b/>
          <w:bCs/>
        </w:rPr>
        <w:t>3</w:t>
      </w:r>
      <w:r>
        <w:rPr>
          <w:b/>
          <w:bCs/>
        </w:rPr>
        <w:t xml:space="preserve"> </w:t>
      </w:r>
      <w:r>
        <w:rPr>
          <w:rFonts w:hint="eastAsia"/>
        </w:rPr>
        <w:t>项目施工区域地上、地下管线及相邻的地上、地下建(构)筑物情况。</w:t>
      </w:r>
    </w:p>
    <w:p>
      <w:pPr>
        <w:ind w:firstLine="315" w:firstLineChars="150"/>
      </w:pPr>
      <w:r>
        <w:rPr>
          <w:rFonts w:hint="eastAsia"/>
          <w:b/>
          <w:bCs/>
        </w:rPr>
        <w:t>4</w:t>
      </w:r>
      <w:r>
        <w:rPr>
          <w:b/>
          <w:bCs/>
        </w:rPr>
        <w:t xml:space="preserve"> </w:t>
      </w:r>
      <w:r>
        <w:rPr>
          <w:rFonts w:hint="eastAsia"/>
        </w:rPr>
        <w:t>与项目施工有关的道路、河流等状况。</w:t>
      </w:r>
    </w:p>
    <w:p>
      <w:pPr>
        <w:ind w:firstLine="315" w:firstLineChars="150"/>
      </w:pPr>
      <w:r>
        <w:rPr>
          <w:rFonts w:hint="eastAsia"/>
          <w:b/>
          <w:bCs/>
        </w:rPr>
        <w:t>5</w:t>
      </w:r>
      <w:r>
        <w:rPr>
          <w:b/>
          <w:bCs/>
        </w:rPr>
        <w:t xml:space="preserve"> </w:t>
      </w:r>
      <w:r>
        <w:rPr>
          <w:rFonts w:hint="eastAsia"/>
        </w:rPr>
        <w:t>当地建筑材料、设备供应和交通运输等服务能力状况。</w:t>
      </w:r>
    </w:p>
    <w:p>
      <w:pPr>
        <w:ind w:firstLine="315" w:firstLineChars="150"/>
      </w:pPr>
      <w:r>
        <w:rPr>
          <w:rFonts w:hint="eastAsia"/>
          <w:b/>
          <w:bCs/>
        </w:rPr>
        <w:t>6</w:t>
      </w:r>
      <w:r>
        <w:rPr>
          <w:b/>
          <w:bCs/>
        </w:rPr>
        <w:t xml:space="preserve"> </w:t>
      </w:r>
      <w:r>
        <w:rPr>
          <w:rFonts w:hint="eastAsia"/>
        </w:rPr>
        <w:t>当地供电、供水、供热和通信能力状况。</w:t>
      </w:r>
    </w:p>
    <w:p>
      <w:pPr>
        <w:ind w:firstLine="315" w:firstLineChars="150"/>
      </w:pPr>
      <w:r>
        <w:rPr>
          <w:b/>
          <w:bCs/>
        </w:rPr>
        <w:t xml:space="preserve">7 </w:t>
      </w:r>
      <w:r>
        <w:t>旧工业</w:t>
      </w:r>
      <w:r>
        <w:rPr>
          <w:rFonts w:hint="eastAsia"/>
        </w:rPr>
        <w:t>厂区既有设备设施状况。</w:t>
      </w:r>
    </w:p>
    <w:p>
      <w:pPr>
        <w:ind w:firstLine="315" w:firstLineChars="150"/>
      </w:pPr>
      <w:r>
        <w:rPr>
          <w:rFonts w:hint="eastAsia"/>
          <w:b/>
          <w:bCs/>
        </w:rPr>
        <w:t>8</w:t>
      </w:r>
      <w:r>
        <w:rPr>
          <w:b/>
          <w:bCs/>
        </w:rPr>
        <w:t xml:space="preserve"> </w:t>
      </w:r>
      <w:r>
        <w:t>旧工业</w:t>
      </w:r>
      <w:r>
        <w:rPr>
          <w:rFonts w:hint="eastAsia"/>
        </w:rPr>
        <w:t>厂区既有道路交通状况。</w:t>
      </w:r>
    </w:p>
    <w:p>
      <w:pPr>
        <w:ind w:firstLine="315" w:firstLineChars="150"/>
      </w:pPr>
      <w:r>
        <w:rPr>
          <w:b/>
          <w:bCs/>
        </w:rPr>
        <w:t xml:space="preserve">9 </w:t>
      </w:r>
      <w:r>
        <w:t>旧工业</w:t>
      </w:r>
      <w:r>
        <w:rPr>
          <w:rFonts w:hint="eastAsia"/>
        </w:rPr>
        <w:t>厂区既有景观状况。</w:t>
      </w:r>
    </w:p>
    <w:p>
      <w:pPr>
        <w:ind w:firstLine="315" w:firstLineChars="150"/>
      </w:pPr>
      <w:r>
        <w:rPr>
          <w:b/>
          <w:bCs/>
        </w:rPr>
        <w:t>10</w:t>
      </w:r>
      <w:r>
        <w:rPr>
          <w:rFonts w:hint="eastAsia"/>
        </w:rPr>
        <w:t>其他与施工有关的主要因素。</w:t>
      </w:r>
    </w:p>
    <w:p>
      <w:pPr>
        <w:spacing w:before="100" w:after="100" w:line="440" w:lineRule="exact"/>
        <w:jc w:val="center"/>
        <w:outlineLvl w:val="1"/>
        <w:rPr>
          <w:b/>
          <w:bCs/>
          <w:sz w:val="28"/>
          <w:szCs w:val="30"/>
        </w:rPr>
      </w:pPr>
      <w:bookmarkStart w:id="134" w:name="_Toc72139692"/>
      <w:bookmarkStart w:id="135" w:name="_Toc53214375"/>
      <w:r>
        <w:rPr>
          <w:rFonts w:hint="eastAsia"/>
          <w:b/>
          <w:bCs/>
          <w:sz w:val="28"/>
          <w:szCs w:val="30"/>
        </w:rPr>
        <w:t>4.3 总体施工部署</w:t>
      </w:r>
      <w:bookmarkEnd w:id="134"/>
      <w:bookmarkEnd w:id="135"/>
    </w:p>
    <w:p>
      <w:r>
        <w:rPr>
          <w:rFonts w:eastAsia="黑体" w:hint="eastAsia"/>
          <w:b/>
          <w:color w:val="000000" w:themeColor="text1"/>
          <w14:textFill>
            <w14:solidFill>
              <w14:schemeClr w14:val="tx1"/>
            </w14:solidFill>
          </w14:textFill>
        </w:rPr>
        <w:t>4.3.1</w:t>
      </w:r>
      <w:r>
        <w:rPr>
          <w:rFonts w:eastAsia="黑体" w:hint="eastAsia"/>
        </w:rPr>
        <w:t xml:space="preserve">  </w:t>
      </w:r>
      <w:r>
        <w:rPr>
          <w:rFonts w:hint="eastAsia"/>
        </w:rPr>
        <w:t>施工组织总设计应结合旧工业建筑再生利用的特点对总体施工做出下列宏观部署：</w:t>
      </w:r>
    </w:p>
    <w:p>
      <w:pPr>
        <w:ind w:firstLine="315" w:firstLineChars="150"/>
        <w:rPr>
          <w:rFonts w:eastAsia="黑体"/>
        </w:rPr>
      </w:pPr>
      <w:r>
        <w:rPr>
          <w:rFonts w:hint="eastAsia"/>
          <w:b/>
          <w:bCs/>
        </w:rPr>
        <w:t>1</w:t>
      </w:r>
      <w:r>
        <w:rPr>
          <w:b/>
          <w:bCs/>
        </w:rPr>
        <w:t xml:space="preserve"> </w:t>
      </w:r>
      <w:r>
        <w:rPr>
          <w:rFonts w:hint="eastAsia"/>
        </w:rPr>
        <w:t>确定旧工业建筑再生利用施工总目标，包括进度、质量、安全文明、环境和成本目标。</w:t>
      </w:r>
    </w:p>
    <w:p>
      <w:pPr>
        <w:ind w:firstLine="315" w:firstLineChars="150"/>
        <w:rPr>
          <w:rFonts w:eastAsia="黑体"/>
        </w:rPr>
      </w:pPr>
      <w:r>
        <w:rPr>
          <w:rFonts w:hint="eastAsia"/>
          <w:b/>
          <w:bCs/>
        </w:rPr>
        <w:t>2</w:t>
      </w:r>
      <w:r>
        <w:rPr>
          <w:b/>
          <w:bCs/>
        </w:rPr>
        <w:t xml:space="preserve"> </w:t>
      </w:r>
      <w:r>
        <w:rPr>
          <w:rFonts w:hint="eastAsia"/>
        </w:rPr>
        <w:t>根据旧工业建筑再生利用施工总目标的要求，确定项目分阶段(期)交付的时间及任务计划。</w:t>
      </w:r>
    </w:p>
    <w:p>
      <w:pPr>
        <w:ind w:firstLine="315" w:firstLineChars="150"/>
      </w:pPr>
      <w:r>
        <w:rPr>
          <w:rFonts w:hint="eastAsia"/>
          <w:b/>
          <w:bCs/>
        </w:rPr>
        <w:t>3</w:t>
      </w:r>
      <w:r>
        <w:rPr>
          <w:b/>
          <w:bCs/>
        </w:rPr>
        <w:t xml:space="preserve"> </w:t>
      </w:r>
      <w:r>
        <w:rPr>
          <w:rFonts w:hint="eastAsia"/>
        </w:rPr>
        <w:t>确定旧工业建筑再生利用分阶段(期)施工的合理顺序及空间组织。</w:t>
      </w:r>
    </w:p>
    <w:p>
      <w:r>
        <w:rPr>
          <w:rFonts w:eastAsia="黑体" w:hint="eastAsia"/>
          <w:b/>
          <w:color w:val="000000" w:themeColor="text1"/>
          <w14:textFill>
            <w14:solidFill>
              <w14:schemeClr w14:val="tx1"/>
            </w14:solidFill>
          </w14:textFill>
        </w:rPr>
        <w:t>4.3.2</w:t>
      </w:r>
      <w:r>
        <w:rPr>
          <w:rFonts w:eastAsia="黑体" w:hint="eastAsia"/>
        </w:rPr>
        <w:t xml:space="preserve">  </w:t>
      </w:r>
      <w:r>
        <w:rPr>
          <w:rFonts w:hint="eastAsia"/>
        </w:rPr>
        <w:t>对于旧工业建筑再生利用施工的重点和难点应进行简要分析。</w:t>
      </w:r>
    </w:p>
    <w:p>
      <w:r>
        <w:rPr>
          <w:rFonts w:eastAsia="黑体" w:hint="eastAsia"/>
          <w:b/>
          <w:color w:val="000000" w:themeColor="text1"/>
          <w14:textFill>
            <w14:solidFill>
              <w14:schemeClr w14:val="tx1"/>
            </w14:solidFill>
          </w14:textFill>
        </w:rPr>
        <w:t>4.3.3</w:t>
      </w:r>
      <w:r>
        <w:rPr>
          <w:rFonts w:eastAsia="黑体" w:hint="eastAsia"/>
        </w:rPr>
        <w:t xml:space="preserve">  </w:t>
      </w:r>
      <w:r>
        <w:rPr>
          <w:rFonts w:hint="eastAsia"/>
        </w:rPr>
        <w:t>对于旧工业建筑原有结构的检测报告和室内外环境检测报告进行分析。</w:t>
      </w:r>
    </w:p>
    <w:p>
      <w:pPr>
        <w:sectPr>
          <w:headerReference w:type="default" r:id="rId24"/>
          <w:footerReference w:type="even" r:id="rId25"/>
          <w:footerReference w:type="default" r:id="rId26"/>
          <w:type w:val="nextPage"/>
          <w:pgSz w:w="8335" w:h="11850"/>
          <w:pgMar w:top="1083" w:right="1083" w:bottom="1083" w:left="1083" w:header="851" w:footer="992" w:gutter="0"/>
          <w:pgNumType w:start="8"/>
          <w:cols w:num="1" w:space="0"/>
          <w:titlePg w:val="0"/>
          <w:docGrid w:type="linesAndChars" w:linePitch="312" w:charSpace="0"/>
        </w:sectPr>
      </w:pPr>
      <w:r>
        <w:rPr>
          <w:rFonts w:eastAsia="黑体" w:hint="eastAsia"/>
          <w:b/>
          <w:color w:val="000000" w:themeColor="text1"/>
          <w14:textFill>
            <w14:solidFill>
              <w14:schemeClr w14:val="tx1"/>
            </w14:solidFill>
          </w14:textFill>
        </w:rPr>
        <w:t>4.3.4</w:t>
      </w:r>
      <w:r>
        <w:rPr>
          <w:rFonts w:eastAsia="黑体" w:hint="eastAsia"/>
        </w:rPr>
        <w:t xml:space="preserve">  </w:t>
      </w:r>
    </w:p>
    <w:p>
      <w:r>
        <w:rPr>
          <w:rFonts w:hint="eastAsia"/>
        </w:rPr>
        <w:t>对于旧工业建筑的建（构）筑物的部分拆除和增层等工作做出部署。</w:t>
      </w:r>
    </w:p>
    <w:p>
      <w:r>
        <w:rPr>
          <w:rFonts w:eastAsia="黑体" w:hint="eastAsia"/>
          <w:b/>
          <w:color w:val="000000" w:themeColor="text1"/>
          <w14:textFill>
            <w14:solidFill>
              <w14:schemeClr w14:val="tx1"/>
            </w14:solidFill>
          </w14:textFill>
        </w:rPr>
        <w:t>4.3.5</w:t>
      </w:r>
      <w:r>
        <w:rPr>
          <w:rFonts w:eastAsia="黑体" w:hint="eastAsia"/>
        </w:rPr>
        <w:t xml:space="preserve">  </w:t>
      </w:r>
      <w:r>
        <w:rPr>
          <w:rFonts w:hint="eastAsia"/>
        </w:rPr>
        <w:t>对主要施工单位的资质和能力应提出明确要求。</w:t>
      </w:r>
    </w:p>
    <w:p>
      <w:pPr>
        <w:spacing w:before="100" w:after="100" w:line="440" w:lineRule="exact"/>
        <w:jc w:val="center"/>
        <w:outlineLvl w:val="1"/>
        <w:rPr>
          <w:b/>
          <w:bCs/>
          <w:sz w:val="28"/>
          <w:szCs w:val="30"/>
        </w:rPr>
      </w:pPr>
      <w:bookmarkStart w:id="136" w:name="_Toc53214376"/>
      <w:bookmarkStart w:id="137" w:name="_Toc72139693"/>
      <w:r>
        <w:rPr>
          <w:rFonts w:hint="eastAsia"/>
          <w:b/>
          <w:bCs/>
          <w:sz w:val="28"/>
          <w:szCs w:val="30"/>
        </w:rPr>
        <w:t>4.4 施工总进度</w:t>
      </w:r>
      <w:bookmarkEnd w:id="136"/>
      <w:bookmarkEnd w:id="137"/>
    </w:p>
    <w:p>
      <w:r>
        <w:rPr>
          <w:rFonts w:eastAsia="黑体" w:hint="eastAsia"/>
          <w:b/>
        </w:rPr>
        <w:t>4.4.1</w:t>
      </w:r>
      <w:r>
        <w:rPr>
          <w:rFonts w:eastAsia="黑体" w:hint="eastAsia"/>
        </w:rPr>
        <w:t xml:space="preserve">  </w:t>
      </w:r>
      <w:r>
        <w:rPr>
          <w:rFonts w:hint="eastAsia"/>
        </w:rPr>
        <w:t>施工总进度计划应按照旧工业建筑再生利用总体施工部署的安排进行编制。</w:t>
      </w:r>
    </w:p>
    <w:p>
      <w:pPr>
        <w:rPr>
          <w:rFonts w:eastAsia="黑体"/>
        </w:rPr>
      </w:pPr>
      <w:r>
        <w:rPr>
          <w:rFonts w:eastAsia="黑体" w:hint="eastAsia"/>
          <w:b/>
        </w:rPr>
        <w:t>4.4.2</w:t>
      </w:r>
      <w:r>
        <w:rPr>
          <w:rFonts w:eastAsia="黑体" w:hint="eastAsia"/>
        </w:rPr>
        <w:t xml:space="preserve">  </w:t>
      </w:r>
      <w:r>
        <w:rPr>
          <w:rFonts w:hint="eastAsia"/>
        </w:rPr>
        <w:t>施工总进度计划可采用网络图或横道图表示，并附必要说明。</w:t>
      </w:r>
    </w:p>
    <w:p>
      <w:pPr>
        <w:spacing w:before="100" w:after="100" w:line="440" w:lineRule="exact"/>
        <w:jc w:val="center"/>
        <w:outlineLvl w:val="1"/>
        <w:rPr>
          <w:b/>
          <w:bCs/>
          <w:sz w:val="28"/>
          <w:szCs w:val="30"/>
        </w:rPr>
      </w:pPr>
      <w:bookmarkStart w:id="138" w:name="_Toc53214377"/>
      <w:bookmarkStart w:id="139" w:name="_Toc72139694"/>
      <w:r>
        <w:rPr>
          <w:rFonts w:hint="eastAsia"/>
          <w:b/>
          <w:bCs/>
          <w:sz w:val="28"/>
          <w:szCs w:val="30"/>
        </w:rPr>
        <w:t>4.5 总体施工准备与资源配置</w:t>
      </w:r>
      <w:bookmarkEnd w:id="138"/>
      <w:bookmarkEnd w:id="139"/>
    </w:p>
    <w:p>
      <w:r>
        <w:rPr>
          <w:rFonts w:eastAsia="黑体" w:hint="eastAsia"/>
          <w:b/>
        </w:rPr>
        <w:t>4.5.1</w:t>
      </w:r>
      <w:r>
        <w:rPr>
          <w:rFonts w:eastAsia="黑体" w:hint="eastAsia"/>
        </w:rPr>
        <w:t xml:space="preserve">  </w:t>
      </w:r>
      <w:r>
        <w:rPr>
          <w:rFonts w:hint="eastAsia"/>
        </w:rPr>
        <w:t>总体施工准备应包括技术准备、现场准备和资金准备等。</w:t>
      </w:r>
    </w:p>
    <w:p>
      <w:r>
        <w:rPr>
          <w:rFonts w:eastAsia="黑体" w:hint="eastAsia"/>
          <w:b/>
        </w:rPr>
        <w:t>4.5.2</w:t>
      </w:r>
      <w:r>
        <w:rPr>
          <w:rFonts w:eastAsia="黑体" w:hint="eastAsia"/>
        </w:rPr>
        <w:t xml:space="preserve">  </w:t>
      </w:r>
      <w:r>
        <w:rPr>
          <w:rFonts w:hint="eastAsia"/>
        </w:rPr>
        <w:t>技术准备、现场准备和资金准备应满足项目分阶段(期)施工的需要。</w:t>
      </w:r>
    </w:p>
    <w:p>
      <w:pPr>
        <w:rPr>
          <w:rFonts w:eastAsia="黑体"/>
        </w:rPr>
      </w:pPr>
      <w:r>
        <w:rPr>
          <w:rFonts w:eastAsia="黑体" w:hint="eastAsia"/>
          <w:b/>
        </w:rPr>
        <w:t>4.5.3</w:t>
      </w:r>
      <w:r>
        <w:rPr>
          <w:rFonts w:eastAsia="黑体" w:hint="eastAsia"/>
        </w:rPr>
        <w:t xml:space="preserve">  </w:t>
      </w:r>
      <w:r>
        <w:rPr>
          <w:rFonts w:hint="eastAsia"/>
        </w:rPr>
        <w:t>主要资源配置计划应包括劳动力配置计划和物资配置计划等。</w:t>
      </w:r>
    </w:p>
    <w:p>
      <w:r>
        <w:rPr>
          <w:rFonts w:eastAsia="黑体" w:hint="eastAsia"/>
          <w:b/>
        </w:rPr>
        <w:t>4.5.4</w:t>
      </w:r>
      <w:r>
        <w:rPr>
          <w:rFonts w:eastAsia="黑体" w:hint="eastAsia"/>
        </w:rPr>
        <w:t xml:space="preserve">  </w:t>
      </w:r>
      <w:r>
        <w:rPr>
          <w:rFonts w:hint="eastAsia"/>
        </w:rPr>
        <w:t>劳动力配置计划应包括下列内容：</w:t>
      </w:r>
    </w:p>
    <w:p>
      <w:pPr>
        <w:ind w:firstLine="315" w:firstLineChars="150"/>
      </w:pPr>
      <w:r>
        <w:rPr>
          <w:rFonts w:eastAsia="黑体" w:hint="eastAsia"/>
          <w:b/>
          <w:bCs/>
        </w:rPr>
        <w:t>1</w:t>
      </w:r>
      <w:r>
        <w:rPr>
          <w:rFonts w:eastAsia="黑体"/>
          <w:b/>
          <w:bCs/>
        </w:rPr>
        <w:t xml:space="preserve"> </w:t>
      </w:r>
      <w:r>
        <w:rPr>
          <w:rFonts w:hint="eastAsia"/>
        </w:rPr>
        <w:t>确定各施工阶段(期)的总用工量。</w:t>
      </w:r>
    </w:p>
    <w:p>
      <w:pPr>
        <w:ind w:firstLine="315" w:firstLineChars="150"/>
      </w:pPr>
      <w:r>
        <w:rPr>
          <w:b/>
          <w:bCs/>
        </w:rPr>
        <w:t xml:space="preserve">2 </w:t>
      </w:r>
      <w:r>
        <w:rPr>
          <w:rFonts w:hint="eastAsia"/>
        </w:rPr>
        <w:t>根据施工总进度计划确定各施工阶段(期)的劳动力配置计划。</w:t>
      </w:r>
    </w:p>
    <w:p>
      <w:r>
        <w:rPr>
          <w:rFonts w:eastAsia="黑体" w:hint="eastAsia"/>
          <w:b/>
        </w:rPr>
        <w:t>4.5.5</w:t>
      </w:r>
      <w:r>
        <w:rPr>
          <w:rFonts w:eastAsia="黑体" w:hint="eastAsia"/>
        </w:rPr>
        <w:t xml:space="preserve">  </w:t>
      </w:r>
      <w:r>
        <w:rPr>
          <w:rFonts w:hint="eastAsia"/>
        </w:rPr>
        <w:t>物资配置计划应包括下列内容：</w:t>
      </w:r>
    </w:p>
    <w:p>
      <w:pPr>
        <w:ind w:firstLine="315" w:firstLineChars="150"/>
      </w:pPr>
      <w:r>
        <w:rPr>
          <w:rFonts w:hint="eastAsia"/>
          <w:b/>
          <w:bCs/>
        </w:rPr>
        <w:t>1</w:t>
      </w:r>
      <w:r>
        <w:rPr>
          <w:rFonts w:hint="eastAsia"/>
        </w:rPr>
        <w:t>根据施工总进度计划确定主要工程材料和设备的配置计划。</w:t>
      </w:r>
    </w:p>
    <w:p>
      <w:pPr>
        <w:ind w:firstLine="315" w:firstLineChars="150"/>
        <w:rPr>
          <w:rFonts w:eastAsia="黑体"/>
        </w:rPr>
      </w:pPr>
      <w:r>
        <w:rPr>
          <w:rFonts w:hint="eastAsia"/>
          <w:b/>
          <w:bCs/>
        </w:rPr>
        <w:t>2</w:t>
      </w:r>
      <w:r>
        <w:rPr>
          <w:rFonts w:hint="eastAsia"/>
        </w:rPr>
        <w:t>根据总体施工部署和施工总进度计划确定主要施工周转材料和施工机具的配置计划。</w:t>
      </w:r>
    </w:p>
    <w:p>
      <w:pPr>
        <w:spacing w:before="100" w:after="100" w:line="440" w:lineRule="exact"/>
        <w:jc w:val="center"/>
        <w:outlineLvl w:val="1"/>
        <w:rPr>
          <w:b/>
          <w:bCs/>
          <w:sz w:val="28"/>
          <w:szCs w:val="30"/>
        </w:rPr>
      </w:pPr>
      <w:bookmarkStart w:id="140" w:name="_Toc72139695"/>
      <w:bookmarkStart w:id="141" w:name="_Toc53214378"/>
      <w:r>
        <w:rPr>
          <w:rFonts w:hint="eastAsia"/>
          <w:b/>
          <w:bCs/>
          <w:sz w:val="28"/>
          <w:szCs w:val="30"/>
        </w:rPr>
        <w:t>4.6 主要施工方法</w:t>
      </w:r>
      <w:bookmarkEnd w:id="140"/>
      <w:bookmarkEnd w:id="141"/>
    </w:p>
    <w:p>
      <w:pPr>
        <w:rPr>
          <w:rStyle w:val="CommentReference"/>
        </w:rPr>
      </w:pPr>
      <w:r>
        <w:rPr>
          <w:rFonts w:eastAsia="黑体" w:cs="Times New Roman" w:hint="eastAsia"/>
          <w:b/>
        </w:rPr>
        <w:t>4.6.1</w:t>
      </w:r>
      <w:r>
        <w:rPr>
          <w:rFonts w:eastAsia="黑体" w:cs="Times New Roman" w:hint="eastAsia"/>
        </w:rPr>
        <w:t xml:space="preserve">  </w:t>
      </w:r>
      <w:r>
        <w:rPr>
          <w:rStyle w:val="CommentReference"/>
          <w:rFonts w:hint="eastAsia"/>
        </w:rPr>
        <w:t>旧工业建筑再生利用应根据现场情况、结构检测报告、室内外环境检测报告选择合适的施工方法。</w:t>
      </w:r>
    </w:p>
    <w:p>
      <w:pPr>
        <w:rPr>
          <w:rFonts w:ascii="宋体" w:hAnsi="宋体" w:cs="Times New Roman"/>
        </w:rPr>
      </w:pPr>
      <w:r>
        <w:rPr>
          <w:rFonts w:eastAsia="黑体" w:cs="Times New Roman" w:hint="eastAsia"/>
          <w:b/>
        </w:rPr>
        <w:t>4.6.2</w:t>
      </w:r>
      <w:r>
        <w:rPr>
          <w:rFonts w:eastAsia="黑体" w:cs="Times New Roman" w:hint="eastAsia"/>
        </w:rPr>
        <w:t xml:space="preserve">  </w:t>
      </w:r>
      <w:r>
        <w:rPr>
          <w:rStyle w:val="CommentReference"/>
          <w:rFonts w:hint="eastAsia"/>
        </w:rPr>
        <w:t>应对旧工业建筑再生利用结构的外接、增层、内嵌、下挖等施工方法进行简要说明。</w:t>
      </w:r>
    </w:p>
    <w:p>
      <w:pPr>
        <w:rPr>
          <w:rFonts w:ascii="宋体" w:hAnsi="宋体" w:cs="Times New Roman"/>
        </w:rPr>
        <w:sectPr>
          <w:headerReference w:type="default" r:id="rId27"/>
          <w:footerReference w:type="even" r:id="rId28"/>
          <w:footerReference w:type="default" r:id="rId29"/>
          <w:type w:val="nextPage"/>
          <w:pgSz w:w="8335" w:h="11850"/>
          <w:pgMar w:top="1083" w:right="1083" w:bottom="1083" w:left="1083" w:header="851" w:footer="992" w:gutter="0"/>
          <w:pgNumType w:start="9"/>
          <w:cols w:num="1" w:space="0"/>
          <w:titlePg w:val="0"/>
          <w:docGrid w:type="linesAndChars" w:linePitch="312" w:charSpace="0"/>
        </w:sectPr>
      </w:pPr>
      <w:r>
        <w:rPr>
          <w:rFonts w:eastAsia="黑体" w:cs="Times New Roman" w:hint="eastAsia"/>
          <w:b/>
        </w:rPr>
        <w:t>4.6.3</w:t>
      </w:r>
      <w:r>
        <w:rPr>
          <w:rFonts w:eastAsia="黑体" w:cs="Times New Roman" w:hint="eastAsia"/>
        </w:rPr>
        <w:t xml:space="preserve">  </w:t>
      </w:r>
    </w:p>
    <w:p>
      <w:pPr>
        <w:rPr>
          <w:rFonts w:ascii="宋体" w:hAnsi="宋体" w:cs="Times New Roman"/>
        </w:rPr>
      </w:pPr>
      <w:r>
        <w:rPr>
          <w:rFonts w:ascii="宋体" w:hAnsi="宋体" w:cs="Times New Roman" w:hint="eastAsia"/>
        </w:rPr>
        <w:t>应对旧工业建筑再生利用重点部位施工的组织措施、技术方案进行简要说明。</w:t>
      </w:r>
    </w:p>
    <w:p>
      <w:pPr>
        <w:rPr>
          <w:rFonts w:ascii="宋体" w:hAnsi="宋体" w:cs="Times New Roman"/>
        </w:rPr>
        <w:sectPr>
          <w:headerReference w:type="default" r:id="rId30"/>
          <w:footerReference w:type="even" r:id="rId31"/>
          <w:footerReference w:type="default" r:id="rId32"/>
          <w:type w:val="nextPage"/>
          <w:pgSz w:w="8335" w:h="11850"/>
          <w:pgMar w:top="1083" w:right="1083" w:bottom="1083" w:left="1083" w:header="851" w:footer="992" w:gutter="0"/>
          <w:pgNumType w:start="10"/>
          <w:cols w:num="1" w:space="0"/>
          <w:titlePg w:val="0"/>
          <w:docGrid w:type="linesAndChars" w:linePitch="312" w:charSpace="0"/>
        </w:sectPr>
      </w:pPr>
      <w:r>
        <w:rPr>
          <w:rFonts w:eastAsia="黑体" w:cs="Times New Roman" w:hint="eastAsia"/>
          <w:b/>
        </w:rPr>
        <w:t>4.6.4</w:t>
      </w:r>
      <w:r>
        <w:rPr>
          <w:rFonts w:eastAsia="黑体" w:cs="Times New Roman" w:hint="eastAsia"/>
        </w:rPr>
        <w:t xml:space="preserve">  </w:t>
      </w:r>
      <w:r>
        <w:rPr>
          <w:rFonts w:ascii="宋体" w:hAnsi="宋体" w:cs="Times New Roman" w:hint="eastAsia"/>
        </w:rPr>
        <w:t>对脚手架工程、起重吊装工程、临时用水用电工程、季节性施工等专项工程所采用的施工方法应进行简要说明。</w:t>
      </w:r>
    </w:p>
    <w:p>
      <w:pPr>
        <w:spacing w:before="100" w:after="100" w:line="440" w:lineRule="exact"/>
        <w:jc w:val="center"/>
        <w:outlineLvl w:val="0"/>
        <w:rPr>
          <w:rFonts w:cs="Times New Roman"/>
          <w:b/>
          <w:bCs/>
          <w:sz w:val="30"/>
          <w:szCs w:val="30"/>
        </w:rPr>
      </w:pPr>
      <w:bookmarkStart w:id="142" w:name="_Toc72139697"/>
      <w:bookmarkStart w:id="143" w:name="_Toc53214380"/>
      <w:r>
        <w:rPr>
          <w:rFonts w:cs="Times New Roman"/>
          <w:b/>
          <w:bCs/>
          <w:sz w:val="30"/>
          <w:szCs w:val="30"/>
        </w:rPr>
        <w:t>5  单位工程施工组织设计</w:t>
      </w:r>
      <w:bookmarkEnd w:id="142"/>
      <w:bookmarkEnd w:id="143"/>
    </w:p>
    <w:p>
      <w:pPr>
        <w:spacing w:before="100" w:after="100" w:line="440" w:lineRule="exact"/>
        <w:jc w:val="center"/>
        <w:outlineLvl w:val="1"/>
        <w:rPr>
          <w:b/>
          <w:bCs/>
          <w:sz w:val="28"/>
          <w:szCs w:val="30"/>
        </w:rPr>
      </w:pPr>
      <w:bookmarkStart w:id="144" w:name="_Toc72139698"/>
      <w:bookmarkStart w:id="145" w:name="_Toc53214381"/>
      <w:r>
        <w:rPr>
          <w:b/>
          <w:bCs/>
          <w:sz w:val="28"/>
          <w:szCs w:val="30"/>
        </w:rPr>
        <w:t>5.1 一般规定</w:t>
      </w:r>
      <w:bookmarkEnd w:id="144"/>
      <w:bookmarkEnd w:id="145"/>
    </w:p>
    <w:p>
      <w:r>
        <w:rPr>
          <w:b/>
          <w:bCs/>
        </w:rPr>
        <w:t xml:space="preserve">5.1.1  </w:t>
      </w:r>
      <w:r>
        <w:t>单位工程施工组织设计的编制内容，</w:t>
      </w:r>
      <w:r>
        <w:rPr>
          <w:rFonts w:hint="eastAsia"/>
        </w:rPr>
        <w:t>一</w:t>
      </w:r>
      <w:r>
        <w:t>般应包括工程概况、施工</w:t>
      </w:r>
      <w:r>
        <w:rPr>
          <w:rFonts w:hint="eastAsia"/>
        </w:rPr>
        <w:t>部署</w:t>
      </w:r>
      <w:r>
        <w:t>、施工进度计划、施工准备</w:t>
      </w:r>
      <w:r>
        <w:rPr>
          <w:rFonts w:hint="eastAsia"/>
        </w:rPr>
        <w:t>及资源配置</w:t>
      </w:r>
      <w:r>
        <w:t>计划、</w:t>
      </w:r>
      <w:r>
        <w:rPr>
          <w:rFonts w:hint="eastAsia"/>
        </w:rPr>
        <w:t>施工方法和</w:t>
      </w:r>
      <w:r>
        <w:t>施工现场平面</w:t>
      </w:r>
      <w:r>
        <w:rPr>
          <w:rFonts w:hint="eastAsia"/>
        </w:rPr>
        <w:t>布置等。</w:t>
      </w:r>
    </w:p>
    <w:p>
      <w:r>
        <w:rPr>
          <w:b/>
          <w:bCs/>
        </w:rPr>
        <w:t xml:space="preserve">5.1.2  </w:t>
      </w:r>
      <w:r>
        <w:t>单位工程施工组织设计应由施工单位技术负责人或技术负责人授权的技术人员审批</w:t>
      </w:r>
      <w:r>
        <w:rPr>
          <w:rFonts w:hint="eastAsia"/>
        </w:rPr>
        <w:t>。</w:t>
      </w:r>
    </w:p>
    <w:p>
      <w:r>
        <w:rPr>
          <w:rFonts w:hint="eastAsia"/>
          <w:b/>
          <w:bCs/>
        </w:rPr>
        <w:t>5</w:t>
      </w:r>
      <w:r>
        <w:rPr>
          <w:b/>
          <w:bCs/>
        </w:rPr>
        <w:t xml:space="preserve">.1.3  </w:t>
      </w:r>
      <w:r>
        <w:t>单位工程施工组织设计应在总设计确定的各项原则、措施指导下进行编制</w:t>
      </w:r>
      <w:r>
        <w:rPr>
          <w:rFonts w:hint="eastAsia"/>
        </w:rPr>
        <w:t>。</w:t>
      </w:r>
    </w:p>
    <w:p>
      <w:pPr>
        <w:spacing w:before="100" w:after="100" w:line="440" w:lineRule="exact"/>
        <w:jc w:val="center"/>
        <w:outlineLvl w:val="1"/>
        <w:rPr>
          <w:b/>
          <w:bCs/>
          <w:sz w:val="28"/>
          <w:szCs w:val="30"/>
        </w:rPr>
      </w:pPr>
      <w:bookmarkStart w:id="146" w:name="_Toc53214382"/>
      <w:bookmarkStart w:id="147" w:name="_Toc72139699"/>
      <w:r>
        <w:rPr>
          <w:b/>
          <w:bCs/>
          <w:sz w:val="28"/>
          <w:szCs w:val="30"/>
        </w:rPr>
        <w:t>5.2 工程概况</w:t>
      </w:r>
      <w:bookmarkEnd w:id="146"/>
      <w:bookmarkEnd w:id="147"/>
    </w:p>
    <w:p>
      <w:r>
        <w:rPr>
          <w:rFonts w:hint="eastAsia"/>
          <w:b/>
          <w:bCs/>
        </w:rPr>
        <w:t>5</w:t>
      </w:r>
      <w:r>
        <w:rPr>
          <w:b/>
          <w:bCs/>
        </w:rPr>
        <w:t>.2.1</w:t>
      </w:r>
      <w:r>
        <w:t xml:space="preserve">  </w:t>
      </w:r>
      <w:r>
        <w:rPr>
          <w:rFonts w:hint="eastAsia"/>
        </w:rPr>
        <w:t>工程概况应包括工程特点、施工特点、地点特征、施工范围。</w:t>
      </w:r>
    </w:p>
    <w:p>
      <w:r>
        <w:rPr>
          <w:b/>
          <w:bCs/>
        </w:rPr>
        <w:t xml:space="preserve">5.2.2  </w:t>
      </w:r>
      <w:r>
        <w:t>工程特点</w:t>
      </w:r>
      <w:r>
        <w:rPr>
          <w:rFonts w:hint="eastAsia"/>
        </w:rPr>
        <w:t>应说明</w:t>
      </w:r>
      <w:r>
        <w:t>工程设计图纸的情况，特别是设计中是否采用了新结构、新技术、新工艺、新材料等内容，提出施工的重点和难点</w:t>
      </w:r>
      <w:r>
        <w:rPr>
          <w:rFonts w:hint="eastAsia"/>
        </w:rPr>
        <w:t>。</w:t>
      </w:r>
    </w:p>
    <w:p>
      <w:r>
        <w:rPr>
          <w:b/>
          <w:bCs/>
        </w:rPr>
        <w:t xml:space="preserve">5.2.3  </w:t>
      </w:r>
      <w:r>
        <w:t>施工特点</w:t>
      </w:r>
      <w:r>
        <w:rPr>
          <w:rFonts w:hint="eastAsia"/>
        </w:rPr>
        <w:t>应结合旧工业建筑再生利用的特点进行说明。</w:t>
      </w:r>
    </w:p>
    <w:p>
      <w:r>
        <w:rPr>
          <w:b/>
          <w:bCs/>
        </w:rPr>
        <w:t xml:space="preserve">5.2.4  </w:t>
      </w:r>
      <w:r>
        <w:rPr>
          <w:rFonts w:hint="eastAsia"/>
        </w:rPr>
        <w:t>旧工业建筑再生利用前应进行结构调查与检测，包括结构荷载、生产使用环境、维修和改造的历史，原单位工程设计使用年限内条件变化等。</w:t>
      </w:r>
    </w:p>
    <w:p>
      <w:r>
        <w:rPr>
          <w:b/>
          <w:bCs/>
        </w:rPr>
        <w:t xml:space="preserve">5.2.5  </w:t>
      </w:r>
      <w:r>
        <w:t>地点特征</w:t>
      </w:r>
      <w:r>
        <w:rPr>
          <w:rFonts w:hint="eastAsia"/>
        </w:rPr>
        <w:t>应</w:t>
      </w:r>
      <w:r>
        <w:t>说明建筑物位置、地形、地质、地下水位、气温冬雨季时间、主导风向以及地震裂度等情况。</w:t>
      </w:r>
    </w:p>
    <w:p>
      <w:r>
        <w:rPr>
          <w:b/>
          <w:bCs/>
        </w:rPr>
        <w:t>5.2.6</w:t>
      </w:r>
      <w:r>
        <w:t xml:space="preserve">  </w:t>
      </w:r>
      <w:r>
        <w:rPr>
          <w:rFonts w:hint="eastAsia"/>
        </w:rPr>
        <w:t>施工范围应明确拆除及改造的范围。</w:t>
      </w:r>
    </w:p>
    <w:p>
      <w:pPr>
        <w:spacing w:before="100" w:after="100" w:line="440" w:lineRule="exact"/>
        <w:jc w:val="center"/>
        <w:outlineLvl w:val="1"/>
        <w:rPr>
          <w:b/>
          <w:bCs/>
          <w:sz w:val="28"/>
          <w:szCs w:val="30"/>
        </w:rPr>
      </w:pPr>
      <w:bookmarkStart w:id="148" w:name="_Toc72139700"/>
      <w:bookmarkStart w:id="149" w:name="_Toc53214383"/>
      <w:r>
        <w:rPr>
          <w:b/>
          <w:bCs/>
          <w:sz w:val="28"/>
          <w:szCs w:val="30"/>
        </w:rPr>
        <w:t>5.3 施工部署</w:t>
      </w:r>
      <w:bookmarkEnd w:id="148"/>
      <w:bookmarkEnd w:id="149"/>
    </w:p>
    <w:p>
      <w:pPr>
        <w:sectPr>
          <w:headerReference w:type="default" r:id="rId33"/>
          <w:footerReference w:type="even" r:id="rId34"/>
          <w:footerReference w:type="default" r:id="rId35"/>
          <w:type w:val="nextPage"/>
          <w:pgSz w:w="8335" w:h="11850"/>
          <w:pgMar w:top="1083" w:right="1083" w:bottom="1083" w:left="1083" w:header="851" w:footer="992" w:gutter="0"/>
          <w:pgNumType w:start="11"/>
          <w:cols w:num="1" w:space="0"/>
          <w:titlePg w:val="0"/>
          <w:docGrid w:type="linesAndChars" w:linePitch="312" w:charSpace="0"/>
        </w:sectPr>
      </w:pPr>
      <w:r>
        <w:rPr>
          <w:rFonts w:hint="eastAsia"/>
          <w:b/>
          <w:bCs/>
        </w:rPr>
        <w:t>5</w:t>
      </w:r>
      <w:r>
        <w:rPr>
          <w:b/>
          <w:bCs/>
        </w:rPr>
        <w:t>.3.1</w:t>
      </w:r>
      <w:r>
        <w:t xml:space="preserve">  </w:t>
      </w:r>
      <w:r>
        <w:rPr>
          <w:rFonts w:hint="eastAsia"/>
        </w:rPr>
        <w:t>施工部署应符合施工组织总设计中确定的总体目标。</w:t>
      </w:r>
    </w:p>
    <w:p>
      <w:pPr>
        <w:rPr>
          <w:b/>
          <w:bCs/>
        </w:rPr>
      </w:pPr>
      <w:r>
        <w:rPr>
          <w:rFonts w:hint="eastAsia"/>
          <w:b/>
          <w:bCs/>
        </w:rPr>
        <w:t>5</w:t>
      </w:r>
      <w:r>
        <w:rPr>
          <w:b/>
          <w:bCs/>
        </w:rPr>
        <w:t xml:space="preserve">.3.2 </w:t>
      </w:r>
      <w:r>
        <w:t xml:space="preserve"> </w:t>
      </w:r>
      <w:r>
        <w:rPr>
          <w:rFonts w:hint="eastAsia"/>
        </w:rPr>
        <w:t>施工部署应对施工进度计划和项目组织管理进行说明。</w:t>
      </w:r>
    </w:p>
    <w:p>
      <w:r>
        <w:rPr>
          <w:rFonts w:hint="eastAsia"/>
          <w:b/>
          <w:bCs/>
        </w:rPr>
        <w:t>5</w:t>
      </w:r>
      <w:r>
        <w:rPr>
          <w:b/>
          <w:bCs/>
        </w:rPr>
        <w:t>.3.3</w:t>
      </w:r>
      <w:r>
        <w:t xml:space="preserve">  </w:t>
      </w:r>
      <w:r>
        <w:rPr>
          <w:rFonts w:hint="eastAsia"/>
        </w:rPr>
        <w:t>施工部署应对各主要分包工程施工单位的选择要求及管理方式进行简单说明。</w:t>
      </w:r>
    </w:p>
    <w:p>
      <w:pPr>
        <w:spacing w:before="100" w:after="100" w:line="440" w:lineRule="exact"/>
        <w:jc w:val="center"/>
        <w:outlineLvl w:val="1"/>
        <w:rPr>
          <w:b/>
          <w:bCs/>
          <w:sz w:val="28"/>
          <w:szCs w:val="30"/>
        </w:rPr>
      </w:pPr>
      <w:bookmarkStart w:id="150" w:name="_Toc72139701"/>
      <w:bookmarkStart w:id="151" w:name="_Toc53214384"/>
      <w:r>
        <w:rPr>
          <w:b/>
          <w:bCs/>
          <w:sz w:val="28"/>
          <w:szCs w:val="30"/>
        </w:rPr>
        <w:t>5.4 施工进度</w:t>
      </w:r>
      <w:bookmarkEnd w:id="150"/>
      <w:bookmarkEnd w:id="151"/>
    </w:p>
    <w:p>
      <w:r>
        <w:rPr>
          <w:rFonts w:hint="eastAsia"/>
          <w:b/>
          <w:bCs/>
        </w:rPr>
        <w:t>5</w:t>
      </w:r>
      <w:r>
        <w:rPr>
          <w:b/>
          <w:bCs/>
        </w:rPr>
        <w:t xml:space="preserve">.4.1  </w:t>
      </w:r>
      <w:r>
        <w:t>单位工程施工进度计划</w:t>
      </w:r>
      <w:r>
        <w:rPr>
          <w:rFonts w:hint="eastAsia"/>
        </w:rPr>
        <w:t>应</w:t>
      </w:r>
      <w:r>
        <w:t>根据合同工期和技术物资供应条件，遵循合理的施工工艺顺序和统筹安排各项施工活动的原则进行编制的</w:t>
      </w:r>
      <w:r>
        <w:rPr>
          <w:rFonts w:hint="eastAsia"/>
        </w:rPr>
        <w:t>。</w:t>
      </w:r>
    </w:p>
    <w:p>
      <w:bookmarkStart w:id="152" w:name="_Hlk46669329"/>
      <w:r>
        <w:rPr>
          <w:b/>
          <w:bCs/>
        </w:rPr>
        <w:t>5.4.2</w:t>
      </w:r>
      <w:r>
        <w:rPr>
          <w:rFonts w:hint="eastAsia"/>
          <w:b/>
          <w:bCs/>
        </w:rPr>
        <w:t xml:space="preserve"> </w:t>
      </w:r>
      <w:r>
        <w:rPr>
          <w:b/>
          <w:bCs/>
        </w:rPr>
        <w:t xml:space="preserve"> </w:t>
      </w:r>
      <w:r>
        <w:rPr>
          <w:rFonts w:hint="eastAsia"/>
        </w:rPr>
        <w:t>单位工程施工进度计划</w:t>
      </w:r>
      <w:bookmarkEnd w:id="152"/>
      <w:r>
        <w:rPr>
          <w:rFonts w:hint="eastAsia"/>
        </w:rPr>
        <w:t>应与</w:t>
      </w:r>
      <w:r>
        <w:t>施工总进度和各分项工程施工进度</w:t>
      </w:r>
      <w:r>
        <w:rPr>
          <w:rFonts w:hint="eastAsia"/>
        </w:rPr>
        <w:t>相统一。</w:t>
      </w:r>
    </w:p>
    <w:p>
      <w:r>
        <w:rPr>
          <w:rFonts w:hint="eastAsia"/>
          <w:b/>
          <w:bCs/>
        </w:rPr>
        <w:t>5</w:t>
      </w:r>
      <w:r>
        <w:rPr>
          <w:b/>
          <w:bCs/>
        </w:rPr>
        <w:t xml:space="preserve">.4.3  </w:t>
      </w:r>
      <w:r>
        <w:rPr>
          <w:rFonts w:hint="eastAsia"/>
        </w:rPr>
        <w:t>单位工程</w:t>
      </w:r>
      <w:r>
        <w:t>施工进度计划</w:t>
      </w:r>
      <w:r>
        <w:rPr>
          <w:rFonts w:hint="eastAsia"/>
        </w:rPr>
        <w:t>应</w:t>
      </w:r>
      <w:r>
        <w:t>明确各分部分项</w:t>
      </w:r>
      <w:r>
        <w:rPr>
          <w:rFonts w:hint="eastAsia"/>
        </w:rPr>
        <w:t>工程</w:t>
      </w:r>
      <w:r>
        <w:t>施工时间及其相互之间的衔接、配合关系</w:t>
      </w:r>
      <w:r>
        <w:rPr>
          <w:rFonts w:hint="eastAsia"/>
        </w:rPr>
        <w:t>。</w:t>
      </w:r>
    </w:p>
    <w:p>
      <w:r>
        <w:rPr>
          <w:b/>
          <w:bCs/>
        </w:rPr>
        <w:t xml:space="preserve">5.4.4  </w:t>
      </w:r>
      <w:r>
        <w:rPr>
          <w:rFonts w:hint="eastAsia"/>
        </w:rPr>
        <w:t>单位工程</w:t>
      </w:r>
      <w:r>
        <w:t>施工进度计划</w:t>
      </w:r>
      <w:r>
        <w:rPr>
          <w:rFonts w:hint="eastAsia"/>
        </w:rPr>
        <w:t>应</w:t>
      </w:r>
      <w:r>
        <w:t>确定所需劳动力、机械、材料等资源随时间进展的供应计划。</w:t>
      </w:r>
    </w:p>
    <w:p>
      <w:pPr>
        <w:spacing w:before="100" w:after="100" w:line="440" w:lineRule="exact"/>
        <w:jc w:val="center"/>
        <w:outlineLvl w:val="1"/>
        <w:rPr>
          <w:b/>
          <w:bCs/>
          <w:sz w:val="28"/>
          <w:szCs w:val="30"/>
        </w:rPr>
      </w:pPr>
      <w:bookmarkStart w:id="153" w:name="_Toc72139702"/>
      <w:bookmarkStart w:id="154" w:name="_Toc53214385"/>
      <w:r>
        <w:rPr>
          <w:b/>
          <w:bCs/>
          <w:sz w:val="28"/>
          <w:szCs w:val="30"/>
        </w:rPr>
        <w:t>5.5 施工准备与资源配置</w:t>
      </w:r>
      <w:bookmarkEnd w:id="153"/>
      <w:bookmarkEnd w:id="154"/>
    </w:p>
    <w:p>
      <w:r>
        <w:rPr>
          <w:rFonts w:hint="eastAsia"/>
          <w:b/>
          <w:bCs/>
        </w:rPr>
        <w:t>5</w:t>
      </w:r>
      <w:r>
        <w:rPr>
          <w:b/>
          <w:bCs/>
        </w:rPr>
        <w:t xml:space="preserve">.5.1  </w:t>
      </w:r>
      <w:r>
        <w:rPr>
          <w:rFonts w:hint="eastAsia"/>
        </w:rPr>
        <w:t>施工准备主要包括施工技术准备和施工现场准备。</w:t>
      </w:r>
    </w:p>
    <w:p>
      <w:r>
        <w:rPr>
          <w:rFonts w:hint="eastAsia"/>
          <w:b/>
          <w:bCs/>
        </w:rPr>
        <w:t>5</w:t>
      </w:r>
      <w:r>
        <w:rPr>
          <w:b/>
          <w:bCs/>
        </w:rPr>
        <w:t xml:space="preserve">.5.2  </w:t>
      </w:r>
      <w:r>
        <w:rPr>
          <w:rFonts w:hint="eastAsia"/>
        </w:rPr>
        <w:t>施工技术准备应熟悉与会审图纸，复核建设单位提供的资料，并对已建工程进行测量定位和放线。</w:t>
      </w:r>
    </w:p>
    <w:p>
      <w:pPr>
        <w:rPr>
          <w:b/>
          <w:bCs/>
        </w:rPr>
      </w:pPr>
      <w:r>
        <w:rPr>
          <w:rFonts w:hint="eastAsia"/>
          <w:b/>
          <w:bCs/>
        </w:rPr>
        <w:t>5</w:t>
      </w:r>
      <w:r>
        <w:rPr>
          <w:b/>
          <w:bCs/>
        </w:rPr>
        <w:t xml:space="preserve">.5.3  </w:t>
      </w:r>
      <w:r>
        <w:rPr>
          <w:rFonts w:hint="eastAsia"/>
        </w:rPr>
        <w:t>施工现场准备应完成场地清理工作，同时遵循“三通一平”原则。</w:t>
      </w:r>
    </w:p>
    <w:p>
      <w:r>
        <w:rPr>
          <w:rFonts w:hint="eastAsia"/>
          <w:b/>
          <w:bCs/>
        </w:rPr>
        <w:t>5</w:t>
      </w:r>
      <w:r>
        <w:rPr>
          <w:b/>
          <w:bCs/>
        </w:rPr>
        <w:t xml:space="preserve">.5.4  </w:t>
      </w:r>
      <w:r>
        <w:t>单位工程施工进度计划表编制各项资源的需用量计划</w:t>
      </w:r>
      <w:r>
        <w:rPr>
          <w:rFonts w:hint="eastAsia"/>
        </w:rPr>
        <w:t>主要包括</w:t>
      </w:r>
      <w:r>
        <w:t>劳动力需用量、施工机具设备需用量、主要建筑材料及构配件需用量等</w:t>
      </w:r>
      <w:r>
        <w:rPr>
          <w:rFonts w:hint="eastAsia"/>
        </w:rPr>
        <w:t>。</w:t>
      </w:r>
    </w:p>
    <w:p>
      <w:r>
        <w:rPr>
          <w:b/>
          <w:bCs/>
        </w:rPr>
        <w:t xml:space="preserve">5.5.5  </w:t>
      </w:r>
      <w:r>
        <w:t>编制劳动力需用量计划时，应详细分析各工种</w:t>
      </w:r>
      <w:r>
        <w:rPr>
          <w:rFonts w:hint="eastAsia"/>
        </w:rPr>
        <w:t>（</w:t>
      </w:r>
      <w:r>
        <w:t>或主要工种</w:t>
      </w:r>
      <w:r>
        <w:rPr>
          <w:rFonts w:hint="eastAsia"/>
        </w:rPr>
        <w:t>）</w:t>
      </w:r>
      <w:r>
        <w:t>人员的变化情况，宜画出各工种人员的动态图或表。</w:t>
      </w:r>
    </w:p>
    <w:p>
      <w:pPr>
        <w:sectPr>
          <w:headerReference w:type="default" r:id="rId36"/>
          <w:footerReference w:type="even" r:id="rId37"/>
          <w:footerReference w:type="default" r:id="rId38"/>
          <w:type w:val="nextPage"/>
          <w:pgSz w:w="8335" w:h="11850"/>
          <w:pgMar w:top="1083" w:right="1083" w:bottom="1083" w:left="1083" w:header="851" w:footer="992" w:gutter="0"/>
          <w:pgNumType w:start="12"/>
          <w:cols w:num="1" w:space="0"/>
          <w:titlePg w:val="0"/>
          <w:docGrid w:type="linesAndChars" w:linePitch="312" w:charSpace="0"/>
        </w:sectPr>
      </w:pPr>
      <w:r>
        <w:rPr>
          <w:b/>
          <w:bCs/>
        </w:rPr>
        <w:t xml:space="preserve">5.5.6  </w:t>
      </w:r>
      <w:r>
        <w:t>施工机具设备需用量计划</w:t>
      </w:r>
      <w:r>
        <w:rPr>
          <w:rFonts w:hint="eastAsia"/>
        </w:rPr>
        <w:t>应</w:t>
      </w:r>
      <w:r>
        <w:t>根据施工进度计划</w:t>
      </w:r>
      <w:r>
        <w:rPr>
          <w:rFonts w:hint="eastAsia"/>
        </w:rPr>
        <w:t>（</w:t>
      </w:r>
      <w:r>
        <w:t>方案</w:t>
      </w:r>
      <w:r>
        <w:rPr>
          <w:rFonts w:hint="eastAsia"/>
        </w:rPr>
        <w:t>）</w:t>
      </w:r>
    </w:p>
    <w:p>
      <w:r>
        <w:t>编制的主要施工机具设备的名称、数量、规格、型号、进退场时间以及机具设备的来源。</w:t>
      </w:r>
    </w:p>
    <w:p>
      <w:r>
        <w:rPr>
          <w:b/>
          <w:bCs/>
        </w:rPr>
        <w:t xml:space="preserve">5.5.7  </w:t>
      </w:r>
      <w:r>
        <w:t>主要材料需用量计划</w:t>
      </w:r>
      <w:r>
        <w:rPr>
          <w:rFonts w:hint="eastAsia"/>
        </w:rPr>
        <w:t>应根据</w:t>
      </w:r>
      <w:r>
        <w:t>施工预算、材料耗用定额和施工进度计划编制</w:t>
      </w:r>
      <w:r>
        <w:rPr>
          <w:rFonts w:hint="eastAsia"/>
        </w:rPr>
        <w:t>，</w:t>
      </w:r>
      <w:r>
        <w:t>编制时应明确材料名称、规格品种及使用时间等。</w:t>
      </w:r>
    </w:p>
    <w:p>
      <w:r>
        <w:rPr>
          <w:b/>
          <w:bCs/>
        </w:rPr>
        <w:t xml:space="preserve">5.5.8  </w:t>
      </w:r>
      <w:r>
        <w:t>构配件需用量计划</w:t>
      </w:r>
      <w:r>
        <w:rPr>
          <w:rFonts w:hint="eastAsia"/>
        </w:rPr>
        <w:t>应</w:t>
      </w:r>
      <w:r>
        <w:t>根据施工图和施工进度计划分别进行编制，并落实加工单位，施工中按时、按数量规格组织进场。</w:t>
      </w:r>
    </w:p>
    <w:p>
      <w:pPr>
        <w:spacing w:before="100" w:after="100" w:line="440" w:lineRule="exact"/>
        <w:jc w:val="center"/>
        <w:outlineLvl w:val="1"/>
        <w:rPr>
          <w:b/>
          <w:bCs/>
          <w:sz w:val="28"/>
          <w:szCs w:val="30"/>
        </w:rPr>
      </w:pPr>
      <w:bookmarkStart w:id="155" w:name="_Toc53214386"/>
      <w:bookmarkStart w:id="156" w:name="_Toc72139703"/>
      <w:r>
        <w:rPr>
          <w:b/>
          <w:bCs/>
          <w:sz w:val="28"/>
          <w:szCs w:val="30"/>
        </w:rPr>
        <w:t>5.6 主要施工方法</w:t>
      </w:r>
      <w:bookmarkEnd w:id="155"/>
      <w:bookmarkEnd w:id="156"/>
    </w:p>
    <w:p>
      <w:r>
        <w:rPr>
          <w:rFonts w:hint="eastAsia"/>
          <w:b/>
          <w:bCs/>
        </w:rPr>
        <w:t>5</w:t>
      </w:r>
      <w:r>
        <w:rPr>
          <w:b/>
          <w:bCs/>
        </w:rPr>
        <w:t xml:space="preserve">.6.1  </w:t>
      </w:r>
      <w:r>
        <w:t>旧工业建筑再生利用施工阶段应包括拆除工程施工，地基基础、主体结构和围护结构的加固、改建施工。</w:t>
      </w:r>
    </w:p>
    <w:p>
      <w:r>
        <w:rPr>
          <w:b/>
          <w:bCs/>
        </w:rPr>
        <w:t xml:space="preserve">5.6.2  </w:t>
      </w:r>
      <w:r>
        <w:t>拆除工程施工</w:t>
      </w:r>
      <w:r>
        <w:rPr>
          <w:rFonts w:hint="eastAsia"/>
        </w:rPr>
        <w:t>应遵循以下要求：</w:t>
      </w:r>
    </w:p>
    <w:p>
      <w:pPr>
        <w:ind w:firstLine="315" w:firstLineChars="150"/>
      </w:pPr>
      <w:r>
        <w:rPr>
          <w:b/>
          <w:bCs/>
        </w:rPr>
        <w:t>1</w:t>
      </w:r>
      <w:r>
        <w:t xml:space="preserve">  厂区建筑物拆除应遵循自上而下，先围护、后主体的拆除顺序，并应符合现行行业标准《建筑拆除工程安全技术规范》JGJ 147的规定。</w:t>
      </w:r>
    </w:p>
    <w:p>
      <w:pPr>
        <w:ind w:firstLine="315" w:firstLineChars="150"/>
      </w:pPr>
      <w:r>
        <w:rPr>
          <w:rFonts w:cs="Times New Roman"/>
          <w:b/>
          <w:bCs/>
        </w:rPr>
        <w:t>2</w:t>
      </w:r>
      <w:r>
        <w:t xml:space="preserve"> 建筑物拆除工程施工前应明确建筑物、构筑物、设备设施原使用用途，对其中可能存在的有毒、有害物质应提前进行处理，并应符合现行团体标准《企业设备、建</w:t>
      </w:r>
      <w:r>
        <w:rPr>
          <w:rFonts w:hint="eastAsia"/>
        </w:rPr>
        <w:t>（</w:t>
      </w:r>
      <w:r>
        <w:t>构</w:t>
      </w:r>
      <w:r>
        <w:rPr>
          <w:rFonts w:hint="eastAsia"/>
        </w:rPr>
        <w:t>）</w:t>
      </w:r>
      <w:r>
        <w:t>筑物拆除活动污染防治技术指南》T/CAEPI 16-2018的规定。</w:t>
      </w:r>
    </w:p>
    <w:p>
      <w:pPr>
        <w:ind w:firstLine="315" w:firstLineChars="150"/>
      </w:pPr>
      <w:r>
        <w:rPr>
          <w:rFonts w:cs="Times New Roman"/>
          <w:b/>
          <w:bCs/>
        </w:rPr>
        <w:t>3</w:t>
      </w:r>
      <w:r>
        <w:t xml:space="preserve"> 厂区构筑物拆除工程施工应符合下列要求：</w:t>
      </w:r>
    </w:p>
    <w:p>
      <w:pPr>
        <w:ind w:firstLine="315" w:firstLineChars="150"/>
      </w:pPr>
      <w:r>
        <w:rPr>
          <w:rFonts w:cs="Times New Roman" w:hint="eastAsia"/>
        </w:rPr>
        <w:t>1）</w:t>
      </w:r>
      <w:r>
        <w:t>烟囱、</w:t>
      </w:r>
      <w:r>
        <w:rPr>
          <w:rFonts w:hint="eastAsia"/>
        </w:rPr>
        <w:t>筒</w:t>
      </w:r>
      <w:r>
        <w:t>仓等高大构筑物应优先选用机械拆除或爆破拆除，爆破施工应符合现行国家标准《爆破安全规程》GB 6722的规定</w:t>
      </w:r>
      <w:r>
        <w:rPr>
          <w:rFonts w:hint="eastAsia"/>
        </w:rPr>
        <w:t>。</w:t>
      </w:r>
    </w:p>
    <w:p>
      <w:pPr>
        <w:ind w:firstLine="315" w:firstLineChars="150"/>
      </w:pPr>
      <w:r>
        <w:rPr>
          <w:rFonts w:cs="Times New Roman" w:hint="eastAsia"/>
        </w:rPr>
        <w:t>2）</w:t>
      </w:r>
      <w:r>
        <w:t>厂区内既有桥梁拆除工程施工应符合现行行业标准《城市梁桥拆除工程安全技术规范》CJJ248的规定。</w:t>
      </w:r>
    </w:p>
    <w:p>
      <w:pPr>
        <w:ind w:firstLine="315" w:firstLineChars="150"/>
      </w:pPr>
      <w:r>
        <w:rPr>
          <w:rFonts w:cs="Times New Roman" w:hint="eastAsia"/>
        </w:rPr>
        <w:t>3）</w:t>
      </w:r>
      <w:r>
        <w:t>管网、道路等其他构筑物拆除工程施工应遵循各专业安全技术</w:t>
      </w:r>
      <w:r>
        <w:rPr>
          <w:rFonts w:hint="eastAsia"/>
        </w:rPr>
        <w:t>。</w:t>
      </w:r>
    </w:p>
    <w:p>
      <w:pPr>
        <w:ind w:firstLine="315" w:firstLineChars="150"/>
      </w:pPr>
      <w:r>
        <w:rPr>
          <w:rFonts w:cs="Times New Roman"/>
          <w:b/>
          <w:bCs/>
        </w:rPr>
        <w:t xml:space="preserve">4 </w:t>
      </w:r>
      <w:r>
        <w:t>厂区设备设施拆除工程施工应符合下列要求：</w:t>
      </w:r>
    </w:p>
    <w:p>
      <w:pPr>
        <w:ind w:firstLine="315" w:firstLineChars="150"/>
        <w:sectPr>
          <w:headerReference w:type="default" r:id="rId39"/>
          <w:footerReference w:type="even" r:id="rId40"/>
          <w:footerReference w:type="default" r:id="rId41"/>
          <w:type w:val="nextPage"/>
          <w:pgSz w:w="8335" w:h="11850"/>
          <w:pgMar w:top="1083" w:right="1083" w:bottom="1083" w:left="1083" w:header="851" w:footer="992" w:gutter="0"/>
          <w:pgNumType w:start="13"/>
          <w:cols w:num="1" w:space="0"/>
          <w:titlePg w:val="0"/>
          <w:docGrid w:type="linesAndChars" w:linePitch="312" w:charSpace="0"/>
        </w:sectPr>
      </w:pPr>
      <w:r>
        <w:rPr>
          <w:rFonts w:cs="Times New Roman" w:hint="eastAsia"/>
        </w:rPr>
        <w:t>1）</w:t>
      </w:r>
    </w:p>
    <w:p>
      <w:pPr>
        <w:ind w:firstLine="315" w:firstLineChars="150"/>
      </w:pPr>
      <w:r>
        <w:t>设备设施拆除工程施工前应切断拟拆设备设施的结构连接节点、供电、供水、供气等外部连接。</w:t>
      </w:r>
    </w:p>
    <w:p>
      <w:pPr>
        <w:ind w:firstLine="315" w:firstLineChars="150"/>
      </w:pPr>
      <w:r>
        <w:rPr>
          <w:rFonts w:cs="Times New Roman" w:hint="eastAsia"/>
        </w:rPr>
        <w:t>2）</w:t>
      </w:r>
      <w:r>
        <w:t>在设备有限空间内进行拆除作业时应保证空气流通顺畅，确保安全后方可进入作业。</w:t>
      </w:r>
    </w:p>
    <w:p>
      <w:pPr>
        <w:ind w:firstLine="315" w:firstLineChars="150"/>
      </w:pPr>
      <w:r>
        <w:rPr>
          <w:rFonts w:cs="Times New Roman" w:hint="eastAsia"/>
        </w:rPr>
        <w:t>3）</w:t>
      </w:r>
      <w:r>
        <w:t>施工中有可能坠落的设备部件等物料应先行拆除或者提前加以固定。</w:t>
      </w:r>
    </w:p>
    <w:p>
      <w:pPr>
        <w:ind w:firstLine="315" w:firstLineChars="150"/>
      </w:pPr>
      <w:r>
        <w:rPr>
          <w:rFonts w:cs="Times New Roman" w:hint="eastAsia"/>
        </w:rPr>
        <w:t>4）</w:t>
      </w:r>
      <w:r>
        <w:t>通信设施拆除应符合现行行业标准《通信设施拆除安全暂行规定》YD 5221的规定。</w:t>
      </w:r>
    </w:p>
    <w:p>
      <w:pPr>
        <w:ind w:firstLine="315" w:firstLineChars="150"/>
      </w:pPr>
      <w:r>
        <w:rPr>
          <w:rFonts w:cs="Times New Roman"/>
          <w:b/>
          <w:bCs/>
        </w:rPr>
        <w:t xml:space="preserve">5 </w:t>
      </w:r>
      <w:r>
        <w:t>拆除工程施工或破碎构件整理、翻渣、建筑垃圾清运时，应采用洒水或喷淋措施，避免破坏厂区环境安全。</w:t>
      </w:r>
    </w:p>
    <w:p>
      <w:r>
        <w:rPr>
          <w:rFonts w:cs="Times New Roman"/>
          <w:b/>
          <w:bCs/>
        </w:rPr>
        <w:t>5.6.3</w:t>
      </w:r>
      <w:r>
        <w:rPr>
          <w:rFonts w:cs="Times New Roman"/>
        </w:rPr>
        <w:t xml:space="preserve"> </w:t>
      </w:r>
      <w:r>
        <w:t xml:space="preserve"> 地基基础施工应包括旧工业建筑地基基础工程、基坑工程、土石方工程等的加固与改建施工过程</w:t>
      </w:r>
      <w:r>
        <w:rPr>
          <w:rFonts w:hint="eastAsia"/>
        </w:rPr>
        <w:t>，在施工时应符合以下要求：</w:t>
      </w:r>
    </w:p>
    <w:p>
      <w:pPr>
        <w:ind w:firstLine="315" w:firstLineChars="150"/>
      </w:pPr>
      <w:r>
        <w:rPr>
          <w:rFonts w:cs="Times New Roman"/>
          <w:b/>
          <w:bCs/>
        </w:rPr>
        <w:t xml:space="preserve">1 </w:t>
      </w:r>
      <w:r>
        <w:t>地基基础施工时应对地下水位、周围沉降、地基沉降、建筑倾斜、构件变形、裂缝、内力等进行监测。监测过程应符合现行行业标准《建筑工程施工过程结构分析与监测技术规范》JGJ/T 302的规定。</w:t>
      </w:r>
    </w:p>
    <w:p>
      <w:pPr>
        <w:ind w:firstLine="315" w:firstLineChars="150"/>
      </w:pPr>
      <w:r>
        <w:rPr>
          <w:rFonts w:cs="Times New Roman"/>
          <w:b/>
          <w:bCs/>
        </w:rPr>
        <w:t>2</w:t>
      </w:r>
      <w:r>
        <w:t xml:space="preserve"> 地基基础施工应满足下列要求：</w:t>
      </w:r>
    </w:p>
    <w:p>
      <w:pPr>
        <w:ind w:firstLine="315" w:firstLineChars="150"/>
      </w:pPr>
      <w:r>
        <w:rPr>
          <w:rFonts w:cs="Times New Roman" w:hint="eastAsia"/>
        </w:rPr>
        <w:t>1）</w:t>
      </w:r>
      <w:r>
        <w:t>施工前应对既有地基基础进行可靠性鉴定。</w:t>
      </w:r>
    </w:p>
    <w:p>
      <w:pPr>
        <w:ind w:firstLine="315" w:firstLineChars="150"/>
      </w:pPr>
      <w:r>
        <w:rPr>
          <w:rFonts w:cs="Times New Roman" w:hint="eastAsia"/>
        </w:rPr>
        <w:t>2）</w:t>
      </w:r>
      <w:r>
        <w:t>施工应遵循防止倒塌、循序渐进、边挖边探的原则进行。</w:t>
      </w:r>
    </w:p>
    <w:p>
      <w:pPr>
        <w:ind w:firstLine="315" w:firstLineChars="150"/>
      </w:pPr>
      <w:r>
        <w:rPr>
          <w:rFonts w:cs="Times New Roman" w:hint="eastAsia"/>
        </w:rPr>
        <w:t>3）</w:t>
      </w:r>
      <w:r>
        <w:t>施工顺序应结合主体结构形式采用两侧对称进行、分段施工或间隔施工。</w:t>
      </w:r>
    </w:p>
    <w:p>
      <w:pPr>
        <w:ind w:firstLine="315" w:firstLineChars="150"/>
      </w:pPr>
      <w:r>
        <w:rPr>
          <w:rFonts w:cs="Times New Roman" w:hint="eastAsia"/>
        </w:rPr>
        <w:t>4）</w:t>
      </w:r>
      <w:r>
        <w:t>若基底存在旧基础、废弃管网等软硬不一部位，应按设计要求对地基进行处理。</w:t>
      </w:r>
    </w:p>
    <w:p>
      <w:pPr>
        <w:ind w:firstLine="315" w:firstLineChars="150"/>
      </w:pPr>
      <w:r>
        <w:rPr>
          <w:rFonts w:cs="Times New Roman"/>
          <w:b/>
          <w:bCs/>
        </w:rPr>
        <w:t>3</w:t>
      </w:r>
      <w:r>
        <w:t xml:space="preserve"> 基坑工程施工应满足下列要求：</w:t>
      </w:r>
    </w:p>
    <w:p>
      <w:pPr>
        <w:ind w:firstLine="315" w:firstLineChars="150"/>
      </w:pPr>
      <w:r>
        <w:rPr>
          <w:rFonts w:cs="Times New Roman" w:hint="eastAsia"/>
        </w:rPr>
        <w:t>1）</w:t>
      </w:r>
      <w:r>
        <w:t>基坑工程施工应编制基坑安全专项施工方案，经过专家论证后方可实施。</w:t>
      </w:r>
    </w:p>
    <w:p>
      <w:pPr>
        <w:ind w:firstLine="315" w:firstLineChars="150"/>
        <w:sectPr>
          <w:headerReference w:type="default" r:id="rId42"/>
          <w:footerReference w:type="even" r:id="rId43"/>
          <w:footerReference w:type="default" r:id="rId44"/>
          <w:type w:val="nextPage"/>
          <w:pgSz w:w="8335" w:h="11850"/>
          <w:pgMar w:top="1083" w:right="1083" w:bottom="1083" w:left="1083" w:header="851" w:footer="992" w:gutter="0"/>
          <w:pgNumType w:start="14"/>
          <w:cols w:num="1" w:space="0"/>
          <w:titlePg w:val="0"/>
          <w:docGrid w:type="linesAndChars" w:linePitch="312" w:charSpace="0"/>
        </w:sectPr>
      </w:pPr>
      <w:r>
        <w:rPr>
          <w:rFonts w:cs="Times New Roman" w:hint="eastAsia"/>
        </w:rPr>
        <w:t>2）</w:t>
      </w:r>
      <w:r>
        <w:t>对既有结构基础加固开挖基坑时应避免对既有基础、邻近建</w:t>
      </w:r>
      <w:r>
        <w:rPr>
          <w:rFonts w:hint="eastAsia"/>
        </w:rPr>
        <w:t>（</w:t>
      </w:r>
      <w:r>
        <w:t>构</w:t>
      </w:r>
      <w:r>
        <w:rPr>
          <w:rFonts w:hint="eastAsia"/>
        </w:rPr>
        <w:t>）</w:t>
      </w:r>
      <w:r>
        <w:t>筑物、地下管网、道路等产生危害，否则应进行支护。</w:t>
      </w:r>
    </w:p>
    <w:p>
      <w:pPr>
        <w:ind w:firstLine="315" w:firstLineChars="150"/>
      </w:pPr>
      <w:r>
        <w:rPr>
          <w:rFonts w:cs="Times New Roman" w:hint="eastAsia"/>
        </w:rPr>
        <w:t>3）</w:t>
      </w:r>
      <w:r>
        <w:t>基坑开挖前应做好基坑排水措施等，雨天禁止室外开挖。基坑开挖过程中，应避免厂区施工和生活用水流入基坑。</w:t>
      </w:r>
    </w:p>
    <w:p>
      <w:pPr>
        <w:ind w:firstLine="315" w:firstLineChars="150"/>
      </w:pPr>
      <w:r>
        <w:rPr>
          <w:rFonts w:cs="Times New Roman" w:hint="eastAsia"/>
        </w:rPr>
        <w:t>4）</w:t>
      </w:r>
      <w:r>
        <w:t>基坑工程施工安全监测测点布置、监测方法、监测频率等应符合现行国家标准《建筑基坑工程监测技术规范》GB 50497的规定。</w:t>
      </w:r>
    </w:p>
    <w:p>
      <w:r>
        <w:rPr>
          <w:rFonts w:hint="eastAsia"/>
          <w:b/>
          <w:bCs/>
        </w:rPr>
        <w:t>5</w:t>
      </w:r>
      <w:r>
        <w:rPr>
          <w:b/>
          <w:bCs/>
        </w:rPr>
        <w:t>.6.4</w:t>
      </w:r>
      <w:r>
        <w:t xml:space="preserve">  主体结构施工应包括木结构、砌体结构、混凝土结构、钢结构等的加固与改建施工过程</w:t>
      </w:r>
      <w:r>
        <w:rPr>
          <w:rFonts w:hint="eastAsia"/>
        </w:rPr>
        <w:t>，在施工时应分别满足以下要求：</w:t>
      </w:r>
    </w:p>
    <w:p>
      <w:pPr>
        <w:ind w:firstLine="315" w:firstLineChars="150"/>
      </w:pPr>
      <w:r>
        <w:rPr>
          <w:rFonts w:cs="Times New Roman"/>
          <w:b/>
          <w:bCs/>
        </w:rPr>
        <w:t>1</w:t>
      </w:r>
      <w:r>
        <w:t xml:space="preserve"> </w:t>
      </w:r>
      <w:r>
        <w:rPr>
          <w:rFonts w:hint="eastAsia"/>
        </w:rPr>
        <w:t>木</w:t>
      </w:r>
      <w:r>
        <w:t>结构加固施工应满足下列要求：</w:t>
      </w:r>
    </w:p>
    <w:p>
      <w:pPr>
        <w:ind w:firstLine="315" w:firstLineChars="150"/>
        <w:rPr>
          <w:rFonts w:cs="Times New Roman"/>
        </w:rPr>
      </w:pPr>
      <w:r>
        <w:rPr>
          <w:rFonts w:cs="Times New Roman"/>
        </w:rPr>
        <w:t>1）应遵循先支撑、后加固的顺序施工，支撑点应稳定牢固</w:t>
      </w:r>
      <w:r>
        <w:rPr>
          <w:rFonts w:cs="Times New Roman" w:hint="eastAsia"/>
        </w:rPr>
        <w:t>。</w:t>
      </w:r>
    </w:p>
    <w:p>
      <w:pPr>
        <w:ind w:firstLine="315" w:firstLineChars="150"/>
        <w:rPr>
          <w:rFonts w:cs="Times New Roman"/>
        </w:rPr>
      </w:pPr>
      <w:r>
        <w:rPr>
          <w:rFonts w:cs="Times New Roman" w:hint="eastAsia"/>
        </w:rPr>
        <w:t>2）</w:t>
      </w:r>
      <w:r>
        <w:rPr>
          <w:rFonts w:cs="Times New Roman"/>
        </w:rPr>
        <w:t>施工前应分析加固部位、加固方法及加固施工对木结构整体安全的影响，并制定有针对性的加固施工方案。</w:t>
      </w:r>
    </w:p>
    <w:p>
      <w:pPr>
        <w:ind w:firstLine="315" w:firstLineChars="150"/>
      </w:pPr>
      <w:r>
        <w:rPr>
          <w:rFonts w:cs="Times New Roman" w:hint="eastAsia"/>
        </w:rPr>
        <w:t>3）</w:t>
      </w:r>
      <w:r>
        <w:rPr>
          <w:rFonts w:cs="Times New Roman"/>
        </w:rPr>
        <w:t>应对木结构各构件、连接的虫蛀、腐蚀等情况等进行观察和标</w:t>
      </w:r>
      <w:r>
        <w:t>记，若出现异常情况应及时处理。</w:t>
      </w:r>
    </w:p>
    <w:p>
      <w:pPr>
        <w:ind w:firstLine="315" w:firstLineChars="150"/>
      </w:pPr>
      <w:r>
        <w:rPr>
          <w:rFonts w:cs="Times New Roman" w:hint="eastAsia"/>
        </w:rPr>
        <w:t>4）</w:t>
      </w:r>
      <w:r>
        <w:t>施工现场木材应远离火源，施工过程不应出现明火，若必须进行动火作业，应有专人看管。</w:t>
      </w:r>
    </w:p>
    <w:p>
      <w:pPr>
        <w:ind w:firstLine="315" w:firstLineChars="150"/>
      </w:pPr>
      <w:r>
        <w:rPr>
          <w:rFonts w:cs="Times New Roman"/>
          <w:b/>
          <w:bCs/>
        </w:rPr>
        <w:t xml:space="preserve">2 </w:t>
      </w:r>
      <w:r>
        <w:t>砌体结构加固施工应满足下列要求</w:t>
      </w:r>
      <w:r>
        <w:rPr>
          <w:rFonts w:hint="eastAsia"/>
        </w:rPr>
        <w:t>：</w:t>
      </w:r>
    </w:p>
    <w:p>
      <w:pPr>
        <w:ind w:firstLine="315" w:firstLineChars="150"/>
      </w:pPr>
      <w:r>
        <w:rPr>
          <w:rFonts w:cs="Times New Roman" w:hint="eastAsia"/>
        </w:rPr>
        <w:t>1）</w:t>
      </w:r>
      <w:r>
        <w:t>应遵循由下至上、逐层进行、先竖向后水平构件和分段、对称进行的顺序进行。</w:t>
      </w:r>
    </w:p>
    <w:p>
      <w:pPr>
        <w:ind w:firstLine="315" w:firstLineChars="150"/>
        <w:rPr>
          <w:rFonts w:cs="宋体"/>
        </w:rPr>
      </w:pPr>
      <w:r>
        <w:rPr>
          <w:rFonts w:cs="Times New Roman"/>
        </w:rPr>
        <w:t>2）</w:t>
      </w:r>
      <w:r>
        <w:t>应明确砖墙的组砌方法和质量要求。</w:t>
      </w:r>
    </w:p>
    <w:p>
      <w:pPr>
        <w:ind w:firstLine="315" w:firstLineChars="150"/>
        <w:rPr>
          <w:rFonts w:cs="宋体"/>
        </w:rPr>
      </w:pPr>
      <w:r>
        <w:rPr>
          <w:rFonts w:cs="Times New Roman"/>
        </w:rPr>
        <w:t>3）</w:t>
      </w:r>
      <w:r>
        <w:rPr>
          <w:rFonts w:cs="宋体" w:hint="eastAsia"/>
        </w:rPr>
        <w:t>对</w:t>
      </w:r>
      <w:r>
        <w:t>拱圈等物殊形式砌体，要在支模、砌筑、拆模等方面有明确的质量要求和技术措施。</w:t>
      </w:r>
    </w:p>
    <w:p>
      <w:pPr>
        <w:ind w:firstLine="315" w:firstLineChars="150"/>
      </w:pPr>
      <w:r>
        <w:rPr>
          <w:rFonts w:cs="Times New Roman"/>
        </w:rPr>
        <w:t>4）</w:t>
      </w:r>
      <w:r>
        <w:t>当楼层有体型较大或重量较重的设备需要在主体工程结束后进入安装时，往往在主体结构的某一部位从外墙至安装的房间留出通道，这时，通道部分的砌体暂不砌，但需做好临时安全措施，如墙.上过梁加大断面或配筋，以安全承受上部荷重。</w:t>
      </w:r>
    </w:p>
    <w:p>
      <w:pPr>
        <w:ind w:firstLine="315" w:firstLineChars="150"/>
      </w:pPr>
      <w:r>
        <w:rPr>
          <w:rFonts w:cs="Times New Roman"/>
          <w:b/>
          <w:bCs/>
        </w:rPr>
        <w:t>3</w:t>
      </w:r>
      <w:r>
        <w:t xml:space="preserve"> 混凝土结构加固施工应满足下列要求：</w:t>
      </w:r>
    </w:p>
    <w:p>
      <w:pPr>
        <w:ind w:firstLine="315" w:firstLineChars="150"/>
      </w:pPr>
      <w:r>
        <w:rPr>
          <w:rFonts w:cs="Times New Roman" w:hint="eastAsia"/>
        </w:rPr>
        <w:t>1）</w:t>
      </w:r>
      <w:r>
        <w:t>混凝土结构加固施工不应有严重缺陷及影响结构安全的尺寸偏差。</w:t>
      </w: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https://d.book118.com/908101005000006042</w:t>
        </w:r>
      </w:hyperlink>
    </w:p>
    <w:p>
      <w:pPr>
        <w:ind w:firstLine="315" w:firstLineChars="150"/>
      </w:pPr>
    </w:p>
    <w:sectPr>
      <w:headerReference w:type="default" r:id="rId46"/>
      <w:footerReference w:type="even" r:id="rId47"/>
      <w:footerReference w:type="default" r:id="rId48"/>
      <w:type w:val="nextPage"/>
      <w:pgSz w:w="8335" w:h="11850"/>
      <w:pgMar w:top="1083" w:right="1083" w:bottom="1083" w:left="1083" w:header="851" w:footer="992" w:gutter="0"/>
      <w:pgNumType w:start="15"/>
      <w:cols w:num="1" w:space="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2309972"/>
      <w:docPartObj>
        <w:docPartGallery w:val="autotext"/>
      </w:docPartObj>
    </w:sdtPr>
    <w:sdtEndPr>
      <w:rPr>
        <w:rFonts w:ascii="Times New Roman" w:hAnsi="Times New Roman"/>
      </w:rPr>
    </w:sdtEndPr>
    <w:sdtContent>
      <w:p>
        <w:pPr>
          <w:pStyle w:val="Foo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353321"/>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1</w:t>
        </w:r>
        <w:r>
          <w:rPr>
            <w:rFonts w:ascii="Times New Roman" w:hAnsi="Times New Roman"/>
          </w:rPr>
          <w:fldChar w:fldCharType="end"/>
        </w:r>
      </w:p>
    </w:sdtContent>
  </w:sdt>
  <w:p>
    <w:pPr>
      <w:pStyle w:val="Footer"/>
      <w:ind w:firstLine="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7629197"/>
      <w:docPartObj>
        <w:docPartGallery w:val="autotext"/>
      </w:docPartObj>
    </w:sdtPr>
    <w:sdtEndPr>
      <w:rPr>
        <w:rFonts w:ascii="Times New Roman" w:hAnsi="Times New Roman"/>
      </w:rPr>
    </w:sdtEndPr>
    <w:sdtContent>
      <w:p>
        <w:pPr>
          <w:pStyle w:val="Foo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3446841"/>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88568917"/>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69096"/>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w:t>
        </w:r>
        <w:r>
          <w:rPr>
            <w:rFonts w:ascii="Times New Roman" w:hAnsi="Times New Roman"/>
          </w:rPr>
          <w:fldChar w:fldCharType="end"/>
        </w:r>
      </w:p>
    </w:sdtContent>
  </w:sdt>
  <w:p>
    <w:pPr>
      <w:pStyle w:val="Footer"/>
      <w:ind w:firstLine="360"/>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65627331"/>
      <w:docPartObj>
        <w:docPartGallery w:val="autotext"/>
      </w:docPartObj>
    </w:sdtPr>
    <w:sdtContent>
      <w:p>
        <w:pPr>
          <w:pStyle w:val="Footer"/>
        </w:pPr>
        <w:r>
          <w:fldChar w:fldCharType="begin"/>
        </w:r>
        <w:r>
          <w:instrText>PAGE   \* MERGEFORMAT</w:instrText>
        </w:r>
        <w:r>
          <w:fldChar w:fldCharType="separate"/>
        </w:r>
        <w:r>
          <w:rPr>
            <w:lang w:val="zh-CN"/>
          </w:rPr>
          <w:t>4</w:t>
        </w:r>
        <w:r>
          <w:fldChar w:fldCharType="end"/>
        </w:r>
      </w:p>
    </w:sdtContent>
  </w:sdt>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3590570"/>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6410361"/>
      <w:docPartObj>
        <w:docPartGallery w:val="autotext"/>
      </w:docPartObj>
    </w:sdtPr>
    <w:sdtContent>
      <w:p>
        <w:pPr>
          <w:pStyle w:val="Footer"/>
        </w:pPr>
        <w:r>
          <w:fldChar w:fldCharType="begin"/>
        </w:r>
        <w:r>
          <w:instrText>PAGE   \* MERGEFORMAT</w:instrText>
        </w:r>
        <w:r>
          <w:fldChar w:fldCharType="separate"/>
        </w:r>
        <w:r>
          <w:rPr>
            <w:lang w:val="zh-CN"/>
          </w:rPr>
          <w:t>6</w:t>
        </w:r>
        <w:r>
          <w:fldChar w:fldCharType="end"/>
        </w:r>
      </w:p>
    </w:sdtContent>
  </w:sdt>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99766551"/>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5</w:t>
        </w:r>
        <w:r>
          <w:rPr>
            <w:rFonts w:ascii="Times New Roman" w:hAnsi="Times New Roman"/>
          </w:rPr>
          <w:fldChar w:fldCharType="end"/>
        </w:r>
      </w:p>
    </w:sdtContent>
  </w:sdt>
  <w:p>
    <w:pPr>
      <w:pStyle w:val="Footer"/>
      <w:ind w:firstLine="360"/>
      <w:jc w:val="righ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84696934"/>
      <w:docPartObj>
        <w:docPartGallery w:val="autotext"/>
      </w:docPartObj>
    </w:sdtPr>
    <w:sdtContent>
      <w:p>
        <w:pPr>
          <w:pStyle w:val="Footer"/>
        </w:pPr>
        <w:r>
          <w:fldChar w:fldCharType="begin"/>
        </w:r>
        <w:r>
          <w:instrText>PAGE   \* MERGEFORMAT</w:instrText>
        </w:r>
        <w:r>
          <w:fldChar w:fldCharType="separate"/>
        </w:r>
        <w:r>
          <w:rPr>
            <w:lang w:val="zh-CN"/>
          </w:rPr>
          <w:t>6</w:t>
        </w:r>
        <w:r>
          <w:fldChar w:fldCharType="end"/>
        </w:r>
      </w:p>
    </w:sdtContent>
  </w:sdt>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24849420"/>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244926"/>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2029872"/>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7</w:t>
        </w:r>
        <w:r>
          <w:rPr>
            <w:rFonts w:ascii="Times New Roman" w:hAnsi="Times New Roman"/>
          </w:rPr>
          <w:fldChar w:fldCharType="end"/>
        </w:r>
      </w:p>
    </w:sdtContent>
  </w:sdt>
  <w:p>
    <w:pPr>
      <w:pStyle w:val="Footer"/>
      <w:ind w:firstLine="360"/>
      <w:jc w:val="righ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00358657"/>
      <w:docPartObj>
        <w:docPartGallery w:val="autotext"/>
      </w:docPartObj>
    </w:sdtPr>
    <w:sdtContent>
      <w:p>
        <w:pPr>
          <w:pStyle w:val="Footer"/>
        </w:pPr>
        <w:r>
          <w:fldChar w:fldCharType="begin"/>
        </w:r>
        <w:r>
          <w:instrText>PAGE   \* MERGEFORMAT</w:instrText>
        </w:r>
        <w:r>
          <w:fldChar w:fldCharType="separate"/>
        </w:r>
        <w:r>
          <w:rPr>
            <w:lang w:val="zh-CN"/>
          </w:rPr>
          <w:t>8</w:t>
        </w:r>
        <w:r>
          <w:fldChar w:fldCharType="end"/>
        </w:r>
      </w:p>
    </w:sdtContent>
  </w:sdt>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4016828"/>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3855422"/>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57754"/>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9</w:t>
        </w:r>
        <w:r>
          <w:rPr>
            <w:rFonts w:ascii="Times New Roman" w:hAnsi="Times New Roman"/>
          </w:rPr>
          <w:fldChar w:fldCharType="end"/>
        </w:r>
      </w:p>
    </w:sdtContent>
  </w:sdt>
  <w:p>
    <w:pPr>
      <w:pStyle w:val="Footer"/>
      <w:ind w:firstLine="360"/>
      <w:jc w:val="righ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5916972"/>
      <w:docPartObj>
        <w:docPartGallery w:val="autotext"/>
      </w:docPartObj>
    </w:sdtPr>
    <w:sdtContent>
      <w:p>
        <w:pPr>
          <w:pStyle w:val="Footer"/>
        </w:pPr>
        <w:r>
          <w:fldChar w:fldCharType="begin"/>
        </w:r>
        <w:r>
          <w:instrText>PAGE   \* MERGEFORMAT</w:instrText>
        </w:r>
        <w:r>
          <w:fldChar w:fldCharType="separate"/>
        </w:r>
        <w:r>
          <w:rPr>
            <w:lang w:val="zh-CN"/>
          </w:rPr>
          <w:t>10</w:t>
        </w:r>
        <w:r>
          <w:fldChar w:fldCharType="end"/>
        </w:r>
      </w:p>
    </w:sdtContent>
  </w:sdt>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362744"/>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2542265"/>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3018387"/>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11</w:t>
        </w:r>
        <w:r>
          <w:rPr>
            <w:rFonts w:ascii="Times New Roman" w:hAnsi="Times New Roman"/>
          </w:rPr>
          <w:fldChar w:fldCharType="end"/>
        </w:r>
      </w:p>
    </w:sdtContent>
  </w:sdt>
  <w:p>
    <w:pPr>
      <w:pStyle w:val="Footer"/>
      <w:ind w:firstLine="360"/>
      <w:jc w:val="righ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73926724"/>
      <w:docPartObj>
        <w:docPartGallery w:val="autotext"/>
      </w:docPartObj>
    </w:sdtPr>
    <w:sdtContent>
      <w:p>
        <w:pPr>
          <w:pStyle w:val="Footer"/>
        </w:pPr>
        <w:r>
          <w:fldChar w:fldCharType="begin"/>
        </w:r>
        <w:r>
          <w:instrText>PAGE   \* MERGEFORMAT</w:instrText>
        </w:r>
        <w:r>
          <w:fldChar w:fldCharType="separate"/>
        </w:r>
        <w:r>
          <w:rPr>
            <w:lang w:val="zh-CN"/>
          </w:rPr>
          <w:t>12</w:t>
        </w:r>
        <w:r>
          <w:fldChar w:fldCharType="end"/>
        </w:r>
      </w:p>
    </w:sdtContent>
  </w:sdt>
  <w:p>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7863718"/>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33</w:t>
        </w:r>
        <w:r>
          <w:rPr>
            <w:rFonts w:ascii="Times New Roman" w:hAnsi="Times New Roman"/>
          </w:rPr>
          <w:fldChar w:fldCharType="end"/>
        </w:r>
      </w:p>
    </w:sdtContent>
  </w:sdt>
  <w:p>
    <w:pPr>
      <w:pStyle w:val="Footer"/>
      <w:ind w:firstLine="360"/>
      <w:jc w:val="righ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98025727"/>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87444"/>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13</w:t>
        </w:r>
        <w:r>
          <w:rPr>
            <w:rFonts w:ascii="Times New Roman" w:hAnsi="Times New Roman"/>
          </w:rPr>
          <w:fldChar w:fldCharType="end"/>
        </w:r>
      </w:p>
    </w:sdtContent>
  </w:sdt>
  <w:p>
    <w:pPr>
      <w:pStyle w:val="Footer"/>
      <w:ind w:firstLine="360"/>
      <w:jc w:val="righ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524683"/>
      <w:docPartObj>
        <w:docPartGallery w:val="autotext"/>
      </w:docPartObj>
    </w:sdtPr>
    <w:sdtContent>
      <w:p>
        <w:pPr>
          <w:pStyle w:val="Footer"/>
        </w:pPr>
        <w:r>
          <w:fldChar w:fldCharType="begin"/>
        </w:r>
        <w:r>
          <w:instrText>PAGE   \* MERGEFORMAT</w:instrText>
        </w:r>
        <w:r>
          <w:fldChar w:fldCharType="separate"/>
        </w:r>
        <w:r>
          <w:rPr>
            <w:lang w:val="zh-CN"/>
          </w:rPr>
          <w:t>14</w:t>
        </w:r>
        <w:r>
          <w:fldChar w:fldCharType="end"/>
        </w:r>
      </w:p>
    </w:sdtContent>
  </w:sdt>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8957725"/>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15</w:t>
        </w:r>
        <w:r>
          <w:rPr>
            <w:rFonts w:ascii="Times New Roman" w:hAnsi="Times New Roman"/>
          </w:rPr>
          <w:fldChar w:fldCharType="end"/>
        </w:r>
      </w:p>
    </w:sdtContent>
  </w:sdt>
  <w:p>
    <w:pPr>
      <w:pStyle w:val="Footer"/>
      <w:ind w:firstLine="360"/>
      <w:jc w:val="righ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8587828"/>
      <w:docPartObj>
        <w:docPartGallery w:val="autotext"/>
      </w:docPartObj>
    </w:sdtPr>
    <w:sdtContent>
      <w:p>
        <w:pPr>
          <w:pStyle w:val="Footer"/>
        </w:pPr>
        <w:r>
          <w:fldChar w:fldCharType="begin"/>
        </w:r>
        <w:r>
          <w:instrText>PAGE   \* MERGEFORMAT</w:instrText>
        </w:r>
        <w:r>
          <w:fldChar w:fldCharType="separate"/>
        </w:r>
        <w:r>
          <w:rPr>
            <w:lang w:val="zh-CN"/>
          </w:rPr>
          <w:t>34</w:t>
        </w:r>
        <w:r>
          <w:fldChar w:fldCharType="end"/>
        </w:r>
      </w:p>
    </w:sdtContent>
  </w:sdt>
  <w:p>
    <w:pPr>
      <w:pStyle w:val="Footer"/>
      <w:ind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06927471"/>
      <w:docPartObj>
        <w:docPartGallery w:val="autotext"/>
      </w:docPartObj>
    </w:sdtPr>
    <w:sdtContent>
      <w:p>
        <w:pPr>
          <w:pStyle w:val="Footer"/>
          <w:jc w:val="right"/>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15</w:t>
        </w:r>
        <w:r>
          <w:rPr>
            <w:rFonts w:ascii="Times New Roman" w:hAnsi="Times New Roman"/>
          </w:rPr>
          <w:fldChar w:fldCharType="end"/>
        </w:r>
      </w:p>
    </w:sdtContent>
  </w:sdt>
  <w:p>
    <w:pPr>
      <w:pStyle w:val="Footer"/>
      <w:ind w:firstLine="360"/>
      <w:jc w:val="righ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3" w:color="auto"/>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5FD"/>
    <w:rsid w:val="00001DED"/>
    <w:rsid w:val="0000499B"/>
    <w:rsid w:val="00012CEA"/>
    <w:rsid w:val="000159D3"/>
    <w:rsid w:val="000169AC"/>
    <w:rsid w:val="00017C78"/>
    <w:rsid w:val="00026C49"/>
    <w:rsid w:val="00032333"/>
    <w:rsid w:val="00035B9C"/>
    <w:rsid w:val="000412B6"/>
    <w:rsid w:val="0004328B"/>
    <w:rsid w:val="00047A43"/>
    <w:rsid w:val="0005172F"/>
    <w:rsid w:val="000519E0"/>
    <w:rsid w:val="00060EEB"/>
    <w:rsid w:val="00062C0C"/>
    <w:rsid w:val="00062CD9"/>
    <w:rsid w:val="00067AAC"/>
    <w:rsid w:val="000725F3"/>
    <w:rsid w:val="000767AD"/>
    <w:rsid w:val="00083D68"/>
    <w:rsid w:val="000851E5"/>
    <w:rsid w:val="0008737E"/>
    <w:rsid w:val="00097542"/>
    <w:rsid w:val="000A071C"/>
    <w:rsid w:val="000A19F2"/>
    <w:rsid w:val="000B3CC8"/>
    <w:rsid w:val="000B3D80"/>
    <w:rsid w:val="000B5194"/>
    <w:rsid w:val="000B5E23"/>
    <w:rsid w:val="000C212F"/>
    <w:rsid w:val="000C3DCA"/>
    <w:rsid w:val="000C4A16"/>
    <w:rsid w:val="000C7491"/>
    <w:rsid w:val="000D0EFD"/>
    <w:rsid w:val="000D2D0B"/>
    <w:rsid w:val="000D372B"/>
    <w:rsid w:val="000D3F13"/>
    <w:rsid w:val="000D4ABA"/>
    <w:rsid w:val="000D5251"/>
    <w:rsid w:val="000D5D20"/>
    <w:rsid w:val="000D7BEE"/>
    <w:rsid w:val="000E03CE"/>
    <w:rsid w:val="000E3484"/>
    <w:rsid w:val="000E51B0"/>
    <w:rsid w:val="000E7F77"/>
    <w:rsid w:val="000F53D8"/>
    <w:rsid w:val="000F7D93"/>
    <w:rsid w:val="00100CAA"/>
    <w:rsid w:val="001029B1"/>
    <w:rsid w:val="00106770"/>
    <w:rsid w:val="00113AB6"/>
    <w:rsid w:val="00114663"/>
    <w:rsid w:val="00114CD0"/>
    <w:rsid w:val="00120974"/>
    <w:rsid w:val="00122530"/>
    <w:rsid w:val="0012597F"/>
    <w:rsid w:val="001309FE"/>
    <w:rsid w:val="00130A9F"/>
    <w:rsid w:val="00131990"/>
    <w:rsid w:val="0013294E"/>
    <w:rsid w:val="00132A0E"/>
    <w:rsid w:val="00132E19"/>
    <w:rsid w:val="0013342B"/>
    <w:rsid w:val="001406C2"/>
    <w:rsid w:val="001409E8"/>
    <w:rsid w:val="00141E74"/>
    <w:rsid w:val="00142655"/>
    <w:rsid w:val="001473CB"/>
    <w:rsid w:val="001476FE"/>
    <w:rsid w:val="00152F88"/>
    <w:rsid w:val="001657E3"/>
    <w:rsid w:val="00171D23"/>
    <w:rsid w:val="001743E9"/>
    <w:rsid w:val="00174B17"/>
    <w:rsid w:val="0017773C"/>
    <w:rsid w:val="00180273"/>
    <w:rsid w:val="001807DE"/>
    <w:rsid w:val="00186613"/>
    <w:rsid w:val="001876EB"/>
    <w:rsid w:val="00191659"/>
    <w:rsid w:val="0019728E"/>
    <w:rsid w:val="001A0559"/>
    <w:rsid w:val="001A2CA8"/>
    <w:rsid w:val="001B4E5B"/>
    <w:rsid w:val="001B6981"/>
    <w:rsid w:val="001D24AE"/>
    <w:rsid w:val="001D2666"/>
    <w:rsid w:val="001D3719"/>
    <w:rsid w:val="001D3A2F"/>
    <w:rsid w:val="001D4513"/>
    <w:rsid w:val="001D6C33"/>
    <w:rsid w:val="001D7852"/>
    <w:rsid w:val="001E0867"/>
    <w:rsid w:val="001E118D"/>
    <w:rsid w:val="001F157A"/>
    <w:rsid w:val="001F1AE0"/>
    <w:rsid w:val="001F38D3"/>
    <w:rsid w:val="00200B96"/>
    <w:rsid w:val="00201802"/>
    <w:rsid w:val="002022CE"/>
    <w:rsid w:val="002078E1"/>
    <w:rsid w:val="00212A13"/>
    <w:rsid w:val="00213F85"/>
    <w:rsid w:val="00217F86"/>
    <w:rsid w:val="00221C20"/>
    <w:rsid w:val="00223432"/>
    <w:rsid w:val="00224307"/>
    <w:rsid w:val="0022758A"/>
    <w:rsid w:val="002374EE"/>
    <w:rsid w:val="00237FB1"/>
    <w:rsid w:val="002401F3"/>
    <w:rsid w:val="00240B0E"/>
    <w:rsid w:val="00247E07"/>
    <w:rsid w:val="0025567E"/>
    <w:rsid w:val="002611D0"/>
    <w:rsid w:val="00261B31"/>
    <w:rsid w:val="00266836"/>
    <w:rsid w:val="002675CC"/>
    <w:rsid w:val="00275696"/>
    <w:rsid w:val="00275F16"/>
    <w:rsid w:val="0028141C"/>
    <w:rsid w:val="00281BA4"/>
    <w:rsid w:val="00283A1B"/>
    <w:rsid w:val="0028446A"/>
    <w:rsid w:val="00293E1D"/>
    <w:rsid w:val="00294CED"/>
    <w:rsid w:val="002A003D"/>
    <w:rsid w:val="002A00B0"/>
    <w:rsid w:val="002A1769"/>
    <w:rsid w:val="002B1E94"/>
    <w:rsid w:val="002B36DB"/>
    <w:rsid w:val="002B3D46"/>
    <w:rsid w:val="002B4F0C"/>
    <w:rsid w:val="002B6D7A"/>
    <w:rsid w:val="002C0105"/>
    <w:rsid w:val="002C0897"/>
    <w:rsid w:val="002D5FD0"/>
    <w:rsid w:val="002D6458"/>
    <w:rsid w:val="002E2F7E"/>
    <w:rsid w:val="002E3E6A"/>
    <w:rsid w:val="002F2C80"/>
    <w:rsid w:val="002F4345"/>
    <w:rsid w:val="002F6C27"/>
    <w:rsid w:val="003011FD"/>
    <w:rsid w:val="00304C34"/>
    <w:rsid w:val="003056A3"/>
    <w:rsid w:val="0030671F"/>
    <w:rsid w:val="003069E3"/>
    <w:rsid w:val="00315841"/>
    <w:rsid w:val="0031623C"/>
    <w:rsid w:val="00320C9C"/>
    <w:rsid w:val="0032185B"/>
    <w:rsid w:val="0032255D"/>
    <w:rsid w:val="00331E7A"/>
    <w:rsid w:val="003330B6"/>
    <w:rsid w:val="00333953"/>
    <w:rsid w:val="003342FE"/>
    <w:rsid w:val="00341962"/>
    <w:rsid w:val="003423D7"/>
    <w:rsid w:val="00346225"/>
    <w:rsid w:val="00356DFD"/>
    <w:rsid w:val="003573D6"/>
    <w:rsid w:val="00366E33"/>
    <w:rsid w:val="00367045"/>
    <w:rsid w:val="00367315"/>
    <w:rsid w:val="00367EC1"/>
    <w:rsid w:val="00367EF3"/>
    <w:rsid w:val="003748A2"/>
    <w:rsid w:val="00376088"/>
    <w:rsid w:val="00380186"/>
    <w:rsid w:val="00381866"/>
    <w:rsid w:val="0038441B"/>
    <w:rsid w:val="0038635B"/>
    <w:rsid w:val="003907DE"/>
    <w:rsid w:val="00393AC1"/>
    <w:rsid w:val="00396EA2"/>
    <w:rsid w:val="003B25A5"/>
    <w:rsid w:val="003B2776"/>
    <w:rsid w:val="003B55DD"/>
    <w:rsid w:val="003C0549"/>
    <w:rsid w:val="003C19B2"/>
    <w:rsid w:val="003C319C"/>
    <w:rsid w:val="003D009F"/>
    <w:rsid w:val="003D2995"/>
    <w:rsid w:val="003D4FC0"/>
    <w:rsid w:val="003E2627"/>
    <w:rsid w:val="003E6D06"/>
    <w:rsid w:val="003E7CFE"/>
    <w:rsid w:val="003F19BF"/>
    <w:rsid w:val="003F1AAC"/>
    <w:rsid w:val="003F2178"/>
    <w:rsid w:val="00405FCF"/>
    <w:rsid w:val="00407792"/>
    <w:rsid w:val="004220BE"/>
    <w:rsid w:val="00422403"/>
    <w:rsid w:val="00422D2A"/>
    <w:rsid w:val="00423327"/>
    <w:rsid w:val="004234AC"/>
    <w:rsid w:val="00427FC3"/>
    <w:rsid w:val="00433873"/>
    <w:rsid w:val="004345A4"/>
    <w:rsid w:val="0043490A"/>
    <w:rsid w:val="0043738A"/>
    <w:rsid w:val="00443C25"/>
    <w:rsid w:val="0044691A"/>
    <w:rsid w:val="004501CD"/>
    <w:rsid w:val="00456077"/>
    <w:rsid w:val="004567BB"/>
    <w:rsid w:val="0045756E"/>
    <w:rsid w:val="00462E35"/>
    <w:rsid w:val="00462E95"/>
    <w:rsid w:val="004644EB"/>
    <w:rsid w:val="00465F8E"/>
    <w:rsid w:val="004720DD"/>
    <w:rsid w:val="00477151"/>
    <w:rsid w:val="004834D3"/>
    <w:rsid w:val="00486EA5"/>
    <w:rsid w:val="00487CBF"/>
    <w:rsid w:val="004920B1"/>
    <w:rsid w:val="00493001"/>
    <w:rsid w:val="004A0B44"/>
    <w:rsid w:val="004A3B68"/>
    <w:rsid w:val="004A41DE"/>
    <w:rsid w:val="004A7428"/>
    <w:rsid w:val="004B059D"/>
    <w:rsid w:val="004B14EB"/>
    <w:rsid w:val="004B628E"/>
    <w:rsid w:val="004C29B6"/>
    <w:rsid w:val="004C5B04"/>
    <w:rsid w:val="004C5F13"/>
    <w:rsid w:val="004D6F45"/>
    <w:rsid w:val="004D70E4"/>
    <w:rsid w:val="004D794C"/>
    <w:rsid w:val="004E060E"/>
    <w:rsid w:val="004E1E28"/>
    <w:rsid w:val="004E23FC"/>
    <w:rsid w:val="004E794F"/>
    <w:rsid w:val="004F1BCE"/>
    <w:rsid w:val="004F7A4E"/>
    <w:rsid w:val="004F7D1D"/>
    <w:rsid w:val="0050607B"/>
    <w:rsid w:val="005127C4"/>
    <w:rsid w:val="00521FA2"/>
    <w:rsid w:val="005225A5"/>
    <w:rsid w:val="00527845"/>
    <w:rsid w:val="005425FD"/>
    <w:rsid w:val="00545768"/>
    <w:rsid w:val="00546399"/>
    <w:rsid w:val="00550961"/>
    <w:rsid w:val="00551EE6"/>
    <w:rsid w:val="0055228A"/>
    <w:rsid w:val="00561A79"/>
    <w:rsid w:val="00571CA7"/>
    <w:rsid w:val="0057285D"/>
    <w:rsid w:val="0057631A"/>
    <w:rsid w:val="005776C7"/>
    <w:rsid w:val="00581B4A"/>
    <w:rsid w:val="00585EBA"/>
    <w:rsid w:val="00590E3D"/>
    <w:rsid w:val="00592A68"/>
    <w:rsid w:val="0059389E"/>
    <w:rsid w:val="00593C4B"/>
    <w:rsid w:val="005945A8"/>
    <w:rsid w:val="005A10DB"/>
    <w:rsid w:val="005A7825"/>
    <w:rsid w:val="005A7C36"/>
    <w:rsid w:val="005B1F28"/>
    <w:rsid w:val="005B4B67"/>
    <w:rsid w:val="005B5B99"/>
    <w:rsid w:val="005B7BBD"/>
    <w:rsid w:val="005C3D49"/>
    <w:rsid w:val="005C5CEA"/>
    <w:rsid w:val="005C632D"/>
    <w:rsid w:val="005D20A2"/>
    <w:rsid w:val="005D4E11"/>
    <w:rsid w:val="005D4EB2"/>
    <w:rsid w:val="005D5F82"/>
    <w:rsid w:val="005D6223"/>
    <w:rsid w:val="005E20EF"/>
    <w:rsid w:val="005E3974"/>
    <w:rsid w:val="005E5969"/>
    <w:rsid w:val="005E767E"/>
    <w:rsid w:val="005E796B"/>
    <w:rsid w:val="005F182C"/>
    <w:rsid w:val="005F2870"/>
    <w:rsid w:val="005F3F04"/>
    <w:rsid w:val="0060089A"/>
    <w:rsid w:val="006020ED"/>
    <w:rsid w:val="00606771"/>
    <w:rsid w:val="00620466"/>
    <w:rsid w:val="006248E8"/>
    <w:rsid w:val="0063179A"/>
    <w:rsid w:val="00631B22"/>
    <w:rsid w:val="00635D7F"/>
    <w:rsid w:val="006441E2"/>
    <w:rsid w:val="006451BF"/>
    <w:rsid w:val="00652892"/>
    <w:rsid w:val="006548D5"/>
    <w:rsid w:val="006549FC"/>
    <w:rsid w:val="00655259"/>
    <w:rsid w:val="00655A22"/>
    <w:rsid w:val="006578FC"/>
    <w:rsid w:val="00662D1D"/>
    <w:rsid w:val="0066327F"/>
    <w:rsid w:val="00664285"/>
    <w:rsid w:val="00673D43"/>
    <w:rsid w:val="00675B17"/>
    <w:rsid w:val="0067726A"/>
    <w:rsid w:val="0068064D"/>
    <w:rsid w:val="006810C3"/>
    <w:rsid w:val="00683EF3"/>
    <w:rsid w:val="006909A9"/>
    <w:rsid w:val="00693CC3"/>
    <w:rsid w:val="006A637B"/>
    <w:rsid w:val="006A67B9"/>
    <w:rsid w:val="006A6CCE"/>
    <w:rsid w:val="006A7BE6"/>
    <w:rsid w:val="006B1B7D"/>
    <w:rsid w:val="006C5C07"/>
    <w:rsid w:val="006C5DB9"/>
    <w:rsid w:val="006C65BB"/>
    <w:rsid w:val="006C73E6"/>
    <w:rsid w:val="006D232F"/>
    <w:rsid w:val="006D278A"/>
    <w:rsid w:val="006D4AC0"/>
    <w:rsid w:val="006E070D"/>
    <w:rsid w:val="006E0CD6"/>
    <w:rsid w:val="006E1230"/>
    <w:rsid w:val="006E444D"/>
    <w:rsid w:val="006F0B1B"/>
    <w:rsid w:val="006F520F"/>
    <w:rsid w:val="006F6B8F"/>
    <w:rsid w:val="006F75B3"/>
    <w:rsid w:val="0070031C"/>
    <w:rsid w:val="00700F27"/>
    <w:rsid w:val="00702805"/>
    <w:rsid w:val="00703CA9"/>
    <w:rsid w:val="00704F00"/>
    <w:rsid w:val="007059BE"/>
    <w:rsid w:val="00720E10"/>
    <w:rsid w:val="00723F02"/>
    <w:rsid w:val="007247EC"/>
    <w:rsid w:val="00730232"/>
    <w:rsid w:val="00731D03"/>
    <w:rsid w:val="0073254B"/>
    <w:rsid w:val="00734B14"/>
    <w:rsid w:val="007420E8"/>
    <w:rsid w:val="007454BE"/>
    <w:rsid w:val="00745D40"/>
    <w:rsid w:val="00746183"/>
    <w:rsid w:val="0074761F"/>
    <w:rsid w:val="00750B96"/>
    <w:rsid w:val="00750FBC"/>
    <w:rsid w:val="00752949"/>
    <w:rsid w:val="007551A0"/>
    <w:rsid w:val="007601A2"/>
    <w:rsid w:val="00764A9C"/>
    <w:rsid w:val="007812FF"/>
    <w:rsid w:val="00782AD3"/>
    <w:rsid w:val="00782DDA"/>
    <w:rsid w:val="00785B0F"/>
    <w:rsid w:val="007931B1"/>
    <w:rsid w:val="00793856"/>
    <w:rsid w:val="00797BC1"/>
    <w:rsid w:val="007A350D"/>
    <w:rsid w:val="007A4F5D"/>
    <w:rsid w:val="007B3044"/>
    <w:rsid w:val="007B5E46"/>
    <w:rsid w:val="007C27D7"/>
    <w:rsid w:val="007C4885"/>
    <w:rsid w:val="007C4EA8"/>
    <w:rsid w:val="007C57A8"/>
    <w:rsid w:val="007C68CE"/>
    <w:rsid w:val="007C6EC3"/>
    <w:rsid w:val="007D0766"/>
    <w:rsid w:val="007D2944"/>
    <w:rsid w:val="007D4D2E"/>
    <w:rsid w:val="007D6304"/>
    <w:rsid w:val="007D7EEC"/>
    <w:rsid w:val="007E33CC"/>
    <w:rsid w:val="007E4D8D"/>
    <w:rsid w:val="007E4F34"/>
    <w:rsid w:val="007E7D19"/>
    <w:rsid w:val="007F3581"/>
    <w:rsid w:val="007F6E93"/>
    <w:rsid w:val="0080222B"/>
    <w:rsid w:val="0080742F"/>
    <w:rsid w:val="00813D4E"/>
    <w:rsid w:val="00814508"/>
    <w:rsid w:val="008154C0"/>
    <w:rsid w:val="00817C1A"/>
    <w:rsid w:val="008231D7"/>
    <w:rsid w:val="00831748"/>
    <w:rsid w:val="008507B9"/>
    <w:rsid w:val="0085420A"/>
    <w:rsid w:val="00864335"/>
    <w:rsid w:val="00867F18"/>
    <w:rsid w:val="0087397B"/>
    <w:rsid w:val="00873DEF"/>
    <w:rsid w:val="00874678"/>
    <w:rsid w:val="0087478C"/>
    <w:rsid w:val="0087495B"/>
    <w:rsid w:val="008765A0"/>
    <w:rsid w:val="00876A64"/>
    <w:rsid w:val="00891085"/>
    <w:rsid w:val="00893255"/>
    <w:rsid w:val="00893293"/>
    <w:rsid w:val="00893399"/>
    <w:rsid w:val="0089538C"/>
    <w:rsid w:val="00895C9B"/>
    <w:rsid w:val="00897717"/>
    <w:rsid w:val="008B1223"/>
    <w:rsid w:val="008B20F4"/>
    <w:rsid w:val="008B2632"/>
    <w:rsid w:val="008B3A1B"/>
    <w:rsid w:val="008C2FDD"/>
    <w:rsid w:val="008C3689"/>
    <w:rsid w:val="008D146C"/>
    <w:rsid w:val="008D2A12"/>
    <w:rsid w:val="008D3267"/>
    <w:rsid w:val="008D5CEB"/>
    <w:rsid w:val="008E1EE2"/>
    <w:rsid w:val="008E28CF"/>
    <w:rsid w:val="008E361D"/>
    <w:rsid w:val="008E38AD"/>
    <w:rsid w:val="008E6BD8"/>
    <w:rsid w:val="008F2898"/>
    <w:rsid w:val="009031B5"/>
    <w:rsid w:val="00903F55"/>
    <w:rsid w:val="00905364"/>
    <w:rsid w:val="00911FE4"/>
    <w:rsid w:val="00914CD2"/>
    <w:rsid w:val="00916E72"/>
    <w:rsid w:val="00917980"/>
    <w:rsid w:val="00917C90"/>
    <w:rsid w:val="009224F7"/>
    <w:rsid w:val="00922AAA"/>
    <w:rsid w:val="00924B2C"/>
    <w:rsid w:val="00930430"/>
    <w:rsid w:val="0093053B"/>
    <w:rsid w:val="00930B50"/>
    <w:rsid w:val="00930FEC"/>
    <w:rsid w:val="009336B1"/>
    <w:rsid w:val="00941030"/>
    <w:rsid w:val="00942B0C"/>
    <w:rsid w:val="0094638E"/>
    <w:rsid w:val="00950A6D"/>
    <w:rsid w:val="009518BB"/>
    <w:rsid w:val="009552BD"/>
    <w:rsid w:val="009606E5"/>
    <w:rsid w:val="00960F34"/>
    <w:rsid w:val="0096444C"/>
    <w:rsid w:val="00966F1F"/>
    <w:rsid w:val="0096712F"/>
    <w:rsid w:val="009732ED"/>
    <w:rsid w:val="00983DE6"/>
    <w:rsid w:val="009863CF"/>
    <w:rsid w:val="0098774F"/>
    <w:rsid w:val="00990664"/>
    <w:rsid w:val="009950D6"/>
    <w:rsid w:val="00997AA5"/>
    <w:rsid w:val="009A16CC"/>
    <w:rsid w:val="009A1CFB"/>
    <w:rsid w:val="009A2F81"/>
    <w:rsid w:val="009A3B83"/>
    <w:rsid w:val="009A6CCA"/>
    <w:rsid w:val="009B5370"/>
    <w:rsid w:val="009B571C"/>
    <w:rsid w:val="009B5D46"/>
    <w:rsid w:val="009B76A4"/>
    <w:rsid w:val="009C1348"/>
    <w:rsid w:val="009C35CB"/>
    <w:rsid w:val="009D11BA"/>
    <w:rsid w:val="009D2426"/>
    <w:rsid w:val="009E4DA4"/>
    <w:rsid w:val="009E554F"/>
    <w:rsid w:val="009F0C8C"/>
    <w:rsid w:val="009F42D4"/>
    <w:rsid w:val="00A0001C"/>
    <w:rsid w:val="00A03B25"/>
    <w:rsid w:val="00A1366B"/>
    <w:rsid w:val="00A14FFC"/>
    <w:rsid w:val="00A22938"/>
    <w:rsid w:val="00A23DF0"/>
    <w:rsid w:val="00A360D1"/>
    <w:rsid w:val="00A36C4F"/>
    <w:rsid w:val="00A37B8D"/>
    <w:rsid w:val="00A37F2A"/>
    <w:rsid w:val="00A42359"/>
    <w:rsid w:val="00A440B8"/>
    <w:rsid w:val="00A5345F"/>
    <w:rsid w:val="00A64546"/>
    <w:rsid w:val="00A662E3"/>
    <w:rsid w:val="00A6678B"/>
    <w:rsid w:val="00A706D0"/>
    <w:rsid w:val="00A73EDA"/>
    <w:rsid w:val="00A80CE4"/>
    <w:rsid w:val="00A81349"/>
    <w:rsid w:val="00A81B44"/>
    <w:rsid w:val="00A84E7D"/>
    <w:rsid w:val="00A872E7"/>
    <w:rsid w:val="00A87CFD"/>
    <w:rsid w:val="00A92C54"/>
    <w:rsid w:val="00AA32D8"/>
    <w:rsid w:val="00AA469C"/>
    <w:rsid w:val="00AB2B8F"/>
    <w:rsid w:val="00AB4980"/>
    <w:rsid w:val="00AB50FF"/>
    <w:rsid w:val="00AB5EB4"/>
    <w:rsid w:val="00AB67F4"/>
    <w:rsid w:val="00AB7D71"/>
    <w:rsid w:val="00AC199E"/>
    <w:rsid w:val="00AC71A5"/>
    <w:rsid w:val="00AD2006"/>
    <w:rsid w:val="00AE4202"/>
    <w:rsid w:val="00AE4CE9"/>
    <w:rsid w:val="00AE6DFF"/>
    <w:rsid w:val="00AF1BAD"/>
    <w:rsid w:val="00AF53FE"/>
    <w:rsid w:val="00AF5E36"/>
    <w:rsid w:val="00AF5ECB"/>
    <w:rsid w:val="00B00F9C"/>
    <w:rsid w:val="00B05D0B"/>
    <w:rsid w:val="00B069B2"/>
    <w:rsid w:val="00B10770"/>
    <w:rsid w:val="00B10CE2"/>
    <w:rsid w:val="00B1158E"/>
    <w:rsid w:val="00B1349E"/>
    <w:rsid w:val="00B16BDC"/>
    <w:rsid w:val="00B25B63"/>
    <w:rsid w:val="00B26298"/>
    <w:rsid w:val="00B27CE1"/>
    <w:rsid w:val="00B320D3"/>
    <w:rsid w:val="00B328BA"/>
    <w:rsid w:val="00B32F46"/>
    <w:rsid w:val="00B4366B"/>
    <w:rsid w:val="00B4384A"/>
    <w:rsid w:val="00B44A53"/>
    <w:rsid w:val="00B50D3C"/>
    <w:rsid w:val="00B52ABF"/>
    <w:rsid w:val="00B53390"/>
    <w:rsid w:val="00B55A0A"/>
    <w:rsid w:val="00B5761F"/>
    <w:rsid w:val="00B63A7E"/>
    <w:rsid w:val="00B65196"/>
    <w:rsid w:val="00B72F20"/>
    <w:rsid w:val="00B74A57"/>
    <w:rsid w:val="00B9142A"/>
    <w:rsid w:val="00B91CB1"/>
    <w:rsid w:val="00BA155D"/>
    <w:rsid w:val="00BA23E6"/>
    <w:rsid w:val="00BA6626"/>
    <w:rsid w:val="00BA75E8"/>
    <w:rsid w:val="00BB3855"/>
    <w:rsid w:val="00BB7A80"/>
    <w:rsid w:val="00BC455B"/>
    <w:rsid w:val="00BC56FB"/>
    <w:rsid w:val="00BE49A2"/>
    <w:rsid w:val="00BF0D7A"/>
    <w:rsid w:val="00BF13CE"/>
    <w:rsid w:val="00BF227D"/>
    <w:rsid w:val="00BF3165"/>
    <w:rsid w:val="00BF5A1E"/>
    <w:rsid w:val="00C000E9"/>
    <w:rsid w:val="00C00A2F"/>
    <w:rsid w:val="00C04566"/>
    <w:rsid w:val="00C05E4E"/>
    <w:rsid w:val="00C20E83"/>
    <w:rsid w:val="00C27B73"/>
    <w:rsid w:val="00C30D77"/>
    <w:rsid w:val="00C31B9A"/>
    <w:rsid w:val="00C34E71"/>
    <w:rsid w:val="00C37F92"/>
    <w:rsid w:val="00C410B1"/>
    <w:rsid w:val="00C41E55"/>
    <w:rsid w:val="00C44542"/>
    <w:rsid w:val="00C4533B"/>
    <w:rsid w:val="00C45BD6"/>
    <w:rsid w:val="00C51DD6"/>
    <w:rsid w:val="00C60206"/>
    <w:rsid w:val="00C616CB"/>
    <w:rsid w:val="00C63230"/>
    <w:rsid w:val="00C717ED"/>
    <w:rsid w:val="00C71910"/>
    <w:rsid w:val="00C76B6F"/>
    <w:rsid w:val="00C76D25"/>
    <w:rsid w:val="00C776D2"/>
    <w:rsid w:val="00C77869"/>
    <w:rsid w:val="00C77BF1"/>
    <w:rsid w:val="00C81A12"/>
    <w:rsid w:val="00C81AE1"/>
    <w:rsid w:val="00C82ECF"/>
    <w:rsid w:val="00C83439"/>
    <w:rsid w:val="00C85593"/>
    <w:rsid w:val="00C8672F"/>
    <w:rsid w:val="00C86FC9"/>
    <w:rsid w:val="00C90B7C"/>
    <w:rsid w:val="00C91576"/>
    <w:rsid w:val="00C94569"/>
    <w:rsid w:val="00C96822"/>
    <w:rsid w:val="00CA4A64"/>
    <w:rsid w:val="00CA58C7"/>
    <w:rsid w:val="00CA6E24"/>
    <w:rsid w:val="00CA76CA"/>
    <w:rsid w:val="00CB210D"/>
    <w:rsid w:val="00CB68CD"/>
    <w:rsid w:val="00CB6BBC"/>
    <w:rsid w:val="00CC1365"/>
    <w:rsid w:val="00CC2208"/>
    <w:rsid w:val="00CC221A"/>
    <w:rsid w:val="00CC221D"/>
    <w:rsid w:val="00CC316A"/>
    <w:rsid w:val="00CC3926"/>
    <w:rsid w:val="00CC46C2"/>
    <w:rsid w:val="00CC4794"/>
    <w:rsid w:val="00CC6218"/>
    <w:rsid w:val="00CC712C"/>
    <w:rsid w:val="00CD077C"/>
    <w:rsid w:val="00CD4E56"/>
    <w:rsid w:val="00CD73E3"/>
    <w:rsid w:val="00CE29FC"/>
    <w:rsid w:val="00CE7EF5"/>
    <w:rsid w:val="00CF4D5F"/>
    <w:rsid w:val="00CF69CC"/>
    <w:rsid w:val="00D01494"/>
    <w:rsid w:val="00D056F5"/>
    <w:rsid w:val="00D11072"/>
    <w:rsid w:val="00D150D3"/>
    <w:rsid w:val="00D2032B"/>
    <w:rsid w:val="00D227F3"/>
    <w:rsid w:val="00D233A2"/>
    <w:rsid w:val="00D23700"/>
    <w:rsid w:val="00D301F3"/>
    <w:rsid w:val="00D30886"/>
    <w:rsid w:val="00D31EAC"/>
    <w:rsid w:val="00D327B0"/>
    <w:rsid w:val="00D35544"/>
    <w:rsid w:val="00D37817"/>
    <w:rsid w:val="00D408C5"/>
    <w:rsid w:val="00D409FF"/>
    <w:rsid w:val="00D45822"/>
    <w:rsid w:val="00D468E2"/>
    <w:rsid w:val="00D4729D"/>
    <w:rsid w:val="00D50B46"/>
    <w:rsid w:val="00D511E8"/>
    <w:rsid w:val="00D52567"/>
    <w:rsid w:val="00D5372D"/>
    <w:rsid w:val="00D54C5B"/>
    <w:rsid w:val="00D55F02"/>
    <w:rsid w:val="00D62180"/>
    <w:rsid w:val="00D67F50"/>
    <w:rsid w:val="00D727BC"/>
    <w:rsid w:val="00D749E3"/>
    <w:rsid w:val="00D767D5"/>
    <w:rsid w:val="00D802B9"/>
    <w:rsid w:val="00D838AC"/>
    <w:rsid w:val="00D847F7"/>
    <w:rsid w:val="00D8765C"/>
    <w:rsid w:val="00D92384"/>
    <w:rsid w:val="00D962E4"/>
    <w:rsid w:val="00DA542A"/>
    <w:rsid w:val="00DA5D0B"/>
    <w:rsid w:val="00DA717F"/>
    <w:rsid w:val="00DA7D4F"/>
    <w:rsid w:val="00DB65C6"/>
    <w:rsid w:val="00DB6F4D"/>
    <w:rsid w:val="00DC3654"/>
    <w:rsid w:val="00DC3940"/>
    <w:rsid w:val="00DC5BD2"/>
    <w:rsid w:val="00DD2B18"/>
    <w:rsid w:val="00DD67EC"/>
    <w:rsid w:val="00DF142E"/>
    <w:rsid w:val="00DF353C"/>
    <w:rsid w:val="00DF40B2"/>
    <w:rsid w:val="00E01910"/>
    <w:rsid w:val="00E03339"/>
    <w:rsid w:val="00E046F8"/>
    <w:rsid w:val="00E05A74"/>
    <w:rsid w:val="00E11660"/>
    <w:rsid w:val="00E25661"/>
    <w:rsid w:val="00E27994"/>
    <w:rsid w:val="00E3066F"/>
    <w:rsid w:val="00E330D1"/>
    <w:rsid w:val="00E33B6B"/>
    <w:rsid w:val="00E33F8D"/>
    <w:rsid w:val="00E468C0"/>
    <w:rsid w:val="00E46CED"/>
    <w:rsid w:val="00E46EED"/>
    <w:rsid w:val="00E50082"/>
    <w:rsid w:val="00E505DF"/>
    <w:rsid w:val="00E539E5"/>
    <w:rsid w:val="00E5521C"/>
    <w:rsid w:val="00E566B3"/>
    <w:rsid w:val="00E57ED9"/>
    <w:rsid w:val="00E667F0"/>
    <w:rsid w:val="00E6781C"/>
    <w:rsid w:val="00E835B0"/>
    <w:rsid w:val="00E837AE"/>
    <w:rsid w:val="00E846F4"/>
    <w:rsid w:val="00E85529"/>
    <w:rsid w:val="00E85861"/>
    <w:rsid w:val="00E8653E"/>
    <w:rsid w:val="00E86E28"/>
    <w:rsid w:val="00E87365"/>
    <w:rsid w:val="00E91277"/>
    <w:rsid w:val="00E957A4"/>
    <w:rsid w:val="00EA2739"/>
    <w:rsid w:val="00EA41B8"/>
    <w:rsid w:val="00EA6ADE"/>
    <w:rsid w:val="00EB0B02"/>
    <w:rsid w:val="00EB19C0"/>
    <w:rsid w:val="00EB20B5"/>
    <w:rsid w:val="00EC1FDC"/>
    <w:rsid w:val="00EC41F4"/>
    <w:rsid w:val="00EC451A"/>
    <w:rsid w:val="00EC4C8D"/>
    <w:rsid w:val="00EC6E0B"/>
    <w:rsid w:val="00EC7E2C"/>
    <w:rsid w:val="00ED0387"/>
    <w:rsid w:val="00ED53BD"/>
    <w:rsid w:val="00ED7308"/>
    <w:rsid w:val="00EE0D58"/>
    <w:rsid w:val="00EE4B56"/>
    <w:rsid w:val="00EF4CB9"/>
    <w:rsid w:val="00EF69C5"/>
    <w:rsid w:val="00F00600"/>
    <w:rsid w:val="00F01C42"/>
    <w:rsid w:val="00F02417"/>
    <w:rsid w:val="00F05839"/>
    <w:rsid w:val="00F12E7B"/>
    <w:rsid w:val="00F12FD0"/>
    <w:rsid w:val="00F157C4"/>
    <w:rsid w:val="00F15961"/>
    <w:rsid w:val="00F17B00"/>
    <w:rsid w:val="00F33479"/>
    <w:rsid w:val="00F35F37"/>
    <w:rsid w:val="00F36069"/>
    <w:rsid w:val="00F44A5B"/>
    <w:rsid w:val="00F45010"/>
    <w:rsid w:val="00F4680F"/>
    <w:rsid w:val="00F46838"/>
    <w:rsid w:val="00F500A3"/>
    <w:rsid w:val="00F50430"/>
    <w:rsid w:val="00F521C1"/>
    <w:rsid w:val="00F53799"/>
    <w:rsid w:val="00F60D46"/>
    <w:rsid w:val="00F6172F"/>
    <w:rsid w:val="00F633F8"/>
    <w:rsid w:val="00F63803"/>
    <w:rsid w:val="00F643C1"/>
    <w:rsid w:val="00F7363C"/>
    <w:rsid w:val="00F73E4D"/>
    <w:rsid w:val="00F746E8"/>
    <w:rsid w:val="00F95BF4"/>
    <w:rsid w:val="00F975AB"/>
    <w:rsid w:val="00FA0A07"/>
    <w:rsid w:val="00FA4EAF"/>
    <w:rsid w:val="00FB4087"/>
    <w:rsid w:val="00FB6718"/>
    <w:rsid w:val="00FC0F49"/>
    <w:rsid w:val="00FC203E"/>
    <w:rsid w:val="00FC20B9"/>
    <w:rsid w:val="00FC2689"/>
    <w:rsid w:val="00FC46DF"/>
    <w:rsid w:val="00FC7885"/>
    <w:rsid w:val="00FD0311"/>
    <w:rsid w:val="00FD1D35"/>
    <w:rsid w:val="00FD4FDB"/>
    <w:rsid w:val="00FE0A80"/>
    <w:rsid w:val="00FF19F5"/>
    <w:rsid w:val="00FF372B"/>
    <w:rsid w:val="00FF3861"/>
    <w:rsid w:val="00FF415F"/>
    <w:rsid w:val="00FF5D2D"/>
    <w:rsid w:val="01033AF9"/>
    <w:rsid w:val="01144F96"/>
    <w:rsid w:val="012D7245"/>
    <w:rsid w:val="01A20A0E"/>
    <w:rsid w:val="01B0445C"/>
    <w:rsid w:val="01B26681"/>
    <w:rsid w:val="01E574BD"/>
    <w:rsid w:val="01F31278"/>
    <w:rsid w:val="02867C1D"/>
    <w:rsid w:val="028E406F"/>
    <w:rsid w:val="02FE70BF"/>
    <w:rsid w:val="03441B89"/>
    <w:rsid w:val="03535113"/>
    <w:rsid w:val="039B6FAA"/>
    <w:rsid w:val="03AD4D0A"/>
    <w:rsid w:val="03C96374"/>
    <w:rsid w:val="03E472E1"/>
    <w:rsid w:val="03E7389B"/>
    <w:rsid w:val="04C3001C"/>
    <w:rsid w:val="04F01361"/>
    <w:rsid w:val="0510502D"/>
    <w:rsid w:val="0520014C"/>
    <w:rsid w:val="05436AF0"/>
    <w:rsid w:val="060E2872"/>
    <w:rsid w:val="0618680C"/>
    <w:rsid w:val="0621195F"/>
    <w:rsid w:val="06260DC1"/>
    <w:rsid w:val="06AF12A4"/>
    <w:rsid w:val="06D96221"/>
    <w:rsid w:val="0734147B"/>
    <w:rsid w:val="07EA5F9A"/>
    <w:rsid w:val="07FF553A"/>
    <w:rsid w:val="0824237E"/>
    <w:rsid w:val="085B4BD7"/>
    <w:rsid w:val="08631D09"/>
    <w:rsid w:val="090443A1"/>
    <w:rsid w:val="09074842"/>
    <w:rsid w:val="091E583C"/>
    <w:rsid w:val="09595B1A"/>
    <w:rsid w:val="09901F86"/>
    <w:rsid w:val="099D001E"/>
    <w:rsid w:val="09A45A4E"/>
    <w:rsid w:val="09B666A6"/>
    <w:rsid w:val="09C33CF0"/>
    <w:rsid w:val="09C47A2B"/>
    <w:rsid w:val="09F82414"/>
    <w:rsid w:val="09FD2079"/>
    <w:rsid w:val="0A191696"/>
    <w:rsid w:val="0A8E5327"/>
    <w:rsid w:val="0A95333E"/>
    <w:rsid w:val="0B0751E8"/>
    <w:rsid w:val="0B107DC0"/>
    <w:rsid w:val="0B145FFF"/>
    <w:rsid w:val="0B5855D7"/>
    <w:rsid w:val="0B733878"/>
    <w:rsid w:val="0B7377B8"/>
    <w:rsid w:val="0BBC709E"/>
    <w:rsid w:val="0BF1578B"/>
    <w:rsid w:val="0C24101F"/>
    <w:rsid w:val="0C653438"/>
    <w:rsid w:val="0C800AFC"/>
    <w:rsid w:val="0D1C727F"/>
    <w:rsid w:val="0D676A04"/>
    <w:rsid w:val="0D760EB1"/>
    <w:rsid w:val="0DBC3045"/>
    <w:rsid w:val="0E337741"/>
    <w:rsid w:val="0E3E5BC0"/>
    <w:rsid w:val="0E8D5162"/>
    <w:rsid w:val="0EC35BC1"/>
    <w:rsid w:val="0F6C471F"/>
    <w:rsid w:val="0F7D05D2"/>
    <w:rsid w:val="0F80333F"/>
    <w:rsid w:val="0FA45E17"/>
    <w:rsid w:val="100D1DD4"/>
    <w:rsid w:val="104004FC"/>
    <w:rsid w:val="109E440E"/>
    <w:rsid w:val="10D51EB6"/>
    <w:rsid w:val="10E975A7"/>
    <w:rsid w:val="110A57B2"/>
    <w:rsid w:val="112A6680"/>
    <w:rsid w:val="11330A97"/>
    <w:rsid w:val="11454FF9"/>
    <w:rsid w:val="11656E54"/>
    <w:rsid w:val="11911056"/>
    <w:rsid w:val="11D641B4"/>
    <w:rsid w:val="12344C96"/>
    <w:rsid w:val="129D7A0D"/>
    <w:rsid w:val="12A128BF"/>
    <w:rsid w:val="12CE45AC"/>
    <w:rsid w:val="130E2E11"/>
    <w:rsid w:val="13462508"/>
    <w:rsid w:val="13A60475"/>
    <w:rsid w:val="13AC4160"/>
    <w:rsid w:val="143C5EBE"/>
    <w:rsid w:val="14633E4C"/>
    <w:rsid w:val="148A442C"/>
    <w:rsid w:val="14BC51A9"/>
    <w:rsid w:val="14C3357E"/>
    <w:rsid w:val="14D234C2"/>
    <w:rsid w:val="15220967"/>
    <w:rsid w:val="1539433E"/>
    <w:rsid w:val="153F0993"/>
    <w:rsid w:val="1568621B"/>
    <w:rsid w:val="157E6D09"/>
    <w:rsid w:val="15E0426D"/>
    <w:rsid w:val="160C4A30"/>
    <w:rsid w:val="16425CD5"/>
    <w:rsid w:val="16443613"/>
    <w:rsid w:val="164C4BF1"/>
    <w:rsid w:val="16C10CB4"/>
    <w:rsid w:val="16C20915"/>
    <w:rsid w:val="17193D77"/>
    <w:rsid w:val="17324A86"/>
    <w:rsid w:val="175C6AB3"/>
    <w:rsid w:val="176C3477"/>
    <w:rsid w:val="17C57D2F"/>
    <w:rsid w:val="18014036"/>
    <w:rsid w:val="183B4FDA"/>
    <w:rsid w:val="18592FE3"/>
    <w:rsid w:val="188A1B63"/>
    <w:rsid w:val="18BB3E5F"/>
    <w:rsid w:val="19364E9E"/>
    <w:rsid w:val="19E912F8"/>
    <w:rsid w:val="1A1014CC"/>
    <w:rsid w:val="1A634425"/>
    <w:rsid w:val="1A73034A"/>
    <w:rsid w:val="1ADF4D45"/>
    <w:rsid w:val="1B067A91"/>
    <w:rsid w:val="1B927CF2"/>
    <w:rsid w:val="1BDA7CF2"/>
    <w:rsid w:val="1C222038"/>
    <w:rsid w:val="1C41253F"/>
    <w:rsid w:val="1CB975C6"/>
    <w:rsid w:val="1DB476E5"/>
    <w:rsid w:val="1E3720E3"/>
    <w:rsid w:val="1EB97613"/>
    <w:rsid w:val="1F1C764F"/>
    <w:rsid w:val="1F4F56A3"/>
    <w:rsid w:val="1F8660C8"/>
    <w:rsid w:val="1FA5093C"/>
    <w:rsid w:val="1FD45831"/>
    <w:rsid w:val="200C4A34"/>
    <w:rsid w:val="201076B8"/>
    <w:rsid w:val="20A41EB9"/>
    <w:rsid w:val="21693364"/>
    <w:rsid w:val="21716EC8"/>
    <w:rsid w:val="223E575E"/>
    <w:rsid w:val="224E77A0"/>
    <w:rsid w:val="22725157"/>
    <w:rsid w:val="22BA4F21"/>
    <w:rsid w:val="22DE73B2"/>
    <w:rsid w:val="23585966"/>
    <w:rsid w:val="235B6C1B"/>
    <w:rsid w:val="239266AD"/>
    <w:rsid w:val="23A52F6E"/>
    <w:rsid w:val="23A6667D"/>
    <w:rsid w:val="23A81AC6"/>
    <w:rsid w:val="23E16B20"/>
    <w:rsid w:val="23EE1C4C"/>
    <w:rsid w:val="240873FA"/>
    <w:rsid w:val="24233F3E"/>
    <w:rsid w:val="243B5131"/>
    <w:rsid w:val="251E02F5"/>
    <w:rsid w:val="25282189"/>
    <w:rsid w:val="25411CEB"/>
    <w:rsid w:val="254D711C"/>
    <w:rsid w:val="25503C69"/>
    <w:rsid w:val="25621A17"/>
    <w:rsid w:val="257A4A49"/>
    <w:rsid w:val="25C36817"/>
    <w:rsid w:val="25C40A1A"/>
    <w:rsid w:val="25E80ABA"/>
    <w:rsid w:val="25FB49E0"/>
    <w:rsid w:val="26122648"/>
    <w:rsid w:val="26535D79"/>
    <w:rsid w:val="268369CF"/>
    <w:rsid w:val="272E0DEC"/>
    <w:rsid w:val="2749569E"/>
    <w:rsid w:val="279B0B7F"/>
    <w:rsid w:val="27A77367"/>
    <w:rsid w:val="27F94485"/>
    <w:rsid w:val="28197135"/>
    <w:rsid w:val="282B2BC7"/>
    <w:rsid w:val="28B42A41"/>
    <w:rsid w:val="29C074AB"/>
    <w:rsid w:val="29E32568"/>
    <w:rsid w:val="2AD40B6D"/>
    <w:rsid w:val="2B17163C"/>
    <w:rsid w:val="2B183F4F"/>
    <w:rsid w:val="2B234649"/>
    <w:rsid w:val="2C161485"/>
    <w:rsid w:val="2C2D4B3D"/>
    <w:rsid w:val="2C3452D3"/>
    <w:rsid w:val="2C9138C1"/>
    <w:rsid w:val="2C981B21"/>
    <w:rsid w:val="2CC16D03"/>
    <w:rsid w:val="2CE66E15"/>
    <w:rsid w:val="2CFF209C"/>
    <w:rsid w:val="2D0B2520"/>
    <w:rsid w:val="2D9877AC"/>
    <w:rsid w:val="2DB0730D"/>
    <w:rsid w:val="2DC5258A"/>
    <w:rsid w:val="2DCF7659"/>
    <w:rsid w:val="2DED38A8"/>
    <w:rsid w:val="2E342D15"/>
    <w:rsid w:val="2E3A16CD"/>
    <w:rsid w:val="2E822C0B"/>
    <w:rsid w:val="2E853769"/>
    <w:rsid w:val="2E902069"/>
    <w:rsid w:val="2ECF0A7A"/>
    <w:rsid w:val="2EF058EC"/>
    <w:rsid w:val="2F6015C4"/>
    <w:rsid w:val="2F8D7F71"/>
    <w:rsid w:val="2F97468C"/>
    <w:rsid w:val="2FAA095B"/>
    <w:rsid w:val="2FB866BD"/>
    <w:rsid w:val="300C20D3"/>
    <w:rsid w:val="301F33A4"/>
    <w:rsid w:val="30357F4C"/>
    <w:rsid w:val="30B50113"/>
    <w:rsid w:val="30FD4B25"/>
    <w:rsid w:val="30FF4192"/>
    <w:rsid w:val="310B748A"/>
    <w:rsid w:val="31490274"/>
    <w:rsid w:val="3172581A"/>
    <w:rsid w:val="31BE4FA7"/>
    <w:rsid w:val="32614ACB"/>
    <w:rsid w:val="329F4CD3"/>
    <w:rsid w:val="32EA186C"/>
    <w:rsid w:val="330D117F"/>
    <w:rsid w:val="335C0E9D"/>
    <w:rsid w:val="3372200F"/>
    <w:rsid w:val="33841844"/>
    <w:rsid w:val="33E141A4"/>
    <w:rsid w:val="340E0A90"/>
    <w:rsid w:val="34554DDD"/>
    <w:rsid w:val="3470565F"/>
    <w:rsid w:val="34804C2C"/>
    <w:rsid w:val="34B60028"/>
    <w:rsid w:val="34C26542"/>
    <w:rsid w:val="34C909FD"/>
    <w:rsid w:val="34C973CD"/>
    <w:rsid w:val="35040740"/>
    <w:rsid w:val="35104857"/>
    <w:rsid w:val="35344592"/>
    <w:rsid w:val="35387618"/>
    <w:rsid w:val="356149A4"/>
    <w:rsid w:val="357F59EA"/>
    <w:rsid w:val="358E4B5B"/>
    <w:rsid w:val="360A1CF1"/>
    <w:rsid w:val="36245980"/>
    <w:rsid w:val="367D0E0B"/>
    <w:rsid w:val="36E12F0A"/>
    <w:rsid w:val="37D0334A"/>
    <w:rsid w:val="380844FC"/>
    <w:rsid w:val="38152DB2"/>
    <w:rsid w:val="38237FEF"/>
    <w:rsid w:val="387A7BE0"/>
    <w:rsid w:val="388940BE"/>
    <w:rsid w:val="38A606F3"/>
    <w:rsid w:val="38B060EA"/>
    <w:rsid w:val="3909668A"/>
    <w:rsid w:val="394C2703"/>
    <w:rsid w:val="39822C77"/>
    <w:rsid w:val="3993178B"/>
    <w:rsid w:val="39BE4441"/>
    <w:rsid w:val="39E73297"/>
    <w:rsid w:val="3A167F60"/>
    <w:rsid w:val="3A2877AC"/>
    <w:rsid w:val="3A61406B"/>
    <w:rsid w:val="3A760990"/>
    <w:rsid w:val="3AE07004"/>
    <w:rsid w:val="3B1A2E5E"/>
    <w:rsid w:val="3B391983"/>
    <w:rsid w:val="3B660284"/>
    <w:rsid w:val="3B9B3EFC"/>
    <w:rsid w:val="3BBC4F35"/>
    <w:rsid w:val="3BF13F87"/>
    <w:rsid w:val="3BF34F6F"/>
    <w:rsid w:val="3C0D6C01"/>
    <w:rsid w:val="3C45270E"/>
    <w:rsid w:val="3CA84F5E"/>
    <w:rsid w:val="3CCA184C"/>
    <w:rsid w:val="3CD914B6"/>
    <w:rsid w:val="3D6C7C0F"/>
    <w:rsid w:val="3DAF6C28"/>
    <w:rsid w:val="3DC2446A"/>
    <w:rsid w:val="3DC73EAE"/>
    <w:rsid w:val="3E03347C"/>
    <w:rsid w:val="3E707CF2"/>
    <w:rsid w:val="3E776F55"/>
    <w:rsid w:val="3E961CA8"/>
    <w:rsid w:val="3ECC4B09"/>
    <w:rsid w:val="3ECD7A62"/>
    <w:rsid w:val="3ED30FE1"/>
    <w:rsid w:val="3F0305B9"/>
    <w:rsid w:val="3F136936"/>
    <w:rsid w:val="3F4F1F36"/>
    <w:rsid w:val="3F7125DB"/>
    <w:rsid w:val="3F8C4049"/>
    <w:rsid w:val="3FB74FD7"/>
    <w:rsid w:val="3FF97C79"/>
    <w:rsid w:val="400012FA"/>
    <w:rsid w:val="400C042D"/>
    <w:rsid w:val="40350D95"/>
    <w:rsid w:val="405F3CA3"/>
    <w:rsid w:val="406870F5"/>
    <w:rsid w:val="406B0765"/>
    <w:rsid w:val="40FF6FC8"/>
    <w:rsid w:val="412A56B9"/>
    <w:rsid w:val="412B6633"/>
    <w:rsid w:val="414D4EB3"/>
    <w:rsid w:val="41682C6F"/>
    <w:rsid w:val="417F4884"/>
    <w:rsid w:val="41A21F55"/>
    <w:rsid w:val="41C64EF1"/>
    <w:rsid w:val="41D70FF5"/>
    <w:rsid w:val="420853D1"/>
    <w:rsid w:val="42373830"/>
    <w:rsid w:val="423C654F"/>
    <w:rsid w:val="426C6487"/>
    <w:rsid w:val="427E51A4"/>
    <w:rsid w:val="42C97521"/>
    <w:rsid w:val="42D15796"/>
    <w:rsid w:val="42ED3B44"/>
    <w:rsid w:val="43170DED"/>
    <w:rsid w:val="431D6881"/>
    <w:rsid w:val="432E22FD"/>
    <w:rsid w:val="43CF5F2A"/>
    <w:rsid w:val="440F16FD"/>
    <w:rsid w:val="445D7B2E"/>
    <w:rsid w:val="44E575F5"/>
    <w:rsid w:val="45337209"/>
    <w:rsid w:val="4546576C"/>
    <w:rsid w:val="455714C4"/>
    <w:rsid w:val="45A04B12"/>
    <w:rsid w:val="45D20FCC"/>
    <w:rsid w:val="462F548D"/>
    <w:rsid w:val="463F5C3C"/>
    <w:rsid w:val="46955F35"/>
    <w:rsid w:val="46B36488"/>
    <w:rsid w:val="473369E7"/>
    <w:rsid w:val="4742369D"/>
    <w:rsid w:val="47775937"/>
    <w:rsid w:val="478F7AAD"/>
    <w:rsid w:val="47A32A63"/>
    <w:rsid w:val="47F67378"/>
    <w:rsid w:val="481917E1"/>
    <w:rsid w:val="487012D5"/>
    <w:rsid w:val="48C91C28"/>
    <w:rsid w:val="492B371F"/>
    <w:rsid w:val="494A3916"/>
    <w:rsid w:val="4967119D"/>
    <w:rsid w:val="49CF6511"/>
    <w:rsid w:val="49DA2F1F"/>
    <w:rsid w:val="49F53BBE"/>
    <w:rsid w:val="49FE2158"/>
    <w:rsid w:val="4A3B3784"/>
    <w:rsid w:val="4A967DF2"/>
    <w:rsid w:val="4AA424C7"/>
    <w:rsid w:val="4ACA76F6"/>
    <w:rsid w:val="4B1C5718"/>
    <w:rsid w:val="4B2A174A"/>
    <w:rsid w:val="4B720913"/>
    <w:rsid w:val="4C632D59"/>
    <w:rsid w:val="4C73024D"/>
    <w:rsid w:val="4C777D0B"/>
    <w:rsid w:val="4C8824C4"/>
    <w:rsid w:val="4CA01756"/>
    <w:rsid w:val="4D7D3824"/>
    <w:rsid w:val="4D9D2E94"/>
    <w:rsid w:val="4DC177E6"/>
    <w:rsid w:val="4E285EC6"/>
    <w:rsid w:val="4E7D5DC4"/>
    <w:rsid w:val="4E905499"/>
    <w:rsid w:val="4EA10753"/>
    <w:rsid w:val="4EE33BAC"/>
    <w:rsid w:val="4F351E5B"/>
    <w:rsid w:val="4F6E0607"/>
    <w:rsid w:val="4F7D309F"/>
    <w:rsid w:val="4FE457E0"/>
    <w:rsid w:val="500F7DD5"/>
    <w:rsid w:val="50351D7E"/>
    <w:rsid w:val="504658C6"/>
    <w:rsid w:val="505003EA"/>
    <w:rsid w:val="505557A0"/>
    <w:rsid w:val="506270FB"/>
    <w:rsid w:val="506C2F9B"/>
    <w:rsid w:val="508F6D0A"/>
    <w:rsid w:val="50B77F78"/>
    <w:rsid w:val="510E7E2F"/>
    <w:rsid w:val="513B47AB"/>
    <w:rsid w:val="5144061F"/>
    <w:rsid w:val="51482496"/>
    <w:rsid w:val="51C6062E"/>
    <w:rsid w:val="51CA1B34"/>
    <w:rsid w:val="51E37765"/>
    <w:rsid w:val="51FC3DE6"/>
    <w:rsid w:val="521F2F88"/>
    <w:rsid w:val="52362721"/>
    <w:rsid w:val="52541774"/>
    <w:rsid w:val="529522B3"/>
    <w:rsid w:val="52B9379B"/>
    <w:rsid w:val="52E67086"/>
    <w:rsid w:val="52FA22B7"/>
    <w:rsid w:val="530344DF"/>
    <w:rsid w:val="53346421"/>
    <w:rsid w:val="53461644"/>
    <w:rsid w:val="535D2BB5"/>
    <w:rsid w:val="539F5F24"/>
    <w:rsid w:val="53A21773"/>
    <w:rsid w:val="548D7B75"/>
    <w:rsid w:val="54AA5582"/>
    <w:rsid w:val="552E5A11"/>
    <w:rsid w:val="554C366E"/>
    <w:rsid w:val="55967E00"/>
    <w:rsid w:val="559F07DA"/>
    <w:rsid w:val="55BB67CF"/>
    <w:rsid w:val="55DD147D"/>
    <w:rsid w:val="56061D5F"/>
    <w:rsid w:val="562367E1"/>
    <w:rsid w:val="564574C0"/>
    <w:rsid w:val="56883971"/>
    <w:rsid w:val="56DB0A9D"/>
    <w:rsid w:val="577326C8"/>
    <w:rsid w:val="578B74BD"/>
    <w:rsid w:val="57B731A3"/>
    <w:rsid w:val="58033FDE"/>
    <w:rsid w:val="583A3A03"/>
    <w:rsid w:val="584A5369"/>
    <w:rsid w:val="589D0FF5"/>
    <w:rsid w:val="58CB5F1A"/>
    <w:rsid w:val="58F61262"/>
    <w:rsid w:val="591F10C9"/>
    <w:rsid w:val="598B727E"/>
    <w:rsid w:val="59AC63AF"/>
    <w:rsid w:val="5A4A2DCB"/>
    <w:rsid w:val="5A5F5A73"/>
    <w:rsid w:val="5A844B59"/>
    <w:rsid w:val="5AC30E92"/>
    <w:rsid w:val="5AC972CC"/>
    <w:rsid w:val="5B197E98"/>
    <w:rsid w:val="5B3E3E94"/>
    <w:rsid w:val="5C3A77AD"/>
    <w:rsid w:val="5C484C34"/>
    <w:rsid w:val="5C901654"/>
    <w:rsid w:val="5CD97FF3"/>
    <w:rsid w:val="5D2D3725"/>
    <w:rsid w:val="5DC32140"/>
    <w:rsid w:val="5E644190"/>
    <w:rsid w:val="5E8B40A5"/>
    <w:rsid w:val="5EBD3CCB"/>
    <w:rsid w:val="5F286A2D"/>
    <w:rsid w:val="5F964A7B"/>
    <w:rsid w:val="5FA33425"/>
    <w:rsid w:val="5FAA71B2"/>
    <w:rsid w:val="608618FA"/>
    <w:rsid w:val="611F65FC"/>
    <w:rsid w:val="61444CFE"/>
    <w:rsid w:val="619E4490"/>
    <w:rsid w:val="620D53EF"/>
    <w:rsid w:val="6258717C"/>
    <w:rsid w:val="62707BE7"/>
    <w:rsid w:val="627B5B6E"/>
    <w:rsid w:val="62E41CC2"/>
    <w:rsid w:val="6311654D"/>
    <w:rsid w:val="63E07315"/>
    <w:rsid w:val="64296F75"/>
    <w:rsid w:val="64587EA4"/>
    <w:rsid w:val="646F2DAD"/>
    <w:rsid w:val="64A113A8"/>
    <w:rsid w:val="64A83283"/>
    <w:rsid w:val="64BD2EF0"/>
    <w:rsid w:val="651C79E0"/>
    <w:rsid w:val="657900AD"/>
    <w:rsid w:val="658B20A9"/>
    <w:rsid w:val="65A5795B"/>
    <w:rsid w:val="65F5117C"/>
    <w:rsid w:val="664447FF"/>
    <w:rsid w:val="6670398D"/>
    <w:rsid w:val="668F1A12"/>
    <w:rsid w:val="66A57A3A"/>
    <w:rsid w:val="66BE0273"/>
    <w:rsid w:val="66F8656B"/>
    <w:rsid w:val="67562E05"/>
    <w:rsid w:val="675A4B66"/>
    <w:rsid w:val="67C21825"/>
    <w:rsid w:val="682C0383"/>
    <w:rsid w:val="682E2395"/>
    <w:rsid w:val="68430F9F"/>
    <w:rsid w:val="685C0245"/>
    <w:rsid w:val="686B0455"/>
    <w:rsid w:val="68986463"/>
    <w:rsid w:val="68DE5251"/>
    <w:rsid w:val="68E1365D"/>
    <w:rsid w:val="69204F29"/>
    <w:rsid w:val="693E0C27"/>
    <w:rsid w:val="695843DF"/>
    <w:rsid w:val="695C3C1A"/>
    <w:rsid w:val="696C66CF"/>
    <w:rsid w:val="696E6D98"/>
    <w:rsid w:val="69A03D45"/>
    <w:rsid w:val="69AE34EC"/>
    <w:rsid w:val="69B064A7"/>
    <w:rsid w:val="6A276DA6"/>
    <w:rsid w:val="6A5E064A"/>
    <w:rsid w:val="6ACD2C1B"/>
    <w:rsid w:val="6AEF0E2D"/>
    <w:rsid w:val="6B2448B8"/>
    <w:rsid w:val="6B2E7BD8"/>
    <w:rsid w:val="6B431CD4"/>
    <w:rsid w:val="6B4B5E22"/>
    <w:rsid w:val="6B596E46"/>
    <w:rsid w:val="6B622A72"/>
    <w:rsid w:val="6BEB7701"/>
    <w:rsid w:val="6C14725A"/>
    <w:rsid w:val="6C356D95"/>
    <w:rsid w:val="6C7F3099"/>
    <w:rsid w:val="6CF63C24"/>
    <w:rsid w:val="6CFF65D0"/>
    <w:rsid w:val="6D010306"/>
    <w:rsid w:val="6D3C0A38"/>
    <w:rsid w:val="6D6F7660"/>
    <w:rsid w:val="6E4C091C"/>
    <w:rsid w:val="6E5E359E"/>
    <w:rsid w:val="6E6241A0"/>
    <w:rsid w:val="6E6C45A2"/>
    <w:rsid w:val="6EA344B6"/>
    <w:rsid w:val="6EF50A7C"/>
    <w:rsid w:val="6EF87A93"/>
    <w:rsid w:val="6F104BDC"/>
    <w:rsid w:val="6F24307E"/>
    <w:rsid w:val="6F2F6782"/>
    <w:rsid w:val="6F6307C6"/>
    <w:rsid w:val="6F977C05"/>
    <w:rsid w:val="6FFC473B"/>
    <w:rsid w:val="70152CE3"/>
    <w:rsid w:val="705F2EB8"/>
    <w:rsid w:val="709C5D82"/>
    <w:rsid w:val="70C666CD"/>
    <w:rsid w:val="70DF4EEE"/>
    <w:rsid w:val="70E860CF"/>
    <w:rsid w:val="71064C8E"/>
    <w:rsid w:val="715B3EDB"/>
    <w:rsid w:val="71764672"/>
    <w:rsid w:val="71791D3A"/>
    <w:rsid w:val="723C393E"/>
    <w:rsid w:val="72A17B67"/>
    <w:rsid w:val="730D5FD2"/>
    <w:rsid w:val="73161E86"/>
    <w:rsid w:val="73503535"/>
    <w:rsid w:val="73593663"/>
    <w:rsid w:val="73A42ABF"/>
    <w:rsid w:val="73B34836"/>
    <w:rsid w:val="73D3332E"/>
    <w:rsid w:val="73E15760"/>
    <w:rsid w:val="73FF6B73"/>
    <w:rsid w:val="74207BDF"/>
    <w:rsid w:val="74351FCC"/>
    <w:rsid w:val="744D1B19"/>
    <w:rsid w:val="744E6334"/>
    <w:rsid w:val="746728E6"/>
    <w:rsid w:val="74803D89"/>
    <w:rsid w:val="74D95E40"/>
    <w:rsid w:val="756F13FE"/>
    <w:rsid w:val="7581636E"/>
    <w:rsid w:val="75AE4387"/>
    <w:rsid w:val="75D34900"/>
    <w:rsid w:val="75D62FBB"/>
    <w:rsid w:val="75D733B7"/>
    <w:rsid w:val="75EC18DA"/>
    <w:rsid w:val="75F572E1"/>
    <w:rsid w:val="76192A8A"/>
    <w:rsid w:val="761E4914"/>
    <w:rsid w:val="76244DB2"/>
    <w:rsid w:val="76850DE6"/>
    <w:rsid w:val="76C911D0"/>
    <w:rsid w:val="76F01A1B"/>
    <w:rsid w:val="77150F39"/>
    <w:rsid w:val="77222A3A"/>
    <w:rsid w:val="77465AAB"/>
    <w:rsid w:val="775975F2"/>
    <w:rsid w:val="777F5941"/>
    <w:rsid w:val="778B1DFE"/>
    <w:rsid w:val="778C09A0"/>
    <w:rsid w:val="77BB40CC"/>
    <w:rsid w:val="77E07E38"/>
    <w:rsid w:val="78071EE2"/>
    <w:rsid w:val="79080BC4"/>
    <w:rsid w:val="790A1A03"/>
    <w:rsid w:val="798F53E9"/>
    <w:rsid w:val="79C32124"/>
    <w:rsid w:val="7A305B78"/>
    <w:rsid w:val="7A391D9E"/>
    <w:rsid w:val="7A942E15"/>
    <w:rsid w:val="7AD55115"/>
    <w:rsid w:val="7B7D6367"/>
    <w:rsid w:val="7C486B0A"/>
    <w:rsid w:val="7D5C640D"/>
    <w:rsid w:val="7D5C66FE"/>
    <w:rsid w:val="7D627E34"/>
    <w:rsid w:val="7DAA0430"/>
    <w:rsid w:val="7DBD0D6D"/>
    <w:rsid w:val="7DD72389"/>
    <w:rsid w:val="7E285E1C"/>
    <w:rsid w:val="7E2C75D1"/>
    <w:rsid w:val="7E33485B"/>
    <w:rsid w:val="7E3401AD"/>
    <w:rsid w:val="7E603CCB"/>
    <w:rsid w:val="7E703D2C"/>
    <w:rsid w:val="7EDA0236"/>
    <w:rsid w:val="7EF77594"/>
    <w:rsid w:val="7F2F5C88"/>
    <w:rsid w:val="7F554AA9"/>
    <w:rsid w:val="7F5A3ECC"/>
    <w:rsid w:val="7F850576"/>
  </w:rsids>
  <w:docVars>
    <w:docVar w:name="commondata" w:val="eyJoZGlkIjoiNzgyYjI0MGRkMmY4NDE0YjgxYzdjMzBiNDQ0OTk1Mm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lsdException w:name="toc 5" w:semiHidden="0" w:uiPriority="39"/>
    <w:lsdException w:name="toc 6" w:semiHidden="0" w:uiPriority="39" w:qFormat="1"/>
    <w:lsdException w:name="toc 7" w:semiHidden="0" w:uiPriority="39" w:qFormat="1"/>
    <w:lsdException w:name="toc 8" w:semiHidden="0" w:uiPriority="39"/>
    <w:lsdException w:name="toc 9" w:semiHidden="0" w:uiPriority="39"/>
    <w:lsdException w:name="Normal Indent" w:semiHidden="0" w:qFormat="1"/>
    <w:lsdException w:name="footnote text"/>
    <w:lsdException w:name="annotation text" w:semiHidden="0" w:uiPriority="0" w:unhideWhenUsed="0" w:qFormat="1"/>
    <w:lsdException w:name="header" w:semiHidden="0" w:unhideWhenUsed="0" w:qFormat="1"/>
    <w:lsdException w:name="footer" w:semiHidden="0" w:unhideWhenUsed="0" w:qFormat="1"/>
    <w:lsdException w:name="index heading"/>
    <w:lsdException w:name="caption" w:semiHidden="0" w:uiPriority="0" w:unhideWhenUsed="0" w:qFormat="1"/>
    <w:lsdException w:name="table of figures" w:semiHidden="0" w:qFormat="1"/>
    <w:lsdException w:name="envelope address"/>
    <w:lsdException w:name="envelope return"/>
    <w:lsdException w:name="footnote reference"/>
    <w:lsdException w:name="annotation reference" w:semiHidden="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semiHidden="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0" w:unhideWhenUsed="0" w:qFormat="1"/>
    <w:lsdException w:name="Emphasis" w:semiHidden="0" w:uiPriority="0" w:unhideWhenUsed="0" w:qFormat="1"/>
    <w:lsdException w:name="Document Map" w:semiHidden="0" w:uiPriority="0" w:unhideWhenUsed="0" w:qFormat="1"/>
    <w:lsdException w:name="Plain Text"/>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30" w:lineRule="exact"/>
      <w:jc w:val="both"/>
    </w:pPr>
    <w:rPr>
      <w:rFonts w:ascii="Times New Roman" w:eastAsia="宋体" w:hAnsi="Times New Roman" w:cstheme="minorBidi"/>
      <w:kern w:val="2"/>
      <w:sz w:val="21"/>
      <w:szCs w:val="21"/>
      <w:lang w:val="en-US" w:eastAsia="zh-CN" w:bidi="ar-SA"/>
    </w:rPr>
  </w:style>
  <w:style w:type="paragraph" w:styleId="Heading1">
    <w:name w:val="heading 1"/>
    <w:basedOn w:val="Normal"/>
    <w:next w:val="Normal"/>
    <w:link w:val="1"/>
    <w:autoRedefine/>
    <w:qFormat/>
    <w:pPr>
      <w:keepNext/>
      <w:keepLines/>
      <w:spacing w:before="100" w:after="100" w:line="440" w:lineRule="exact"/>
      <w:jc w:val="center"/>
      <w:outlineLvl w:val="0"/>
    </w:pPr>
    <w:rPr>
      <w:rFonts w:cs="Times New Roman"/>
      <w:b/>
      <w:kern w:val="44"/>
      <w:sz w:val="30"/>
      <w:szCs w:val="24"/>
    </w:rPr>
  </w:style>
  <w:style w:type="paragraph" w:styleId="Heading2">
    <w:name w:val="heading 2"/>
    <w:basedOn w:val="Normal"/>
    <w:next w:val="Normal"/>
    <w:link w:val="21"/>
    <w:qFormat/>
    <w:pPr>
      <w:keepNext/>
      <w:keepLines/>
      <w:spacing w:before="100" w:after="100" w:line="440" w:lineRule="exact"/>
      <w:jc w:val="center"/>
      <w:outlineLvl w:val="1"/>
    </w:pPr>
    <w:rPr>
      <w:rFonts w:eastAsia="黑体" w:cs="Times New Roman"/>
      <w:b/>
      <w:sz w:val="24"/>
      <w:szCs w:val="24"/>
    </w:rPr>
  </w:style>
  <w:style w:type="paragraph" w:styleId="Heading3">
    <w:name w:val="heading 3"/>
    <w:basedOn w:val="Normal"/>
    <w:next w:val="Normal"/>
    <w:link w:val="310"/>
    <w:qFormat/>
    <w:pPr>
      <w:outlineLvl w:val="2"/>
    </w:pPr>
    <w:rPr>
      <w:rFonts w:cs="Times New Roman"/>
      <w:b/>
      <w:bCs/>
      <w:szCs w:val="24"/>
    </w:rPr>
  </w:style>
  <w:style w:type="paragraph" w:styleId="Heading4">
    <w:name w:val="heading 4"/>
    <w:basedOn w:val="Normal"/>
    <w:next w:val="Normal"/>
    <w:link w:val="4"/>
    <w:autoRedefine/>
    <w:qFormat/>
    <w:pPr>
      <w:ind w:firstLine="316" w:firstLineChars="150"/>
      <w:outlineLvl w:val="3"/>
    </w:pPr>
    <w:rPr>
      <w:rFonts w:cs="Times New Roman"/>
      <w:b/>
      <w:szCs w:val="24"/>
    </w:rPr>
  </w:style>
  <w:style w:type="paragraph" w:styleId="Heading5">
    <w:name w:val="heading 5"/>
    <w:basedOn w:val="Normal"/>
    <w:next w:val="Normal"/>
    <w:link w:val="50"/>
    <w:uiPriority w:val="9"/>
    <w:semiHidden/>
    <w:unhideWhenUsed/>
    <w:qFormat/>
    <w:pPr>
      <w:keepNext/>
      <w:keepLines/>
      <w:spacing w:before="280" w:after="290" w:line="372" w:lineRule="auto"/>
      <w:outlineLvl w:val="4"/>
    </w:pPr>
    <w:rPr>
      <w:b/>
      <w:sz w:val="28"/>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spacing w:line="240" w:lineRule="auto"/>
      <w:ind w:left="2520" w:leftChars="1200"/>
    </w:pPr>
    <w:rPr>
      <w:rFonts w:asciiTheme="minorHAnsi" w:eastAsiaTheme="minorEastAsia" w:hAnsiTheme="minorHAnsi"/>
      <w:szCs w:val="22"/>
    </w:rPr>
  </w:style>
  <w:style w:type="paragraph" w:styleId="NormalIndent">
    <w:name w:val="Normal Indent"/>
    <w:basedOn w:val="Normal"/>
    <w:uiPriority w:val="99"/>
    <w:unhideWhenUsed/>
    <w:qFormat/>
    <w:pPr>
      <w:ind w:firstLine="420"/>
    </w:pPr>
  </w:style>
  <w:style w:type="paragraph" w:styleId="Caption">
    <w:name w:val="caption"/>
    <w:basedOn w:val="Normal"/>
    <w:next w:val="Normal"/>
    <w:qFormat/>
    <w:pPr>
      <w:jc w:val="left"/>
    </w:pPr>
    <w:rPr>
      <w:rFonts w:cs="Times New Roman"/>
      <w:sz w:val="18"/>
      <w:szCs w:val="18"/>
    </w:rPr>
  </w:style>
  <w:style w:type="paragraph" w:styleId="DocumentMap">
    <w:name w:val="Document Map"/>
    <w:basedOn w:val="Normal"/>
    <w:link w:val="a0"/>
    <w:qFormat/>
    <w:rPr>
      <w:rFonts w:hAnsi="Calibri" w:cs="Times New Roman"/>
      <w:sz w:val="18"/>
      <w:szCs w:val="18"/>
    </w:rPr>
  </w:style>
  <w:style w:type="paragraph" w:styleId="CommentText">
    <w:name w:val="annotation text"/>
    <w:basedOn w:val="Normal"/>
    <w:link w:val="a1"/>
    <w:autoRedefine/>
    <w:qFormat/>
    <w:pPr>
      <w:jc w:val="left"/>
    </w:pPr>
    <w:rPr>
      <w:rFonts w:ascii="Calibri" w:hAnsi="Calibri" w:cs="Times New Roman"/>
    </w:rPr>
  </w:style>
  <w:style w:type="paragraph" w:styleId="TOC5">
    <w:name w:val="toc 5"/>
    <w:basedOn w:val="Normal"/>
    <w:next w:val="Normal"/>
    <w:uiPriority w:val="39"/>
    <w:unhideWhenUsed/>
    <w:pPr>
      <w:spacing w:line="240" w:lineRule="auto"/>
      <w:ind w:left="1680" w:leftChars="800"/>
    </w:pPr>
    <w:rPr>
      <w:rFonts w:asciiTheme="minorHAnsi" w:eastAsiaTheme="minorEastAsia" w:hAnsiTheme="minorHAnsi"/>
      <w:szCs w:val="22"/>
    </w:rPr>
  </w:style>
  <w:style w:type="paragraph" w:styleId="TOC3">
    <w:name w:val="toc 3"/>
    <w:basedOn w:val="Normal"/>
    <w:next w:val="Normal"/>
    <w:autoRedefine/>
    <w:uiPriority w:val="39"/>
    <w:qFormat/>
    <w:pPr>
      <w:ind w:left="840" w:leftChars="400"/>
    </w:pPr>
    <w:rPr>
      <w:rFonts w:ascii="Calibri" w:hAnsi="Calibri" w:cs="Times New Roman"/>
    </w:rPr>
  </w:style>
  <w:style w:type="paragraph" w:styleId="TOC8">
    <w:name w:val="toc 8"/>
    <w:basedOn w:val="Normal"/>
    <w:next w:val="Normal"/>
    <w:uiPriority w:val="39"/>
    <w:unhideWhenUsed/>
    <w:pPr>
      <w:spacing w:line="240" w:lineRule="auto"/>
      <w:ind w:left="2940" w:leftChars="1400"/>
    </w:pPr>
    <w:rPr>
      <w:rFonts w:asciiTheme="minorHAnsi" w:eastAsiaTheme="minorEastAsia" w:hAnsiTheme="minorHAnsi"/>
      <w:szCs w:val="22"/>
    </w:rPr>
  </w:style>
  <w:style w:type="paragraph" w:styleId="Date">
    <w:name w:val="Date"/>
    <w:basedOn w:val="Normal"/>
    <w:next w:val="Normal"/>
    <w:link w:val="a2"/>
    <w:autoRedefine/>
    <w:uiPriority w:val="99"/>
    <w:unhideWhenUsed/>
    <w:qFormat/>
    <w:pPr>
      <w:ind w:left="100" w:leftChars="2500"/>
    </w:pPr>
    <w:rPr>
      <w:rFonts w:ascii="Calibri" w:hAnsi="Calibri" w:cs="Times New Roman"/>
      <w:szCs w:val="24"/>
    </w:rPr>
  </w:style>
  <w:style w:type="paragraph" w:styleId="BalloonText">
    <w:name w:val="Balloon Text"/>
    <w:basedOn w:val="Normal"/>
    <w:link w:val="a3"/>
    <w:autoRedefine/>
    <w:uiPriority w:val="99"/>
    <w:qFormat/>
    <w:rPr>
      <w:rFonts w:ascii="Calibri" w:hAnsi="Calibri" w:cs="Times New Roman"/>
      <w:sz w:val="18"/>
      <w:szCs w:val="18"/>
    </w:rPr>
  </w:style>
  <w:style w:type="paragraph" w:styleId="Footer">
    <w:name w:val="footer"/>
    <w:basedOn w:val="Normal"/>
    <w:link w:val="a4"/>
    <w:uiPriority w:val="99"/>
    <w:qFormat/>
    <w:pPr>
      <w:tabs>
        <w:tab w:val="center" w:pos="4153"/>
        <w:tab w:val="right" w:pos="8306"/>
      </w:tabs>
      <w:snapToGrid w:val="0"/>
      <w:jc w:val="left"/>
    </w:pPr>
    <w:rPr>
      <w:rFonts w:ascii="Calibri" w:hAnsi="Calibri" w:cs="Times New Roman"/>
      <w:sz w:val="18"/>
      <w:szCs w:val="24"/>
    </w:rPr>
  </w:style>
  <w:style w:type="paragraph" w:styleId="Header">
    <w:name w:val="header"/>
    <w:basedOn w:val="Normal"/>
    <w:link w:val="a5"/>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Calibri" w:hAnsi="Calibri" w:cs="Times New Roman"/>
      <w:sz w:val="18"/>
      <w:szCs w:val="24"/>
    </w:rPr>
  </w:style>
  <w:style w:type="paragraph" w:styleId="TOC1">
    <w:name w:val="toc 1"/>
    <w:basedOn w:val="Normal"/>
    <w:next w:val="Normal"/>
    <w:link w:val="TOC10"/>
    <w:uiPriority w:val="39"/>
    <w:qFormat/>
    <w:rPr>
      <w:rFonts w:cs="Times New Roman"/>
      <w:szCs w:val="24"/>
    </w:rPr>
  </w:style>
  <w:style w:type="paragraph" w:styleId="TOC4">
    <w:name w:val="toc 4"/>
    <w:basedOn w:val="Normal"/>
    <w:next w:val="Normal"/>
    <w:uiPriority w:val="39"/>
    <w:unhideWhenUsed/>
    <w:pPr>
      <w:spacing w:line="240" w:lineRule="auto"/>
      <w:ind w:left="1260" w:leftChars="600"/>
    </w:pPr>
    <w:rPr>
      <w:rFonts w:asciiTheme="minorHAnsi" w:eastAsiaTheme="minorEastAsia" w:hAnsiTheme="minorHAnsi"/>
      <w:szCs w:val="22"/>
    </w:rPr>
  </w:style>
  <w:style w:type="paragraph" w:styleId="Subtitle">
    <w:name w:val="Subtitle"/>
    <w:basedOn w:val="Normal"/>
    <w:next w:val="Normal"/>
    <w:link w:val="a6"/>
    <w:qFormat/>
    <w:pPr>
      <w:ind w:firstLine="420" w:firstLineChars="200"/>
    </w:pPr>
    <w:rPr>
      <w:rFonts w:cs="Times New Roman"/>
      <w:szCs w:val="24"/>
    </w:rPr>
  </w:style>
  <w:style w:type="paragraph" w:styleId="TOC6">
    <w:name w:val="toc 6"/>
    <w:basedOn w:val="Normal"/>
    <w:next w:val="Normal"/>
    <w:autoRedefine/>
    <w:uiPriority w:val="39"/>
    <w:unhideWhenUsed/>
    <w:qFormat/>
    <w:pPr>
      <w:spacing w:line="240" w:lineRule="auto"/>
      <w:ind w:left="2100" w:leftChars="1000"/>
    </w:pPr>
    <w:rPr>
      <w:rFonts w:asciiTheme="minorHAnsi" w:eastAsiaTheme="minorEastAsia" w:hAnsiTheme="minorHAnsi"/>
      <w:szCs w:val="22"/>
    </w:rPr>
  </w:style>
  <w:style w:type="paragraph" w:styleId="TableofFigures">
    <w:name w:val="table of figures"/>
    <w:basedOn w:val="Normal"/>
    <w:next w:val="Normal"/>
    <w:link w:val="a12"/>
    <w:autoRedefine/>
    <w:uiPriority w:val="99"/>
    <w:unhideWhenUsed/>
    <w:qFormat/>
    <w:pPr>
      <w:ind w:left="200" w:hanging="200" w:leftChars="200" w:hangingChars="200"/>
    </w:pPr>
  </w:style>
  <w:style w:type="paragraph" w:styleId="TOC2">
    <w:name w:val="toc 2"/>
    <w:basedOn w:val="Normal"/>
    <w:next w:val="Normal"/>
    <w:link w:val="TOC20"/>
    <w:autoRedefine/>
    <w:uiPriority w:val="39"/>
    <w:qFormat/>
    <w:pPr>
      <w:ind w:left="420" w:leftChars="200"/>
    </w:pPr>
    <w:rPr>
      <w:rFonts w:cs="Times New Roman"/>
      <w:szCs w:val="24"/>
    </w:rPr>
  </w:style>
  <w:style w:type="paragraph" w:styleId="TOC9">
    <w:name w:val="toc 9"/>
    <w:basedOn w:val="Normal"/>
    <w:next w:val="Normal"/>
    <w:uiPriority w:val="39"/>
    <w:unhideWhenUsed/>
    <w:pPr>
      <w:spacing w:line="240" w:lineRule="auto"/>
      <w:ind w:left="3360" w:leftChars="1600"/>
    </w:pPr>
    <w:rPr>
      <w:rFonts w:asciiTheme="minorHAnsi" w:eastAsiaTheme="minorEastAsia" w:hAnsiTheme="minorHAnsi"/>
      <w:szCs w:val="22"/>
    </w:rPr>
  </w:style>
  <w:style w:type="paragraph" w:styleId="HTMLPreformatted">
    <w:name w:val="HTML Preformatted"/>
    <w:basedOn w:val="Normal"/>
    <w:link w:val="HTM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Times New Roman" w:hint="eastAsia"/>
      <w:kern w:val="0"/>
      <w:sz w:val="24"/>
      <w:szCs w:val="24"/>
    </w:rPr>
  </w:style>
  <w:style w:type="paragraph" w:styleId="NormalWeb">
    <w:name w:val="Normal (Web)"/>
    <w:basedOn w:val="Normal"/>
    <w:unhideWhenUsed/>
    <w:qFormat/>
    <w:pPr>
      <w:spacing w:before="100" w:beforeAutospacing="1" w:after="100" w:afterAutospacing="1" w:line="330" w:lineRule="atLeast"/>
      <w:jc w:val="left"/>
    </w:pPr>
    <w:rPr>
      <w:rFonts w:ascii="Calibri" w:hAnsi="Calibri" w:cs="Times New Roman"/>
      <w:kern w:val="0"/>
      <w:sz w:val="22"/>
    </w:rPr>
  </w:style>
  <w:style w:type="paragraph" w:styleId="Title">
    <w:name w:val="Title"/>
    <w:basedOn w:val="Normal"/>
    <w:next w:val="Normal"/>
    <w:link w:val="a7"/>
    <w:autoRedefine/>
    <w:uiPriority w:val="10"/>
    <w:qFormat/>
    <w:pPr>
      <w:spacing w:line="440" w:lineRule="atLeast"/>
      <w:ind w:firstLine="643"/>
      <w:jc w:val="center"/>
      <w:outlineLvl w:val="2"/>
    </w:pPr>
    <w:rPr>
      <w:rFonts w:cs="Times New Roman"/>
      <w:b/>
      <w:sz w:val="32"/>
    </w:rPr>
  </w:style>
  <w:style w:type="paragraph" w:styleId="CommentSubject">
    <w:name w:val="annotation subject"/>
    <w:basedOn w:val="CommentText"/>
    <w:next w:val="CommentText"/>
    <w:link w:val="a9"/>
    <w:uiPriority w:val="99"/>
    <w:unhideWhenUsed/>
    <w:qFormat/>
    <w:rPr>
      <w:rFonts w:ascii="宋体" w:hAnsi="宋体" w:eastAsiaTheme="minorEastAsia" w:cstheme="minorBidi"/>
      <w:b/>
      <w:bCs/>
    </w:rPr>
  </w:style>
  <w:style w:type="table" w:styleId="TableGrid">
    <w:name w:val="Table Grid"/>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color w:val="000000"/>
      <w:sz w:val="18"/>
      <w:szCs w:val="18"/>
    </w:rPr>
  </w:style>
  <w:style w:type="character" w:styleId="Emphasis">
    <w:name w:val="Emphasis"/>
    <w:qFormat/>
    <w:rPr>
      <w:rFonts w:cs="Times New Roman"/>
      <w:b/>
      <w:bCs/>
      <w:color w:val="000000"/>
      <w:sz w:val="18"/>
      <w:szCs w:val="18"/>
    </w:rPr>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paragraph" w:customStyle="1" w:styleId="a">
    <w:name w:val="双引号"/>
    <w:basedOn w:val="Normal"/>
    <w:link w:val="Char"/>
    <w:qFormat/>
    <w:pPr>
      <w:spacing w:line="440" w:lineRule="exact"/>
      <w:ind w:firstLine="480" w:firstLineChars="200"/>
    </w:pPr>
    <w:rPr>
      <w:sz w:val="24"/>
      <w:szCs w:val="24"/>
    </w:rPr>
  </w:style>
  <w:style w:type="character" w:customStyle="1" w:styleId="Char">
    <w:name w:val="双引号 Char"/>
    <w:basedOn w:val="DefaultParagraphFont"/>
    <w:link w:val="a"/>
    <w:qFormat/>
    <w:rPr>
      <w:rFonts w:ascii="宋体" w:hAnsi="宋体"/>
      <w:sz w:val="24"/>
      <w:szCs w:val="24"/>
    </w:rPr>
  </w:style>
  <w:style w:type="character" w:customStyle="1" w:styleId="1">
    <w:name w:val="标题 1 字符"/>
    <w:basedOn w:val="DefaultParagraphFont"/>
    <w:link w:val="Heading1"/>
    <w:qFormat/>
    <w:rPr>
      <w:rFonts w:ascii="Times New Roman" w:eastAsia="宋体" w:hAnsi="Times New Roman" w:cs="Times New Roman"/>
      <w:b/>
      <w:kern w:val="44"/>
      <w:sz w:val="30"/>
      <w:szCs w:val="24"/>
    </w:rPr>
  </w:style>
  <w:style w:type="character" w:customStyle="1" w:styleId="2Char">
    <w:name w:val="标题 2 Char"/>
    <w:basedOn w:val="DefaultParagraphFont"/>
    <w:qFormat/>
    <w:rPr>
      <w:rFonts w:ascii="Times New Roman" w:eastAsia="黑体" w:hAnsi="Times New Roman" w:cs="Times New Roman"/>
      <w:b/>
      <w:sz w:val="24"/>
      <w:szCs w:val="24"/>
    </w:rPr>
  </w:style>
  <w:style w:type="character" w:customStyle="1" w:styleId="3Char">
    <w:name w:val="标题 3 Char"/>
    <w:basedOn w:val="DefaultParagraphFont"/>
    <w:qFormat/>
    <w:rPr>
      <w:rFonts w:ascii="Times New Roman" w:eastAsia="宋体" w:hAnsi="Times New Roman" w:cs="Times New Roman"/>
      <w:b/>
      <w:bCs/>
      <w:szCs w:val="24"/>
    </w:rPr>
  </w:style>
  <w:style w:type="character" w:customStyle="1" w:styleId="4">
    <w:name w:val="标题 4 字符"/>
    <w:basedOn w:val="DefaultParagraphFont"/>
    <w:link w:val="Heading4"/>
    <w:qFormat/>
    <w:rPr>
      <w:rFonts w:ascii="Times New Roman" w:eastAsia="宋体" w:hAnsi="Times New Roman" w:cs="Times New Roman"/>
      <w:b/>
      <w:szCs w:val="24"/>
    </w:rPr>
  </w:style>
  <w:style w:type="character" w:customStyle="1" w:styleId="a0">
    <w:name w:val="文档结构图 字符"/>
    <w:basedOn w:val="DefaultParagraphFont"/>
    <w:link w:val="DocumentMap"/>
    <w:qFormat/>
    <w:rPr>
      <w:rFonts w:ascii="宋体" w:eastAsia="宋体" w:hAnsi="Calibri" w:cs="Times New Roman"/>
      <w:sz w:val="18"/>
      <w:szCs w:val="18"/>
    </w:rPr>
  </w:style>
  <w:style w:type="character" w:customStyle="1" w:styleId="a1">
    <w:name w:val="批注文字 字符"/>
    <w:basedOn w:val="DefaultParagraphFont"/>
    <w:link w:val="CommentText"/>
    <w:qFormat/>
    <w:rPr>
      <w:rFonts w:ascii="Calibri" w:eastAsia="宋体" w:hAnsi="Calibri" w:cs="Times New Roman"/>
    </w:rPr>
  </w:style>
  <w:style w:type="character" w:customStyle="1" w:styleId="a2">
    <w:name w:val="日期 字符"/>
    <w:basedOn w:val="DefaultParagraphFont"/>
    <w:link w:val="Date"/>
    <w:uiPriority w:val="99"/>
    <w:qFormat/>
    <w:rPr>
      <w:rFonts w:ascii="Calibri" w:eastAsia="宋体" w:hAnsi="Calibri" w:cs="Times New Roman"/>
      <w:szCs w:val="24"/>
    </w:rPr>
  </w:style>
  <w:style w:type="character" w:customStyle="1" w:styleId="a3">
    <w:name w:val="批注框文本 字符"/>
    <w:basedOn w:val="DefaultParagraphFont"/>
    <w:link w:val="BalloonText"/>
    <w:uiPriority w:val="99"/>
    <w:qFormat/>
    <w:rPr>
      <w:rFonts w:ascii="Calibri" w:eastAsia="宋体" w:hAnsi="Calibri" w:cs="Times New Roman"/>
      <w:sz w:val="18"/>
      <w:szCs w:val="18"/>
    </w:rPr>
  </w:style>
  <w:style w:type="character" w:customStyle="1" w:styleId="a4">
    <w:name w:val="页脚 字符"/>
    <w:basedOn w:val="DefaultParagraphFont"/>
    <w:link w:val="Footer"/>
    <w:uiPriority w:val="99"/>
    <w:qFormat/>
    <w:rPr>
      <w:rFonts w:ascii="Calibri" w:eastAsia="宋体" w:hAnsi="Calibri" w:cs="Times New Roman"/>
      <w:sz w:val="18"/>
      <w:szCs w:val="24"/>
    </w:rPr>
  </w:style>
  <w:style w:type="character" w:customStyle="1" w:styleId="a5">
    <w:name w:val="页眉 字符"/>
    <w:basedOn w:val="DefaultParagraphFont"/>
    <w:link w:val="Header"/>
    <w:uiPriority w:val="99"/>
    <w:qFormat/>
    <w:rPr>
      <w:rFonts w:ascii="Calibri" w:eastAsia="宋体" w:hAnsi="Calibri" w:cs="Times New Roman"/>
      <w:sz w:val="18"/>
      <w:szCs w:val="24"/>
    </w:rPr>
  </w:style>
  <w:style w:type="character" w:customStyle="1" w:styleId="a6">
    <w:name w:val="副标题 字符"/>
    <w:basedOn w:val="DefaultParagraphFont"/>
    <w:link w:val="Subtitle"/>
    <w:qFormat/>
    <w:rPr>
      <w:rFonts w:ascii="Times New Roman" w:eastAsia="宋体" w:hAnsi="Times New Roman" w:cs="Times New Roman"/>
      <w:szCs w:val="24"/>
    </w:rPr>
  </w:style>
  <w:style w:type="character" w:customStyle="1" w:styleId="HTML">
    <w:name w:val="HTML 预设格式 字符"/>
    <w:basedOn w:val="DefaultParagraphFont"/>
    <w:link w:val="HTMLPreformatted"/>
    <w:qFormat/>
    <w:rPr>
      <w:rFonts w:ascii="宋体" w:eastAsia="宋体" w:hAnsi="宋体" w:cs="Times New Roman"/>
      <w:kern w:val="0"/>
      <w:sz w:val="24"/>
      <w:szCs w:val="24"/>
    </w:rPr>
  </w:style>
  <w:style w:type="character" w:customStyle="1" w:styleId="a7">
    <w:name w:val="标题 字符"/>
    <w:basedOn w:val="DefaultParagraphFont"/>
    <w:link w:val="Title"/>
    <w:uiPriority w:val="10"/>
    <w:qFormat/>
    <w:rPr>
      <w:rFonts w:ascii="宋体" w:eastAsia="宋体" w:hAnsi="宋体" w:cs="Times New Roman"/>
      <w:b/>
      <w:sz w:val="32"/>
    </w:rPr>
  </w:style>
  <w:style w:type="character" w:customStyle="1" w:styleId="10">
    <w:name w:val="明显强调1"/>
    <w:uiPriority w:val="21"/>
    <w:qFormat/>
    <w:rPr>
      <w:i/>
      <w:iCs/>
      <w:color w:val="5B9BD5"/>
    </w:rPr>
  </w:style>
  <w:style w:type="character" w:customStyle="1" w:styleId="11">
    <w:name w:val="明显强调11"/>
    <w:uiPriority w:val="21"/>
    <w:qFormat/>
    <w:rPr>
      <w:i/>
      <w:iCs/>
      <w:color w:val="5B9BD5"/>
    </w:rPr>
  </w:style>
  <w:style w:type="paragraph" w:customStyle="1" w:styleId="00">
    <w:name w:val="00 条文说明"/>
    <w:basedOn w:val="Normal"/>
    <w:qFormat/>
    <w:pPr>
      <w:ind w:firstLine="480" w:firstLineChars="200"/>
    </w:pPr>
    <w:rPr>
      <w:rFonts w:ascii="楷体_GB2312" w:eastAsia="楷体_GB2312" w:hAnsi="楷体_GB2312" w:cs="Times New Roman" w:hint="eastAsia"/>
      <w:kern w:val="0"/>
      <w:sz w:val="24"/>
      <w:szCs w:val="20"/>
    </w:rPr>
  </w:style>
  <w:style w:type="paragraph" w:customStyle="1" w:styleId="12">
    <w:name w:val="列出段落1"/>
    <w:basedOn w:val="Normal"/>
    <w:uiPriority w:val="34"/>
    <w:qFormat/>
    <w:pPr>
      <w:ind w:firstLine="420" w:firstLineChars="200"/>
    </w:pPr>
    <w:rPr>
      <w:rFonts w:ascii="Calibri" w:hAnsi="Calibri" w:cs="Times New Roman"/>
    </w:rPr>
  </w:style>
  <w:style w:type="paragraph" w:customStyle="1" w:styleId="Default">
    <w:name w:val="Default"/>
    <w:uiPriority w:val="99"/>
    <w:unhideWhenUsed/>
    <w:qFormat/>
    <w:pPr>
      <w:widowControl w:val="0"/>
      <w:autoSpaceDE w:val="0"/>
      <w:autoSpaceDN w:val="0"/>
      <w:adjustRightInd w:val="0"/>
    </w:pPr>
    <w:rPr>
      <w:rFonts w:ascii="宋体" w:eastAsia="宋体" w:hAnsi="宋体" w:cs="Times New Roman" w:hint="eastAsia"/>
      <w:color w:val="000000"/>
      <w:sz w:val="24"/>
      <w:lang w:val="en-US" w:eastAsia="zh-CN" w:bidi="ar-SA"/>
    </w:rPr>
  </w:style>
  <w:style w:type="paragraph" w:customStyle="1" w:styleId="2">
    <w:name w:val="列出段落2"/>
    <w:basedOn w:val="Normal"/>
    <w:uiPriority w:val="99"/>
    <w:qFormat/>
    <w:pPr>
      <w:ind w:firstLine="420" w:firstLineChars="200"/>
    </w:pPr>
    <w:rPr>
      <w:rFonts w:cs="Times New Roman"/>
      <w:szCs w:val="24"/>
    </w:rPr>
  </w:style>
  <w:style w:type="paragraph" w:customStyle="1" w:styleId="3">
    <w:name w:val="列出段落3"/>
    <w:basedOn w:val="Normal"/>
    <w:uiPriority w:val="34"/>
    <w:qFormat/>
    <w:pPr>
      <w:ind w:firstLine="420" w:firstLineChars="200"/>
    </w:pPr>
    <w:rPr>
      <w:rFonts w:ascii="Calibri" w:hAnsi="Calibri" w:cs="Times New Roman"/>
    </w:rPr>
  </w:style>
  <w:style w:type="paragraph" w:customStyle="1" w:styleId="40">
    <w:name w:val="列出段落4"/>
    <w:basedOn w:val="Normal"/>
    <w:uiPriority w:val="99"/>
    <w:qFormat/>
    <w:pPr>
      <w:ind w:firstLine="420" w:firstLineChars="200"/>
    </w:pPr>
    <w:rPr>
      <w:rFonts w:ascii="Calibri" w:hAnsi="Calibri" w:cs="Times New Roman"/>
    </w:rPr>
  </w:style>
  <w:style w:type="paragraph" w:customStyle="1" w:styleId="a8">
    <w:name w:val="图片"/>
    <w:basedOn w:val="Normal"/>
    <w:next w:val="Normal"/>
    <w:qFormat/>
    <w:pPr>
      <w:jc w:val="center"/>
    </w:pPr>
    <w:rPr>
      <w:rFonts w:cs="Times New Roman"/>
      <w:szCs w:val="24"/>
    </w:rPr>
  </w:style>
  <w:style w:type="paragraph" w:customStyle="1" w:styleId="41">
    <w:name w:val="列出段落41"/>
    <w:basedOn w:val="Normal"/>
    <w:next w:val="5"/>
    <w:uiPriority w:val="99"/>
    <w:qFormat/>
    <w:pPr>
      <w:ind w:firstLine="420" w:firstLineChars="200"/>
    </w:pPr>
    <w:rPr>
      <w:rFonts w:ascii="Calibri" w:hAnsi="Calibri" w:cs="Times New Roman"/>
    </w:rPr>
  </w:style>
  <w:style w:type="paragraph" w:customStyle="1" w:styleId="5">
    <w:name w:val="列出段落5"/>
    <w:basedOn w:val="Normal"/>
    <w:uiPriority w:val="99"/>
    <w:qFormat/>
    <w:pPr>
      <w:ind w:firstLine="420" w:firstLineChars="200"/>
    </w:pPr>
    <w:rPr>
      <w:rFonts w:cs="Times New Roman"/>
      <w:szCs w:val="24"/>
    </w:rPr>
  </w:style>
  <w:style w:type="character" w:customStyle="1" w:styleId="20">
    <w:name w:val="明显强调2"/>
    <w:uiPriority w:val="21"/>
    <w:qFormat/>
    <w:rPr>
      <w:i/>
      <w:iCs/>
      <w:color w:val="5B9BD5"/>
    </w:rPr>
  </w:style>
  <w:style w:type="character" w:customStyle="1" w:styleId="30">
    <w:name w:val="明显强调3"/>
    <w:uiPriority w:val="21"/>
    <w:qFormat/>
    <w:rPr>
      <w:i/>
      <w:iCs/>
      <w:color w:val="5B9BD5"/>
    </w:rPr>
  </w:style>
  <w:style w:type="paragraph" w:customStyle="1" w:styleId="31">
    <w:name w:val="列出段落31"/>
    <w:basedOn w:val="Normal"/>
    <w:uiPriority w:val="34"/>
    <w:qFormat/>
    <w:pPr>
      <w:ind w:firstLine="420" w:firstLineChars="200"/>
    </w:pPr>
    <w:rPr>
      <w:rFonts w:ascii="Calibri" w:hAnsi="Calibri" w:cs="Times New Roman"/>
    </w:rPr>
  </w:style>
  <w:style w:type="character" w:customStyle="1" w:styleId="a9">
    <w:name w:val="批注主题 字符"/>
    <w:basedOn w:val="a1"/>
    <w:link w:val="CommentSubject"/>
    <w:uiPriority w:val="99"/>
    <w:semiHidden/>
    <w:qFormat/>
    <w:rPr>
      <w:rFonts w:ascii="宋体" w:eastAsia="宋体" w:hAnsi="宋体" w:cs="Times New Roman"/>
      <w:b/>
      <w:bCs/>
    </w:rPr>
  </w:style>
  <w:style w:type="character" w:customStyle="1" w:styleId="32">
    <w:name w:val="标题 3 字符"/>
    <w:basedOn w:val="DefaultParagraphFont"/>
    <w:qFormat/>
    <w:rPr>
      <w:rFonts w:ascii="Times New Roman" w:eastAsia="宋体" w:hAnsi="Times New Roman" w:cs="Times New Roman"/>
      <w:b/>
      <w:bCs/>
      <w:szCs w:val="24"/>
    </w:rPr>
  </w:style>
  <w:style w:type="paragraph" w:customStyle="1" w:styleId="a10">
    <w:name w:val="图表表格"/>
    <w:basedOn w:val="TableofFigures"/>
    <w:qFormat/>
    <w:pPr>
      <w:ind w:left="0" w:firstLine="0" w:leftChars="0" w:firstLineChars="0"/>
      <w:jc w:val="center"/>
    </w:pPr>
    <w:rPr>
      <w:b/>
      <w:bCs/>
      <w:sz w:val="18"/>
      <w:szCs w:val="18"/>
    </w:rPr>
  </w:style>
  <w:style w:type="paragraph" w:customStyle="1" w:styleId="a11">
    <w:name w:val="表格内容"/>
    <w:basedOn w:val="a10"/>
    <w:link w:val="Char0"/>
    <w:qFormat/>
    <w:rPr>
      <w:b w:val="0"/>
    </w:rPr>
  </w:style>
  <w:style w:type="character" w:customStyle="1" w:styleId="50">
    <w:name w:val="标题 5 字符"/>
    <w:link w:val="Heading5"/>
    <w:qFormat/>
    <w:rPr>
      <w:b/>
      <w:sz w:val="28"/>
    </w:rPr>
  </w:style>
  <w:style w:type="character" w:customStyle="1" w:styleId="Char0">
    <w:name w:val="表格内容 Char"/>
    <w:link w:val="a11"/>
    <w:qFormat/>
  </w:style>
  <w:style w:type="character" w:customStyle="1" w:styleId="TOC10">
    <w:name w:val="TOC 1 字符"/>
    <w:link w:val="TOC1"/>
    <w:uiPriority w:val="39"/>
    <w:qFormat/>
    <w:rPr>
      <w:rFonts w:ascii="Times New Roman" w:eastAsia="宋体" w:hAnsi="Times New Roman" w:cs="Times New Roman"/>
      <w:szCs w:val="24"/>
    </w:rPr>
  </w:style>
  <w:style w:type="character" w:customStyle="1" w:styleId="21">
    <w:name w:val="标题 2 字符"/>
    <w:basedOn w:val="DefaultParagraphFont"/>
    <w:link w:val="Heading2"/>
    <w:qFormat/>
    <w:rPr>
      <w:rFonts w:ascii="Times New Roman" w:eastAsia="黑体" w:hAnsi="Times New Roman" w:cs="Times New Roman"/>
      <w:b/>
      <w:sz w:val="24"/>
      <w:szCs w:val="24"/>
    </w:rPr>
  </w:style>
  <w:style w:type="paragraph" w:customStyle="1" w:styleId="13">
    <w:name w:val="样式1"/>
    <w:basedOn w:val="Normal"/>
    <w:link w:val="1Char"/>
    <w:qFormat/>
    <w:pPr>
      <w:ind w:firstLine="480" w:firstLineChars="200"/>
    </w:pPr>
    <w:rPr>
      <w:sz w:val="18"/>
      <w:szCs w:val="18"/>
    </w:rPr>
  </w:style>
  <w:style w:type="character" w:customStyle="1" w:styleId="1Char">
    <w:name w:val="样式1 Char"/>
    <w:link w:val="13"/>
    <w:qFormat/>
    <w:rPr>
      <w:rFonts w:ascii="Times New Roman" w:hAnsi="Times New Roman"/>
      <w:sz w:val="18"/>
      <w:szCs w:val="18"/>
    </w:rPr>
  </w:style>
  <w:style w:type="character" w:customStyle="1" w:styleId="a12">
    <w:name w:val="图表目录 字符"/>
    <w:link w:val="TableofFigures"/>
    <w:uiPriority w:val="99"/>
    <w:qFormat/>
  </w:style>
  <w:style w:type="character" w:customStyle="1" w:styleId="TOC20">
    <w:name w:val="TOC 2 字符"/>
    <w:link w:val="TOC2"/>
    <w:uiPriority w:val="39"/>
    <w:qFormat/>
    <w:rPr>
      <w:rFonts w:ascii="Times New Roman" w:eastAsia="宋体" w:hAnsi="Times New Roman" w:cs="Times New Roman"/>
      <w:szCs w:val="24"/>
    </w:rPr>
  </w:style>
  <w:style w:type="character" w:customStyle="1" w:styleId="310">
    <w:name w:val="标题 3 字符1"/>
    <w:basedOn w:val="DefaultParagraphFont"/>
    <w:link w:val="Heading3"/>
    <w:qFormat/>
    <w:rPr>
      <w:rFonts w:ascii="Times New Roman" w:eastAsia="宋体" w:hAnsi="Times New Roman" w:cs="Times New Roman"/>
      <w:b/>
      <w:bCs/>
      <w:kern w:val="2"/>
      <w:sz w:val="21"/>
      <w:szCs w:val="24"/>
    </w:rPr>
  </w:style>
  <w:style w:type="paragraph" w:customStyle="1" w:styleId="22">
    <w:name w:val="样式2"/>
    <w:basedOn w:val="Normal"/>
    <w:qFormat/>
    <w:pPr>
      <w:ind w:left="480" w:leftChars="200"/>
    </w:pPr>
    <w:rPr>
      <w:b/>
      <w:bCs/>
    </w:rPr>
  </w:style>
  <w:style w:type="table" w:customStyle="1" w:styleId="110">
    <w:name w:val="网格型11"/>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color w:val="2E75B6" w:themeColor="accent1" w:themeShade="BF"/>
      <w:kern w:val="0"/>
      <w:sz w:val="32"/>
      <w:szCs w:val="32"/>
    </w:rPr>
  </w:style>
  <w:style w:type="character" w:customStyle="1" w:styleId="14">
    <w:name w:val="未处理的提及1"/>
    <w:basedOn w:val="DefaultParagraphFont"/>
    <w:uiPriority w:val="99"/>
    <w:semiHidden/>
    <w:unhideWhenUsed/>
    <w:rPr>
      <w:color w:val="605E5C"/>
      <w:shd w:val="clear" w:color="auto" w:fill="E1DFDD"/>
    </w:rPr>
  </w:style>
  <w:style w:type="paragraph" w:customStyle="1" w:styleId="a13">
    <w:name w:val="条文正文"/>
    <w:basedOn w:val="Normal"/>
    <w:qFormat/>
    <w:pPr>
      <w:jc w:val="left"/>
    </w:pPr>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eader" Target="header2.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eader" Target="header3.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header" Target="header4.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header" Target="header5.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header" Target="header6.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header" Target="header7.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header" Target="header9.xml"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header" Target="header10.xml"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header" Target="header11.xml" /><Relationship Id="rId4" Type="http://schemas.openxmlformats.org/officeDocument/2006/relationships/customXml" Target="../customXml/item1.xml"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header" Target="header12.xml" /><Relationship Id="rId43" Type="http://schemas.openxmlformats.org/officeDocument/2006/relationships/footer" Target="footer27.xml" /><Relationship Id="rId44" Type="http://schemas.openxmlformats.org/officeDocument/2006/relationships/footer" Target="footer28.xml" /><Relationship Id="rId45" Type="http://schemas.openxmlformats.org/officeDocument/2006/relationships/hyperlink" Target="https://d.book118.com/908101005000006042" TargetMode="External" /><Relationship Id="rId46" Type="http://schemas.openxmlformats.org/officeDocument/2006/relationships/header" Target="header13.xml" /><Relationship Id="rId47" Type="http://schemas.openxmlformats.org/officeDocument/2006/relationships/footer" Target="footer29.xml" /><Relationship Id="rId48" Type="http://schemas.openxmlformats.org/officeDocument/2006/relationships/footer" Target="footer30.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411C470C-DEC2-461A-BD1C-134B1222491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19</Pages>
  <Words>3352</Words>
  <Characters>19107</Characters>
  <Application>Microsoft Office Word</Application>
  <DocSecurity>0</DocSecurity>
  <Lines>159</Lines>
  <Paragraphs>44</Paragraphs>
  <ScaleCrop>false</ScaleCrop>
  <Company/>
  <LinksUpToDate>false</LinksUpToDate>
  <CharactersWithSpaces>22415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dc:creator>
  <cp:lastModifiedBy>xwbjl</cp:lastModifiedBy>
  <cp:revision>611</cp:revision>
  <cp:lastPrinted>2017-06-12T15:14:00Z</cp:lastPrinted>
  <dcterms:created xsi:type="dcterms:W3CDTF">2020-07-25T02:14:00Z</dcterms:created>
  <dcterms:modified xsi:type="dcterms:W3CDTF">2024-02-18T06:58:10Z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2648223208AF4BD7827CE8679EE1C038_12</vt:lpwstr>
  </property>
  <property fmtid="{D5CDD505-2E9C-101B-9397-08002B2CF9AE}" pid="3" name="KSOProductBuildVer">
    <vt:lpwstr>2052-12.1.0.16120</vt:lpwstr>
  </property>
</Properties>
</file>