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高纯砷及氧化砷项目规划设计纲要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94" w:history="1">
        <w:r>
          <w:rPr>
            <w:rFonts w:ascii="仿宋" w:eastAsia="仿宋" w:hAnsi="仿宋" w:cs="仿宋" w:hint="eastAsia"/>
            <w:lang w:eastAsia="zh-CN"/>
          </w:rPr>
          <w:t>序言</w:t>
        </w:r>
        <w:r>
          <w:tab/>
        </w:r>
        <w:r>
          <w:fldChar w:fldCharType="begin"/>
        </w:r>
        <w:r>
          <w:instrText xml:space="preserve"> PAGEREF _Toc12994 \h </w:instrText>
        </w:r>
        <w:r>
          <w:fldChar w:fldCharType="separate"/>
        </w:r>
        <w:r>
          <w:t>3</w:t>
        </w:r>
        <w:r>
          <w:fldChar w:fldCharType="end"/>
        </w:r>
      </w:hyperlink>
    </w:p>
    <w:p>
      <w:pPr>
        <w:pStyle w:val="TOC1"/>
        <w:tabs>
          <w:tab w:val="right" w:leader="dot" w:pos="8306"/>
        </w:tabs>
      </w:pPr>
      <w:hyperlink w:anchor="_Toc9774" w:history="1">
        <w:r>
          <w:rPr>
            <w:rFonts w:ascii="仿宋" w:eastAsia="仿宋" w:hAnsi="仿宋" w:cs="仿宋" w:hint="eastAsia"/>
            <w:lang w:eastAsia="zh-CN"/>
          </w:rPr>
          <w:t>一、高纯砷及氧化砷项目土建工程</w:t>
        </w:r>
        <w:r>
          <w:tab/>
        </w:r>
        <w:r>
          <w:fldChar w:fldCharType="begin"/>
        </w:r>
        <w:r>
          <w:instrText xml:space="preserve"> PAGEREF _Toc9774 \h </w:instrText>
        </w:r>
        <w:r>
          <w:fldChar w:fldCharType="separate"/>
        </w:r>
        <w:r>
          <w:t>3</w:t>
        </w:r>
        <w:r>
          <w:fldChar w:fldCharType="end"/>
        </w:r>
      </w:hyperlink>
    </w:p>
    <w:p>
      <w:pPr>
        <w:pStyle w:val="TOC2"/>
        <w:tabs>
          <w:tab w:val="right" w:leader="dot" w:pos="8306"/>
        </w:tabs>
      </w:pPr>
      <w:hyperlink w:anchor="_Toc31980" w:history="1">
        <w:r>
          <w:rPr>
            <w:rFonts w:ascii="仿宋" w:eastAsia="仿宋" w:hAnsi="仿宋" w:cs="仿宋" w:hint="eastAsia"/>
            <w:lang w:eastAsia="zh-CN"/>
          </w:rPr>
          <w:t>(一)、建筑工程设计原则</w:t>
        </w:r>
        <w:r>
          <w:tab/>
        </w:r>
        <w:r>
          <w:fldChar w:fldCharType="begin"/>
        </w:r>
        <w:r>
          <w:instrText xml:space="preserve"> PAGEREF _Toc31980 \h </w:instrText>
        </w:r>
        <w:r>
          <w:fldChar w:fldCharType="separate"/>
        </w:r>
        <w:r>
          <w:t>3</w:t>
        </w:r>
        <w:r>
          <w:fldChar w:fldCharType="end"/>
        </w:r>
      </w:hyperlink>
    </w:p>
    <w:p>
      <w:pPr>
        <w:pStyle w:val="TOC2"/>
        <w:tabs>
          <w:tab w:val="right" w:leader="dot" w:pos="8306"/>
        </w:tabs>
      </w:pPr>
      <w:hyperlink w:anchor="_Toc24732" w:history="1">
        <w:r>
          <w:rPr>
            <w:rFonts w:ascii="仿宋" w:eastAsia="仿宋" w:hAnsi="仿宋" w:cs="仿宋" w:hint="eastAsia"/>
            <w:lang w:eastAsia="zh-CN"/>
          </w:rPr>
          <w:t>(二)、土建工程设计年限及安全等级</w:t>
        </w:r>
        <w:r>
          <w:tab/>
        </w:r>
        <w:r>
          <w:fldChar w:fldCharType="begin"/>
        </w:r>
        <w:r>
          <w:instrText xml:space="preserve"> PAGEREF _Toc24732 \h </w:instrText>
        </w:r>
        <w:r>
          <w:fldChar w:fldCharType="separate"/>
        </w:r>
        <w:r>
          <w:t>4</w:t>
        </w:r>
        <w:r>
          <w:fldChar w:fldCharType="end"/>
        </w:r>
      </w:hyperlink>
    </w:p>
    <w:p>
      <w:pPr>
        <w:pStyle w:val="TOC2"/>
        <w:tabs>
          <w:tab w:val="right" w:leader="dot" w:pos="8306"/>
        </w:tabs>
      </w:pPr>
      <w:hyperlink w:anchor="_Toc19710" w:history="1">
        <w:r>
          <w:rPr>
            <w:rFonts w:ascii="仿宋" w:eastAsia="仿宋" w:hAnsi="仿宋" w:cs="仿宋" w:hint="eastAsia"/>
            <w:lang w:eastAsia="zh-CN"/>
          </w:rPr>
          <w:t>(三)、建筑工程设计总体要求</w:t>
        </w:r>
        <w:r>
          <w:tab/>
        </w:r>
        <w:r>
          <w:fldChar w:fldCharType="begin"/>
        </w:r>
        <w:r>
          <w:instrText xml:space="preserve"> PAGEREF _Toc19710 \h </w:instrText>
        </w:r>
        <w:r>
          <w:fldChar w:fldCharType="separate"/>
        </w:r>
        <w:r>
          <w:t>5</w:t>
        </w:r>
        <w:r>
          <w:fldChar w:fldCharType="end"/>
        </w:r>
      </w:hyperlink>
    </w:p>
    <w:p>
      <w:pPr>
        <w:pStyle w:val="TOC2"/>
        <w:tabs>
          <w:tab w:val="right" w:leader="dot" w:pos="8306"/>
        </w:tabs>
      </w:pPr>
      <w:hyperlink w:anchor="_Toc5108" w:history="1">
        <w:r>
          <w:rPr>
            <w:rFonts w:ascii="仿宋" w:eastAsia="仿宋" w:hAnsi="仿宋" w:cs="仿宋" w:hint="eastAsia"/>
            <w:lang w:eastAsia="zh-CN"/>
          </w:rPr>
          <w:t>(四)、土建工程建设指标</w:t>
        </w:r>
        <w:r>
          <w:tab/>
        </w:r>
        <w:r>
          <w:fldChar w:fldCharType="begin"/>
        </w:r>
        <w:r>
          <w:instrText xml:space="preserve"> PAGEREF _Toc5108 \h </w:instrText>
        </w:r>
        <w:r>
          <w:fldChar w:fldCharType="separate"/>
        </w:r>
        <w:r>
          <w:t>6</w:t>
        </w:r>
        <w:r>
          <w:fldChar w:fldCharType="end"/>
        </w:r>
      </w:hyperlink>
    </w:p>
    <w:p>
      <w:pPr>
        <w:pStyle w:val="TOC1"/>
        <w:tabs>
          <w:tab w:val="right" w:leader="dot" w:pos="8306"/>
        </w:tabs>
      </w:pPr>
      <w:hyperlink w:anchor="_Toc25459" w:history="1">
        <w:r>
          <w:rPr>
            <w:rFonts w:ascii="仿宋" w:eastAsia="仿宋" w:hAnsi="仿宋" w:cs="仿宋" w:hint="eastAsia"/>
            <w:lang w:eastAsia="zh-CN"/>
          </w:rPr>
          <w:t>二、产品规划分析</w:t>
        </w:r>
        <w:r>
          <w:tab/>
        </w:r>
        <w:r>
          <w:fldChar w:fldCharType="begin"/>
        </w:r>
        <w:r>
          <w:instrText xml:space="preserve"> PAGEREF _Toc25459 \h </w:instrText>
        </w:r>
        <w:r>
          <w:fldChar w:fldCharType="separate"/>
        </w:r>
        <w:r>
          <w:t>6</w:t>
        </w:r>
        <w:r>
          <w:fldChar w:fldCharType="end"/>
        </w:r>
      </w:hyperlink>
    </w:p>
    <w:p>
      <w:pPr>
        <w:pStyle w:val="TOC2"/>
        <w:tabs>
          <w:tab w:val="right" w:leader="dot" w:pos="8306"/>
        </w:tabs>
      </w:pPr>
      <w:hyperlink w:anchor="_Toc28099" w:history="1">
        <w:r>
          <w:rPr>
            <w:rFonts w:ascii="仿宋" w:eastAsia="仿宋" w:hAnsi="仿宋" w:cs="仿宋" w:hint="eastAsia"/>
            <w:lang w:eastAsia="zh-CN"/>
          </w:rPr>
          <w:t>(一)、产品规划</w:t>
        </w:r>
        <w:r>
          <w:tab/>
        </w:r>
        <w:r>
          <w:fldChar w:fldCharType="begin"/>
        </w:r>
        <w:r>
          <w:instrText xml:space="preserve"> PAGEREF _Toc28099 \h </w:instrText>
        </w:r>
        <w:r>
          <w:fldChar w:fldCharType="separate"/>
        </w:r>
        <w:r>
          <w:t>6</w:t>
        </w:r>
        <w:r>
          <w:fldChar w:fldCharType="end"/>
        </w:r>
      </w:hyperlink>
    </w:p>
    <w:p>
      <w:pPr>
        <w:pStyle w:val="TOC2"/>
        <w:tabs>
          <w:tab w:val="right" w:leader="dot" w:pos="8306"/>
        </w:tabs>
      </w:pPr>
      <w:hyperlink w:anchor="_Toc29338" w:history="1">
        <w:r>
          <w:rPr>
            <w:rFonts w:ascii="仿宋" w:eastAsia="仿宋" w:hAnsi="仿宋" w:cs="仿宋" w:hint="eastAsia"/>
            <w:lang w:eastAsia="zh-CN"/>
          </w:rPr>
          <w:t>(二)、建设规模</w:t>
        </w:r>
        <w:r>
          <w:tab/>
        </w:r>
        <w:r>
          <w:fldChar w:fldCharType="begin"/>
        </w:r>
        <w:r>
          <w:instrText xml:space="preserve"> PAGEREF _Toc29338 \h </w:instrText>
        </w:r>
        <w:r>
          <w:fldChar w:fldCharType="separate"/>
        </w:r>
        <w:r>
          <w:t>7</w:t>
        </w:r>
        <w:r>
          <w:fldChar w:fldCharType="end"/>
        </w:r>
      </w:hyperlink>
    </w:p>
    <w:p>
      <w:pPr>
        <w:pStyle w:val="TOC1"/>
        <w:tabs>
          <w:tab w:val="right" w:leader="dot" w:pos="8306"/>
        </w:tabs>
      </w:pPr>
      <w:hyperlink w:anchor="_Toc3632" w:history="1">
        <w:r>
          <w:rPr>
            <w:rFonts w:ascii="仿宋" w:eastAsia="仿宋" w:hAnsi="仿宋" w:cs="仿宋" w:hint="eastAsia"/>
            <w:lang w:eastAsia="zh-CN"/>
          </w:rPr>
          <w:t>三、高纯砷及氧化砷项目建设背景及必要性分析</w:t>
        </w:r>
        <w:r>
          <w:tab/>
        </w:r>
        <w:r>
          <w:fldChar w:fldCharType="begin"/>
        </w:r>
        <w:r>
          <w:instrText xml:space="preserve"> PAGEREF _Toc3632 \h </w:instrText>
        </w:r>
        <w:r>
          <w:fldChar w:fldCharType="separate"/>
        </w:r>
        <w:r>
          <w:t>8</w:t>
        </w:r>
        <w:r>
          <w:fldChar w:fldCharType="end"/>
        </w:r>
      </w:hyperlink>
    </w:p>
    <w:p>
      <w:pPr>
        <w:pStyle w:val="TOC2"/>
        <w:tabs>
          <w:tab w:val="right" w:leader="dot" w:pos="8306"/>
        </w:tabs>
      </w:pPr>
      <w:hyperlink w:anchor="_Toc15563" w:history="1">
        <w:r>
          <w:rPr>
            <w:rFonts w:ascii="仿宋" w:eastAsia="仿宋" w:hAnsi="仿宋" w:cs="仿宋" w:hint="eastAsia"/>
            <w:lang w:eastAsia="zh-CN"/>
          </w:rPr>
          <w:t>(一)、高纯砷及氧化砷项目背景分析</w:t>
        </w:r>
        <w:r>
          <w:tab/>
        </w:r>
        <w:r>
          <w:fldChar w:fldCharType="begin"/>
        </w:r>
        <w:r>
          <w:instrText xml:space="preserve"> PAGEREF _Toc15563 \h </w:instrText>
        </w:r>
        <w:r>
          <w:fldChar w:fldCharType="separate"/>
        </w:r>
        <w:r>
          <w:t>8</w:t>
        </w:r>
        <w:r>
          <w:fldChar w:fldCharType="end"/>
        </w:r>
      </w:hyperlink>
    </w:p>
    <w:p>
      <w:pPr>
        <w:pStyle w:val="TOC2"/>
        <w:tabs>
          <w:tab w:val="right" w:leader="dot" w:pos="8306"/>
        </w:tabs>
      </w:pPr>
      <w:hyperlink w:anchor="_Toc28118" w:history="1">
        <w:r>
          <w:rPr>
            <w:rFonts w:ascii="仿宋" w:eastAsia="仿宋" w:hAnsi="仿宋" w:cs="仿宋" w:hint="eastAsia"/>
            <w:lang w:eastAsia="zh-CN"/>
          </w:rPr>
          <w:t>(二)、高纯砷及氧化砷项目建设必要性分析</w:t>
        </w:r>
        <w:r>
          <w:tab/>
        </w:r>
        <w:r>
          <w:fldChar w:fldCharType="begin"/>
        </w:r>
        <w:r>
          <w:instrText xml:space="preserve"> PAGEREF _Toc28118 \h </w:instrText>
        </w:r>
        <w:r>
          <w:fldChar w:fldCharType="separate"/>
        </w:r>
        <w:r>
          <w:t>10</w:t>
        </w:r>
        <w:r>
          <w:fldChar w:fldCharType="end"/>
        </w:r>
      </w:hyperlink>
    </w:p>
    <w:p>
      <w:pPr>
        <w:pStyle w:val="TOC1"/>
        <w:tabs>
          <w:tab w:val="right" w:leader="dot" w:pos="8306"/>
        </w:tabs>
      </w:pPr>
      <w:hyperlink w:anchor="_Toc8525" w:history="1">
        <w:r>
          <w:rPr>
            <w:rFonts w:ascii="仿宋" w:eastAsia="仿宋" w:hAnsi="仿宋" w:cs="仿宋" w:hint="eastAsia"/>
            <w:lang w:eastAsia="zh-CN"/>
          </w:rPr>
          <w:t>四、高纯砷及氧化砷项目文档管理</w:t>
        </w:r>
        <w:r>
          <w:tab/>
        </w:r>
        <w:r>
          <w:fldChar w:fldCharType="begin"/>
        </w:r>
        <w:r>
          <w:instrText xml:space="preserve"> PAGEREF _Toc8525 \h </w:instrText>
        </w:r>
        <w:r>
          <w:fldChar w:fldCharType="separate"/>
        </w:r>
        <w:r>
          <w:t>11</w:t>
        </w:r>
        <w:r>
          <w:fldChar w:fldCharType="end"/>
        </w:r>
      </w:hyperlink>
    </w:p>
    <w:p>
      <w:pPr>
        <w:pStyle w:val="TOC2"/>
        <w:tabs>
          <w:tab w:val="right" w:leader="dot" w:pos="8306"/>
        </w:tabs>
      </w:pPr>
      <w:hyperlink w:anchor="_Toc31633" w:history="1">
        <w:r>
          <w:rPr>
            <w:rFonts w:ascii="仿宋" w:eastAsia="仿宋" w:hAnsi="仿宋" w:cs="仿宋" w:hint="eastAsia"/>
            <w:lang w:eastAsia="zh-CN"/>
          </w:rPr>
          <w:t>(一)、文档编制与审查</w:t>
        </w:r>
        <w:r>
          <w:tab/>
        </w:r>
        <w:r>
          <w:fldChar w:fldCharType="begin"/>
        </w:r>
        <w:r>
          <w:instrText xml:space="preserve"> PAGEREF _Toc31633 \h </w:instrText>
        </w:r>
        <w:r>
          <w:fldChar w:fldCharType="separate"/>
        </w:r>
        <w:r>
          <w:t>11</w:t>
        </w:r>
        <w:r>
          <w:fldChar w:fldCharType="end"/>
        </w:r>
      </w:hyperlink>
    </w:p>
    <w:p>
      <w:pPr>
        <w:pStyle w:val="TOC2"/>
        <w:tabs>
          <w:tab w:val="right" w:leader="dot" w:pos="8306"/>
        </w:tabs>
      </w:pPr>
      <w:hyperlink w:anchor="_Toc30072" w:history="1">
        <w:r>
          <w:rPr>
            <w:rFonts w:ascii="仿宋" w:eastAsia="仿宋" w:hAnsi="仿宋" w:cs="仿宋" w:hint="eastAsia"/>
            <w:lang w:eastAsia="zh-CN"/>
          </w:rPr>
          <w:t>(二)、文档发布与分发</w:t>
        </w:r>
        <w:r>
          <w:tab/>
        </w:r>
        <w:r>
          <w:fldChar w:fldCharType="begin"/>
        </w:r>
        <w:r>
          <w:instrText xml:space="preserve"> PAGEREF _Toc30072 \h </w:instrText>
        </w:r>
        <w:r>
          <w:fldChar w:fldCharType="separate"/>
        </w:r>
        <w:r>
          <w:t>13</w:t>
        </w:r>
        <w:r>
          <w:fldChar w:fldCharType="end"/>
        </w:r>
      </w:hyperlink>
    </w:p>
    <w:p>
      <w:pPr>
        <w:pStyle w:val="TOC2"/>
        <w:tabs>
          <w:tab w:val="right" w:leader="dot" w:pos="8306"/>
        </w:tabs>
      </w:pPr>
      <w:hyperlink w:anchor="_Toc31132" w:history="1">
        <w:r>
          <w:rPr>
            <w:rFonts w:ascii="仿宋" w:eastAsia="仿宋" w:hAnsi="仿宋" w:cs="仿宋" w:hint="eastAsia"/>
            <w:lang w:eastAsia="zh-CN"/>
          </w:rPr>
          <w:t>(三)、文档存档与归档</w:t>
        </w:r>
        <w:r>
          <w:tab/>
        </w:r>
        <w:r>
          <w:fldChar w:fldCharType="begin"/>
        </w:r>
        <w:r>
          <w:instrText xml:space="preserve"> PAGEREF _Toc31132 \h </w:instrText>
        </w:r>
        <w:r>
          <w:fldChar w:fldCharType="separate"/>
        </w:r>
        <w:r>
          <w:t>13</w:t>
        </w:r>
        <w:r>
          <w:fldChar w:fldCharType="end"/>
        </w:r>
      </w:hyperlink>
    </w:p>
    <w:p>
      <w:pPr>
        <w:pStyle w:val="TOC1"/>
        <w:tabs>
          <w:tab w:val="right" w:leader="dot" w:pos="8306"/>
        </w:tabs>
      </w:pPr>
      <w:hyperlink w:anchor="_Toc13269" w:history="1">
        <w:r>
          <w:rPr>
            <w:rFonts w:ascii="仿宋" w:eastAsia="仿宋" w:hAnsi="仿宋" w:cs="仿宋" w:hint="eastAsia"/>
            <w:lang w:eastAsia="zh-CN"/>
          </w:rPr>
          <w:t>五、高纯砷及氧化砷项目危机管理</w:t>
        </w:r>
        <w:r>
          <w:tab/>
        </w:r>
        <w:r>
          <w:fldChar w:fldCharType="begin"/>
        </w:r>
        <w:r>
          <w:instrText xml:space="preserve"> PAGEREF _Toc13269 \h </w:instrText>
        </w:r>
        <w:r>
          <w:fldChar w:fldCharType="separate"/>
        </w:r>
        <w:r>
          <w:t>15</w:t>
        </w:r>
        <w:r>
          <w:fldChar w:fldCharType="end"/>
        </w:r>
      </w:hyperlink>
    </w:p>
    <w:p>
      <w:pPr>
        <w:pStyle w:val="TOC2"/>
        <w:tabs>
          <w:tab w:val="right" w:leader="dot" w:pos="8306"/>
        </w:tabs>
      </w:pPr>
      <w:hyperlink w:anchor="_Toc7342" w:history="1">
        <w:r>
          <w:rPr>
            <w:rFonts w:ascii="仿宋" w:eastAsia="仿宋" w:hAnsi="仿宋" w:cs="仿宋" w:hint="eastAsia"/>
            <w:lang w:eastAsia="zh-CN"/>
          </w:rPr>
          <w:t>(一)、危机预警与识别</w:t>
        </w:r>
        <w:r>
          <w:tab/>
        </w:r>
        <w:r>
          <w:fldChar w:fldCharType="begin"/>
        </w:r>
        <w:r>
          <w:instrText xml:space="preserve"> PAGEREF _Toc7342 \h </w:instrText>
        </w:r>
        <w:r>
          <w:fldChar w:fldCharType="separate"/>
        </w:r>
        <w:r>
          <w:t>15</w:t>
        </w:r>
        <w:r>
          <w:fldChar w:fldCharType="end"/>
        </w:r>
      </w:hyperlink>
    </w:p>
    <w:p>
      <w:pPr>
        <w:pStyle w:val="TOC2"/>
        <w:tabs>
          <w:tab w:val="right" w:leader="dot" w:pos="8306"/>
        </w:tabs>
      </w:pPr>
      <w:hyperlink w:anchor="_Toc6471" w:history="1">
        <w:r>
          <w:rPr>
            <w:rFonts w:ascii="仿宋" w:eastAsia="仿宋" w:hAnsi="仿宋" w:cs="仿宋" w:hint="eastAsia"/>
            <w:lang w:eastAsia="zh-CN"/>
          </w:rPr>
          <w:t>(二)、危机应对与恢复</w:t>
        </w:r>
        <w:r>
          <w:tab/>
        </w:r>
        <w:r>
          <w:fldChar w:fldCharType="begin"/>
        </w:r>
        <w:r>
          <w:instrText xml:space="preserve"> PAGEREF _Toc6471 \h </w:instrText>
        </w:r>
        <w:r>
          <w:fldChar w:fldCharType="separate"/>
        </w:r>
        <w:r>
          <w:t>16</w:t>
        </w:r>
        <w:r>
          <w:fldChar w:fldCharType="end"/>
        </w:r>
      </w:hyperlink>
    </w:p>
    <w:p>
      <w:pPr>
        <w:pStyle w:val="TOC1"/>
        <w:tabs>
          <w:tab w:val="right" w:leader="dot" w:pos="8306"/>
        </w:tabs>
      </w:pPr>
      <w:hyperlink w:anchor="_Toc17660" w:history="1">
        <w:r>
          <w:rPr>
            <w:rFonts w:ascii="仿宋" w:eastAsia="仿宋" w:hAnsi="仿宋" w:cs="仿宋" w:hint="eastAsia"/>
            <w:lang w:eastAsia="zh-CN"/>
          </w:rPr>
          <w:t>六、高纯砷及氧化砷项目绩效评估</w:t>
        </w:r>
        <w:r>
          <w:tab/>
        </w:r>
        <w:r>
          <w:fldChar w:fldCharType="begin"/>
        </w:r>
        <w:r>
          <w:instrText xml:space="preserve"> PAGEREF _Toc17660 \h </w:instrText>
        </w:r>
        <w:r>
          <w:fldChar w:fldCharType="separate"/>
        </w:r>
        <w:r>
          <w:t>17</w:t>
        </w:r>
        <w:r>
          <w:fldChar w:fldCharType="end"/>
        </w:r>
      </w:hyperlink>
    </w:p>
    <w:p>
      <w:pPr>
        <w:pStyle w:val="TOC2"/>
        <w:tabs>
          <w:tab w:val="right" w:leader="dot" w:pos="8306"/>
        </w:tabs>
      </w:pPr>
      <w:hyperlink w:anchor="_Toc18571" w:history="1">
        <w:r>
          <w:rPr>
            <w:rFonts w:ascii="仿宋" w:eastAsia="仿宋" w:hAnsi="仿宋" w:cs="仿宋" w:hint="eastAsia"/>
            <w:lang w:eastAsia="zh-CN"/>
          </w:rPr>
          <w:t>(一)、绩效评估指标</w:t>
        </w:r>
        <w:r>
          <w:tab/>
        </w:r>
        <w:r>
          <w:fldChar w:fldCharType="begin"/>
        </w:r>
        <w:r>
          <w:instrText xml:space="preserve"> PAGEREF _Toc18571 \h </w:instrText>
        </w:r>
        <w:r>
          <w:fldChar w:fldCharType="separate"/>
        </w:r>
        <w:r>
          <w:t>17</w:t>
        </w:r>
        <w:r>
          <w:fldChar w:fldCharType="end"/>
        </w:r>
      </w:hyperlink>
    </w:p>
    <w:p>
      <w:pPr>
        <w:pStyle w:val="TOC2"/>
        <w:tabs>
          <w:tab w:val="right" w:leader="dot" w:pos="8306"/>
        </w:tabs>
      </w:pPr>
      <w:hyperlink w:anchor="_Toc10312" w:history="1">
        <w:r>
          <w:rPr>
            <w:rFonts w:ascii="仿宋" w:eastAsia="仿宋" w:hAnsi="仿宋" w:cs="仿宋" w:hint="eastAsia"/>
            <w:lang w:eastAsia="zh-CN"/>
          </w:rPr>
          <w:t>(二)、绩效评估方法</w:t>
        </w:r>
        <w:r>
          <w:tab/>
        </w:r>
        <w:r>
          <w:fldChar w:fldCharType="begin"/>
        </w:r>
        <w:r>
          <w:instrText xml:space="preserve"> PAGEREF _Toc10312 \h </w:instrText>
        </w:r>
        <w:r>
          <w:fldChar w:fldCharType="separate"/>
        </w:r>
        <w:r>
          <w:t>18</w:t>
        </w:r>
        <w:r>
          <w:fldChar w:fldCharType="end"/>
        </w:r>
      </w:hyperlink>
    </w:p>
    <w:p>
      <w:pPr>
        <w:pStyle w:val="TOC2"/>
        <w:tabs>
          <w:tab w:val="right" w:leader="dot" w:pos="8306"/>
        </w:tabs>
      </w:pPr>
      <w:hyperlink w:anchor="_Toc3717" w:history="1">
        <w:r>
          <w:rPr>
            <w:rFonts w:ascii="仿宋" w:eastAsia="仿宋" w:hAnsi="仿宋" w:cs="仿宋" w:hint="eastAsia"/>
            <w:lang w:eastAsia="zh-CN"/>
          </w:rPr>
          <w:t>(三)、绩效评估周期</w:t>
        </w:r>
        <w:r>
          <w:tab/>
        </w:r>
        <w:r>
          <w:fldChar w:fldCharType="begin"/>
        </w:r>
        <w:r>
          <w:instrText xml:space="preserve"> PAGEREF _Toc3717 \h </w:instrText>
        </w:r>
        <w:r>
          <w:fldChar w:fldCharType="separate"/>
        </w:r>
        <w:r>
          <w:t>19</w:t>
        </w:r>
        <w:r>
          <w:fldChar w:fldCharType="end"/>
        </w:r>
      </w:hyperlink>
    </w:p>
    <w:p>
      <w:pPr>
        <w:pStyle w:val="TOC1"/>
        <w:tabs>
          <w:tab w:val="right" w:leader="dot" w:pos="8306"/>
        </w:tabs>
      </w:pPr>
      <w:hyperlink w:anchor="_Toc15715" w:history="1">
        <w:r>
          <w:rPr>
            <w:rFonts w:ascii="仿宋" w:eastAsia="仿宋" w:hAnsi="仿宋" w:cs="仿宋" w:hint="eastAsia"/>
            <w:lang w:eastAsia="zh-CN"/>
          </w:rPr>
          <w:t>七、高纯砷及氧化砷项目人力资源培养与发展</w:t>
        </w:r>
        <w:r>
          <w:tab/>
        </w:r>
        <w:r>
          <w:fldChar w:fldCharType="begin"/>
        </w:r>
        <w:r>
          <w:instrText xml:space="preserve"> PAGEREF _Toc15715 \h </w:instrText>
        </w:r>
        <w:r>
          <w:fldChar w:fldCharType="separate"/>
        </w:r>
        <w:r>
          <w:t>21</w:t>
        </w:r>
        <w:r>
          <w:fldChar w:fldCharType="end"/>
        </w:r>
      </w:hyperlink>
    </w:p>
    <w:p>
      <w:pPr>
        <w:pStyle w:val="TOC2"/>
        <w:tabs>
          <w:tab w:val="right" w:leader="dot" w:pos="8306"/>
        </w:tabs>
      </w:pPr>
      <w:hyperlink w:anchor="_Toc30266" w:history="1">
        <w:r>
          <w:rPr>
            <w:rFonts w:ascii="仿宋" w:eastAsia="仿宋" w:hAnsi="仿宋" w:cs="仿宋" w:hint="eastAsia"/>
            <w:lang w:eastAsia="zh-CN"/>
          </w:rPr>
          <w:t>(一)、人才需求与规划</w:t>
        </w:r>
        <w:r>
          <w:tab/>
        </w:r>
        <w:r>
          <w:fldChar w:fldCharType="begin"/>
        </w:r>
        <w:r>
          <w:instrText xml:space="preserve"> PAGEREF _Toc30266 \h </w:instrText>
        </w:r>
        <w:r>
          <w:fldChar w:fldCharType="separate"/>
        </w:r>
        <w:r>
          <w:t>21</w:t>
        </w:r>
        <w:r>
          <w:fldChar w:fldCharType="end"/>
        </w:r>
      </w:hyperlink>
    </w:p>
    <w:p>
      <w:pPr>
        <w:pStyle w:val="TOC2"/>
        <w:tabs>
          <w:tab w:val="right" w:leader="dot" w:pos="8306"/>
        </w:tabs>
      </w:pPr>
      <w:hyperlink w:anchor="_Toc31951" w:history="1">
        <w:r>
          <w:rPr>
            <w:rFonts w:ascii="仿宋" w:eastAsia="仿宋" w:hAnsi="仿宋" w:cs="仿宋" w:hint="eastAsia"/>
            <w:lang w:eastAsia="zh-CN"/>
          </w:rPr>
          <w:t>(二)、培训与发展计划</w:t>
        </w:r>
        <w:r>
          <w:tab/>
        </w:r>
        <w:r>
          <w:fldChar w:fldCharType="begin"/>
        </w:r>
        <w:r>
          <w:instrText xml:space="preserve"> PAGEREF _Toc31951 \h </w:instrText>
        </w:r>
        <w:r>
          <w:fldChar w:fldCharType="separate"/>
        </w:r>
        <w:r>
          <w:t>21</w:t>
        </w:r>
        <w:r>
          <w:fldChar w:fldCharType="end"/>
        </w:r>
      </w:hyperlink>
    </w:p>
    <w:p>
      <w:pPr>
        <w:pStyle w:val="TOC1"/>
        <w:tabs>
          <w:tab w:val="right" w:leader="dot" w:pos="8306"/>
        </w:tabs>
      </w:pPr>
      <w:hyperlink w:anchor="_Toc4462" w:history="1">
        <w:r>
          <w:rPr>
            <w:rFonts w:ascii="仿宋" w:eastAsia="仿宋" w:hAnsi="仿宋" w:cs="仿宋" w:hint="eastAsia"/>
            <w:lang w:eastAsia="zh-CN"/>
          </w:rPr>
          <w:t>八、高纯砷及氧化砷项目创新与研发</w:t>
        </w:r>
        <w:r>
          <w:tab/>
        </w:r>
        <w:r>
          <w:fldChar w:fldCharType="begin"/>
        </w:r>
        <w:r>
          <w:instrText xml:space="preserve"> PAGEREF _Toc4462 \h </w:instrText>
        </w:r>
        <w:r>
          <w:fldChar w:fldCharType="separate"/>
        </w:r>
        <w:r>
          <w:t>22</w:t>
        </w:r>
        <w:r>
          <w:fldChar w:fldCharType="end"/>
        </w:r>
      </w:hyperlink>
    </w:p>
    <w:p>
      <w:pPr>
        <w:pStyle w:val="TOC2"/>
        <w:tabs>
          <w:tab w:val="right" w:leader="dot" w:pos="8306"/>
        </w:tabs>
      </w:pPr>
      <w:hyperlink w:anchor="_Toc26470" w:history="1">
        <w:r>
          <w:rPr>
            <w:rFonts w:ascii="仿宋" w:eastAsia="仿宋" w:hAnsi="仿宋" w:cs="仿宋" w:hint="eastAsia"/>
            <w:lang w:eastAsia="zh-CN"/>
          </w:rPr>
          <w:t>(一)、创新策略与方向</w:t>
        </w:r>
        <w:r>
          <w:tab/>
        </w:r>
        <w:r>
          <w:fldChar w:fldCharType="begin"/>
        </w:r>
        <w:r>
          <w:instrText xml:space="preserve"> PAGEREF _Toc26470 \h </w:instrText>
        </w:r>
        <w:r>
          <w:fldChar w:fldCharType="separate"/>
        </w:r>
        <w:r>
          <w:t>22</w:t>
        </w:r>
        <w:r>
          <w:fldChar w:fldCharType="end"/>
        </w:r>
      </w:hyperlink>
    </w:p>
    <w:p>
      <w:pPr>
        <w:pStyle w:val="TOC2"/>
        <w:tabs>
          <w:tab w:val="right" w:leader="dot" w:pos="8306"/>
        </w:tabs>
      </w:pPr>
      <w:hyperlink w:anchor="_Toc17201" w:history="1">
        <w:r>
          <w:rPr>
            <w:rFonts w:ascii="仿宋" w:eastAsia="仿宋" w:hAnsi="仿宋" w:cs="仿宋" w:hint="eastAsia"/>
            <w:lang w:eastAsia="zh-CN"/>
          </w:rPr>
          <w:t>(二)、研发规划与投入</w:t>
        </w:r>
        <w:r>
          <w:tab/>
        </w:r>
        <w:r>
          <w:fldChar w:fldCharType="begin"/>
        </w:r>
        <w:r>
          <w:instrText xml:space="preserve"> PAGEREF _Toc17201 \h </w:instrText>
        </w:r>
        <w:r>
          <w:fldChar w:fldCharType="separate"/>
        </w:r>
        <w:r>
          <w:t>23</w:t>
        </w:r>
        <w:r>
          <w:fldChar w:fldCharType="end"/>
        </w:r>
      </w:hyperlink>
    </w:p>
    <w:p>
      <w:pPr>
        <w:pStyle w:val="TOC1"/>
        <w:tabs>
          <w:tab w:val="right" w:leader="dot" w:pos="8306"/>
        </w:tabs>
      </w:pPr>
      <w:hyperlink w:anchor="_Toc2856" w:history="1">
        <w:r>
          <w:rPr>
            <w:rFonts w:ascii="仿宋" w:eastAsia="仿宋" w:hAnsi="仿宋" w:cs="仿宋" w:hint="eastAsia"/>
            <w:lang w:eastAsia="zh-CN"/>
          </w:rPr>
          <w:t>九、高纯砷及氧化砷项目环境影响分析</w:t>
        </w:r>
        <w:r>
          <w:tab/>
        </w:r>
        <w:r>
          <w:fldChar w:fldCharType="begin"/>
        </w:r>
        <w:r>
          <w:instrText xml:space="preserve"> PAGEREF _Toc2856 \h </w:instrText>
        </w:r>
        <w:r>
          <w:fldChar w:fldCharType="separate"/>
        </w:r>
        <w:r>
          <w:t>25</w:t>
        </w:r>
        <w:r>
          <w:fldChar w:fldCharType="end"/>
        </w:r>
      </w:hyperlink>
    </w:p>
    <w:p>
      <w:pPr>
        <w:pStyle w:val="TOC2"/>
        <w:tabs>
          <w:tab w:val="right" w:leader="dot" w:pos="8306"/>
        </w:tabs>
      </w:pPr>
      <w:hyperlink w:anchor="_Toc1000" w:history="1">
        <w:r>
          <w:rPr>
            <w:rFonts w:ascii="仿宋" w:eastAsia="仿宋" w:hAnsi="仿宋" w:cs="仿宋" w:hint="eastAsia"/>
            <w:lang w:eastAsia="zh-CN"/>
          </w:rPr>
          <w:t>(一)、建设区域环境质量现状</w:t>
        </w:r>
        <w:r>
          <w:tab/>
        </w:r>
        <w:r>
          <w:fldChar w:fldCharType="begin"/>
        </w:r>
        <w:r>
          <w:instrText xml:space="preserve"> PAGEREF _Toc1000 \h </w:instrText>
        </w:r>
        <w:r>
          <w:fldChar w:fldCharType="separate"/>
        </w:r>
        <w:r>
          <w:t>25</w:t>
        </w:r>
        <w:r>
          <w:fldChar w:fldCharType="end"/>
        </w:r>
      </w:hyperlink>
    </w:p>
    <w:p>
      <w:pPr>
        <w:pStyle w:val="TOC2"/>
        <w:tabs>
          <w:tab w:val="right" w:leader="dot" w:pos="8306"/>
        </w:tabs>
      </w:pPr>
      <w:hyperlink w:anchor="_Toc16297" w:history="1">
        <w:r>
          <w:rPr>
            <w:rFonts w:ascii="仿宋" w:eastAsia="仿宋" w:hAnsi="仿宋" w:cs="仿宋" w:hint="eastAsia"/>
            <w:lang w:eastAsia="zh-CN"/>
          </w:rPr>
          <w:t>(二)、建设期环境保护</w:t>
        </w:r>
        <w:r>
          <w:tab/>
        </w:r>
        <w:r>
          <w:fldChar w:fldCharType="begin"/>
        </w:r>
        <w:r>
          <w:instrText xml:space="preserve"> PAGEREF _Toc16297 \h </w:instrText>
        </w:r>
        <w:r>
          <w:fldChar w:fldCharType="separate"/>
        </w:r>
        <w:r>
          <w:t>26</w:t>
        </w:r>
        <w:r>
          <w:fldChar w:fldCharType="end"/>
        </w:r>
      </w:hyperlink>
    </w:p>
    <w:p>
      <w:pPr>
        <w:pStyle w:val="TOC2"/>
        <w:tabs>
          <w:tab w:val="right" w:leader="dot" w:pos="8306"/>
        </w:tabs>
      </w:pPr>
      <w:hyperlink w:anchor="_Toc4759" w:history="1">
        <w:r>
          <w:rPr>
            <w:rFonts w:ascii="仿宋" w:eastAsia="仿宋" w:hAnsi="仿宋" w:cs="仿宋" w:hint="eastAsia"/>
            <w:lang w:eastAsia="zh-CN"/>
          </w:rPr>
          <w:t>(三)、运营期环境保护</w:t>
        </w:r>
        <w:r>
          <w:tab/>
        </w:r>
        <w:r>
          <w:fldChar w:fldCharType="begin"/>
        </w:r>
        <w:r>
          <w:instrText xml:space="preserve"> PAGEREF _Toc4759 \h </w:instrText>
        </w:r>
        <w:r>
          <w:fldChar w:fldCharType="separate"/>
        </w:r>
        <w:r>
          <w:t>28</w:t>
        </w:r>
        <w:r>
          <w:fldChar w:fldCharType="end"/>
        </w:r>
      </w:hyperlink>
    </w:p>
    <w:p>
      <w:pPr>
        <w:pStyle w:val="TOC2"/>
        <w:tabs>
          <w:tab w:val="right" w:leader="dot" w:pos="8306"/>
        </w:tabs>
      </w:pPr>
      <w:hyperlink w:anchor="_Toc24238" w:history="1">
        <w:r>
          <w:rPr>
            <w:rFonts w:ascii="仿宋" w:eastAsia="仿宋" w:hAnsi="仿宋" w:cs="仿宋" w:hint="eastAsia"/>
            <w:lang w:eastAsia="zh-CN"/>
          </w:rPr>
          <w:t>(四)、高纯砷及氧化砷项目建设对区域经济的影响</w:t>
        </w:r>
        <w:r>
          <w:tab/>
        </w:r>
        <w:r>
          <w:fldChar w:fldCharType="begin"/>
        </w:r>
        <w:r>
          <w:instrText xml:space="preserve"> PAGEREF _Toc24238 \h </w:instrText>
        </w:r>
        <w:r>
          <w:fldChar w:fldCharType="separate"/>
        </w:r>
        <w:r>
          <w:t>29</w:t>
        </w:r>
        <w:r>
          <w:fldChar w:fldCharType="end"/>
        </w:r>
      </w:hyperlink>
    </w:p>
    <w:p>
      <w:pPr>
        <w:pStyle w:val="TOC2"/>
        <w:tabs>
          <w:tab w:val="right" w:leader="dot" w:pos="8306"/>
        </w:tabs>
      </w:pPr>
      <w:hyperlink w:anchor="_Toc25970" w:history="1">
        <w:r>
          <w:rPr>
            <w:rFonts w:ascii="仿宋" w:eastAsia="仿宋" w:hAnsi="仿宋" w:cs="仿宋" w:hint="eastAsia"/>
            <w:lang w:eastAsia="zh-CN"/>
          </w:rPr>
          <w:t>(五)、废弃物处理</w:t>
        </w:r>
        <w:r>
          <w:tab/>
        </w:r>
        <w:r>
          <w:fldChar w:fldCharType="begin"/>
        </w:r>
        <w:r>
          <w:instrText xml:space="preserve"> PAGEREF _Toc25970 \h </w:instrText>
        </w:r>
        <w:r>
          <w:fldChar w:fldCharType="separate"/>
        </w:r>
        <w:r>
          <w:t>31</w:t>
        </w:r>
        <w:r>
          <w:fldChar w:fldCharType="end"/>
        </w:r>
      </w:hyperlink>
    </w:p>
    <w:p>
      <w:pPr>
        <w:pStyle w:val="TOC2"/>
        <w:tabs>
          <w:tab w:val="right" w:leader="dot" w:pos="8306"/>
        </w:tabs>
      </w:pPr>
      <w:hyperlink w:anchor="_Toc8959" w:history="1">
        <w:r>
          <w:rPr>
            <w:rFonts w:ascii="仿宋" w:eastAsia="仿宋" w:hAnsi="仿宋" w:cs="仿宋" w:hint="eastAsia"/>
            <w:lang w:eastAsia="zh-CN"/>
          </w:rPr>
          <w:t>(六)、特殊环境影响分析</w:t>
        </w:r>
        <w:r>
          <w:tab/>
        </w:r>
        <w:r>
          <w:fldChar w:fldCharType="begin"/>
        </w:r>
        <w:r>
          <w:instrText xml:space="preserve"> PAGEREF _Toc8959 \h </w:instrText>
        </w:r>
        <w:r>
          <w:fldChar w:fldCharType="separate"/>
        </w:r>
        <w:r>
          <w:t>32</w:t>
        </w:r>
        <w:r>
          <w:fldChar w:fldCharType="end"/>
        </w:r>
      </w:hyperlink>
    </w:p>
    <w:p>
      <w:pPr>
        <w:pStyle w:val="TOC2"/>
        <w:tabs>
          <w:tab w:val="right" w:leader="dot" w:pos="8306"/>
        </w:tabs>
      </w:pPr>
      <w:hyperlink w:anchor="_Toc31743" w:history="1">
        <w:r>
          <w:rPr>
            <w:rFonts w:ascii="仿宋" w:eastAsia="仿宋" w:hAnsi="仿宋" w:cs="仿宋" w:hint="eastAsia"/>
            <w:lang w:eastAsia="zh-CN"/>
          </w:rPr>
          <w:t>(七)、清洁生产</w:t>
        </w:r>
        <w:r>
          <w:tab/>
        </w:r>
        <w:r>
          <w:fldChar w:fldCharType="begin"/>
        </w:r>
        <w:r>
          <w:instrText xml:space="preserve"> PAGEREF _Toc31743 \h </w:instrText>
        </w:r>
        <w:r>
          <w:fldChar w:fldCharType="separate"/>
        </w:r>
        <w:r>
          <w:t>33</w:t>
        </w:r>
        <w:r>
          <w:fldChar w:fldCharType="end"/>
        </w:r>
      </w:hyperlink>
    </w:p>
    <w:p>
      <w:pPr>
        <w:pStyle w:val="TOC2"/>
        <w:tabs>
          <w:tab w:val="right" w:leader="dot" w:pos="8306"/>
        </w:tabs>
      </w:pPr>
      <w:hyperlink w:anchor="_Toc26231" w:history="1">
        <w:r>
          <w:rPr>
            <w:rFonts w:ascii="仿宋" w:eastAsia="仿宋" w:hAnsi="仿宋" w:cs="仿宋" w:hint="eastAsia"/>
            <w:lang w:eastAsia="zh-CN"/>
          </w:rPr>
          <w:t>(八)、环境保护综合评价</w:t>
        </w:r>
        <w:r>
          <w:tab/>
        </w:r>
        <w:r>
          <w:fldChar w:fldCharType="begin"/>
        </w:r>
        <w:r>
          <w:instrText xml:space="preserve"> PAGEREF _Toc26231 \h </w:instrText>
        </w:r>
        <w:r>
          <w:fldChar w:fldCharType="separate"/>
        </w:r>
        <w:r>
          <w:t>35</w:t>
        </w:r>
        <w:r>
          <w:fldChar w:fldCharType="end"/>
        </w:r>
      </w:hyperlink>
    </w:p>
    <w:p>
      <w:pPr>
        <w:pStyle w:val="TOC1"/>
        <w:tabs>
          <w:tab w:val="right" w:leader="dot" w:pos="8306"/>
        </w:tabs>
      </w:pPr>
      <w:hyperlink w:anchor="_Toc1879" w:history="1">
        <w:r>
          <w:rPr>
            <w:rFonts w:ascii="仿宋" w:eastAsia="仿宋" w:hAnsi="仿宋" w:cs="仿宋" w:hint="eastAsia"/>
            <w:lang w:eastAsia="zh-CN"/>
          </w:rPr>
          <w:t>十、高纯砷及氧化砷项目人力资源管理</w:t>
        </w:r>
        <w:r>
          <w:tab/>
        </w:r>
        <w:r>
          <w:fldChar w:fldCharType="begin"/>
        </w:r>
        <w:r>
          <w:instrText xml:space="preserve"> PAGEREF _Toc1879 \h </w:instrText>
        </w:r>
        <w:r>
          <w:fldChar w:fldCharType="separate"/>
        </w:r>
        <w:r>
          <w:t>36</w:t>
        </w:r>
        <w:r>
          <w:fldChar w:fldCharType="end"/>
        </w:r>
      </w:hyperlink>
    </w:p>
    <w:p>
      <w:pPr>
        <w:pStyle w:val="TOC2"/>
        <w:tabs>
          <w:tab w:val="right" w:leader="dot" w:pos="8306"/>
        </w:tabs>
      </w:pPr>
      <w:hyperlink w:anchor="_Toc466" w:history="1">
        <w:r>
          <w:rPr>
            <w:rFonts w:ascii="仿宋" w:eastAsia="仿宋" w:hAnsi="仿宋" w:cs="仿宋" w:hint="eastAsia"/>
            <w:lang w:eastAsia="zh-CN"/>
          </w:rPr>
          <w:t>(一)、建立健全的预算管理制度</w:t>
        </w:r>
        <w:r>
          <w:tab/>
        </w:r>
        <w:r>
          <w:fldChar w:fldCharType="begin"/>
        </w:r>
        <w:r>
          <w:instrText xml:space="preserve"> PAGEREF _Toc466 \h </w:instrText>
        </w:r>
        <w:r>
          <w:fldChar w:fldCharType="separate"/>
        </w:r>
        <w:r>
          <w:t>36</w:t>
        </w:r>
        <w:r>
          <w:fldChar w:fldCharType="end"/>
        </w:r>
      </w:hyperlink>
    </w:p>
    <w:p>
      <w:pPr>
        <w:pStyle w:val="TOC2"/>
        <w:tabs>
          <w:tab w:val="right" w:leader="dot" w:pos="8306"/>
        </w:tabs>
      </w:pPr>
      <w:hyperlink w:anchor="_Toc16700" w:history="1">
        <w:r>
          <w:rPr>
            <w:rFonts w:ascii="仿宋" w:eastAsia="仿宋" w:hAnsi="仿宋" w:cs="仿宋" w:hint="eastAsia"/>
            <w:lang w:eastAsia="zh-CN"/>
          </w:rPr>
          <w:t>(二)、加强资金流动监控</w:t>
        </w:r>
        <w:r>
          <w:tab/>
        </w:r>
        <w:r>
          <w:fldChar w:fldCharType="begin"/>
        </w:r>
        <w:r>
          <w:instrText xml:space="preserve"> PAGEREF _Toc16700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60" w:history="1">
        <w:r>
          <w:rPr>
            <w:rFonts w:ascii="仿宋" w:eastAsia="仿宋" w:hAnsi="仿宋" w:cs="仿宋" w:hint="eastAsia"/>
            <w:lang w:eastAsia="zh-CN"/>
          </w:rPr>
          <w:t>(三)、制定完善的风险控制机制</w:t>
        </w:r>
        <w:r>
          <w:tab/>
        </w:r>
        <w:r>
          <w:fldChar w:fldCharType="begin"/>
        </w:r>
        <w:r>
          <w:instrText xml:space="preserve"> PAGEREF _Toc25560 \h </w:instrText>
        </w:r>
        <w:r>
          <w:fldChar w:fldCharType="separate"/>
        </w:r>
        <w:r>
          <w:t>39</w:t>
        </w:r>
        <w:r>
          <w:fldChar w:fldCharType="end"/>
        </w:r>
      </w:hyperlink>
    </w:p>
    <w:p>
      <w:pPr>
        <w:pStyle w:val="TOC2"/>
        <w:tabs>
          <w:tab w:val="right" w:leader="dot" w:pos="8306"/>
        </w:tabs>
      </w:pPr>
      <w:hyperlink w:anchor="_Toc20775" w:history="1">
        <w:r>
          <w:rPr>
            <w:rFonts w:ascii="仿宋" w:eastAsia="仿宋" w:hAnsi="仿宋" w:cs="仿宋" w:hint="eastAsia"/>
            <w:lang w:eastAsia="zh-CN"/>
          </w:rPr>
          <w:t>(四)、优化成本管理</w:t>
        </w:r>
        <w:r>
          <w:tab/>
        </w:r>
        <w:r>
          <w:fldChar w:fldCharType="begin"/>
        </w:r>
        <w:r>
          <w:instrText xml:space="preserve"> PAGEREF _Toc20775 \h </w:instrText>
        </w:r>
        <w:r>
          <w:fldChar w:fldCharType="separate"/>
        </w:r>
        <w:r>
          <w:t>40</w:t>
        </w:r>
        <w:r>
          <w:fldChar w:fldCharType="end"/>
        </w:r>
      </w:hyperlink>
    </w:p>
    <w:p>
      <w:pPr>
        <w:pStyle w:val="TOC1"/>
        <w:tabs>
          <w:tab w:val="right" w:leader="dot" w:pos="8306"/>
        </w:tabs>
      </w:pPr>
      <w:hyperlink w:anchor="_Toc25286" w:history="1">
        <w:r>
          <w:rPr>
            <w:rFonts w:ascii="仿宋" w:eastAsia="仿宋" w:hAnsi="仿宋" w:cs="仿宋" w:hint="eastAsia"/>
            <w:lang w:eastAsia="zh-CN"/>
          </w:rPr>
          <w:t>十一、高纯砷及氧化砷项目投资规划</w:t>
        </w:r>
        <w:r>
          <w:tab/>
        </w:r>
        <w:r>
          <w:fldChar w:fldCharType="begin"/>
        </w:r>
        <w:r>
          <w:instrText xml:space="preserve"> PAGEREF _Toc25286 \h </w:instrText>
        </w:r>
        <w:r>
          <w:fldChar w:fldCharType="separate"/>
        </w:r>
        <w:r>
          <w:t>42</w:t>
        </w:r>
        <w:r>
          <w:fldChar w:fldCharType="end"/>
        </w:r>
      </w:hyperlink>
    </w:p>
    <w:p>
      <w:pPr>
        <w:pStyle w:val="TOC2"/>
        <w:tabs>
          <w:tab w:val="right" w:leader="dot" w:pos="8306"/>
        </w:tabs>
      </w:pPr>
      <w:hyperlink w:anchor="_Toc22135" w:history="1">
        <w:r>
          <w:rPr>
            <w:rFonts w:ascii="仿宋" w:eastAsia="仿宋" w:hAnsi="仿宋" w:cs="仿宋" w:hint="eastAsia"/>
            <w:lang w:eastAsia="zh-CN"/>
          </w:rPr>
          <w:t>(一)、高纯砷及氧化砷项目总投资估算</w:t>
        </w:r>
        <w:r>
          <w:tab/>
        </w:r>
        <w:r>
          <w:fldChar w:fldCharType="begin"/>
        </w:r>
        <w:r>
          <w:instrText xml:space="preserve"> PAGEREF _Toc22135 \h </w:instrText>
        </w:r>
        <w:r>
          <w:fldChar w:fldCharType="separate"/>
        </w:r>
        <w:r>
          <w:t>42</w:t>
        </w:r>
        <w:r>
          <w:fldChar w:fldCharType="end"/>
        </w:r>
      </w:hyperlink>
    </w:p>
    <w:p>
      <w:pPr>
        <w:pStyle w:val="TOC2"/>
        <w:tabs>
          <w:tab w:val="right" w:leader="dot" w:pos="8306"/>
        </w:tabs>
      </w:pPr>
      <w:hyperlink w:anchor="_Toc8747" w:history="1">
        <w:r>
          <w:rPr>
            <w:rFonts w:ascii="仿宋" w:eastAsia="仿宋" w:hAnsi="仿宋" w:cs="仿宋" w:hint="eastAsia"/>
            <w:lang w:eastAsia="zh-CN"/>
          </w:rPr>
          <w:t>(二)、资金筹措</w:t>
        </w:r>
        <w:r>
          <w:tab/>
        </w:r>
        <w:r>
          <w:fldChar w:fldCharType="begin"/>
        </w:r>
        <w:r>
          <w:instrText xml:space="preserve"> PAGEREF _Toc8747 \h </w:instrText>
        </w:r>
        <w:r>
          <w:fldChar w:fldCharType="separate"/>
        </w:r>
        <w:r>
          <w:t>43</w:t>
        </w:r>
        <w:r>
          <w:fldChar w:fldCharType="end"/>
        </w:r>
      </w:hyperlink>
    </w:p>
    <w:p>
      <w:pPr>
        <w:pStyle w:val="TOC1"/>
        <w:tabs>
          <w:tab w:val="right" w:leader="dot" w:pos="8306"/>
        </w:tabs>
      </w:pPr>
      <w:hyperlink w:anchor="_Toc10599" w:history="1">
        <w:r>
          <w:rPr>
            <w:rFonts w:ascii="仿宋" w:eastAsia="仿宋" w:hAnsi="仿宋" w:cs="仿宋" w:hint="eastAsia"/>
            <w:lang w:eastAsia="zh-CN"/>
          </w:rPr>
          <w:t>十二、生产安全保护</w:t>
        </w:r>
        <w:r>
          <w:tab/>
        </w:r>
        <w:r>
          <w:fldChar w:fldCharType="begin"/>
        </w:r>
        <w:r>
          <w:instrText xml:space="preserve"> PAGEREF _Toc10599 \h </w:instrText>
        </w:r>
        <w:r>
          <w:fldChar w:fldCharType="separate"/>
        </w:r>
        <w:r>
          <w:t>44</w:t>
        </w:r>
        <w:r>
          <w:fldChar w:fldCharType="end"/>
        </w:r>
      </w:hyperlink>
    </w:p>
    <w:p>
      <w:pPr>
        <w:pStyle w:val="TOC2"/>
        <w:tabs>
          <w:tab w:val="right" w:leader="dot" w:pos="8306"/>
        </w:tabs>
      </w:pPr>
      <w:hyperlink w:anchor="_Toc30873" w:history="1">
        <w:r>
          <w:rPr>
            <w:rFonts w:ascii="仿宋" w:eastAsia="仿宋" w:hAnsi="仿宋" w:cs="仿宋" w:hint="eastAsia"/>
            <w:lang w:eastAsia="zh-CN"/>
          </w:rPr>
          <w:t>(一)、消防安全</w:t>
        </w:r>
        <w:r>
          <w:tab/>
        </w:r>
        <w:r>
          <w:fldChar w:fldCharType="begin"/>
        </w:r>
        <w:r>
          <w:instrText xml:space="preserve"> PAGEREF _Toc30873 \h </w:instrText>
        </w:r>
        <w:r>
          <w:fldChar w:fldCharType="separate"/>
        </w:r>
        <w:r>
          <w:t>44</w:t>
        </w:r>
        <w:r>
          <w:fldChar w:fldCharType="end"/>
        </w:r>
      </w:hyperlink>
    </w:p>
    <w:p>
      <w:pPr>
        <w:pStyle w:val="TOC2"/>
        <w:tabs>
          <w:tab w:val="right" w:leader="dot" w:pos="8306"/>
        </w:tabs>
      </w:pPr>
      <w:hyperlink w:anchor="_Toc12415" w:history="1">
        <w:r>
          <w:rPr>
            <w:rFonts w:ascii="仿宋" w:eastAsia="仿宋" w:hAnsi="仿宋" w:cs="仿宋" w:hint="eastAsia"/>
            <w:lang w:eastAsia="zh-CN"/>
          </w:rPr>
          <w:t>(二)、防火防爆总图布置措施</w:t>
        </w:r>
        <w:r>
          <w:tab/>
        </w:r>
        <w:r>
          <w:fldChar w:fldCharType="begin"/>
        </w:r>
        <w:r>
          <w:instrText xml:space="preserve"> PAGEREF _Toc12415 \h </w:instrText>
        </w:r>
        <w:r>
          <w:fldChar w:fldCharType="separate"/>
        </w:r>
        <w:r>
          <w:t>45</w:t>
        </w:r>
        <w:r>
          <w:fldChar w:fldCharType="end"/>
        </w:r>
      </w:hyperlink>
    </w:p>
    <w:p>
      <w:pPr>
        <w:pStyle w:val="TOC2"/>
        <w:tabs>
          <w:tab w:val="right" w:leader="dot" w:pos="8306"/>
        </w:tabs>
      </w:pPr>
      <w:hyperlink w:anchor="_Toc23503" w:history="1">
        <w:r>
          <w:rPr>
            <w:rFonts w:ascii="仿宋" w:eastAsia="仿宋" w:hAnsi="仿宋" w:cs="仿宋" w:hint="eastAsia"/>
            <w:lang w:eastAsia="zh-CN"/>
          </w:rPr>
          <w:t>(三)、自然灾害防范措施</w:t>
        </w:r>
        <w:r>
          <w:tab/>
        </w:r>
        <w:r>
          <w:fldChar w:fldCharType="begin"/>
        </w:r>
        <w:r>
          <w:instrText xml:space="preserve"> PAGEREF _Toc23503 \h </w:instrText>
        </w:r>
        <w:r>
          <w:fldChar w:fldCharType="separate"/>
        </w:r>
        <w:r>
          <w:t>46</w:t>
        </w:r>
        <w:r>
          <w:fldChar w:fldCharType="end"/>
        </w:r>
      </w:hyperlink>
    </w:p>
    <w:p>
      <w:pPr>
        <w:pStyle w:val="TOC2"/>
        <w:tabs>
          <w:tab w:val="right" w:leader="dot" w:pos="8306"/>
        </w:tabs>
      </w:pPr>
      <w:hyperlink w:anchor="_Toc22152" w:history="1">
        <w:r>
          <w:rPr>
            <w:rFonts w:ascii="仿宋" w:eastAsia="仿宋" w:hAnsi="仿宋" w:cs="仿宋" w:hint="eastAsia"/>
            <w:lang w:eastAsia="zh-CN"/>
          </w:rPr>
          <w:t>(四)、安全色及安全标志使用要求</w:t>
        </w:r>
        <w:r>
          <w:tab/>
        </w:r>
        <w:r>
          <w:fldChar w:fldCharType="begin"/>
        </w:r>
        <w:r>
          <w:instrText xml:space="preserve"> PAGEREF _Toc22152 \h </w:instrText>
        </w:r>
        <w:r>
          <w:fldChar w:fldCharType="separate"/>
        </w:r>
        <w:r>
          <w:t>47</w:t>
        </w:r>
        <w:r>
          <w:fldChar w:fldCharType="end"/>
        </w:r>
      </w:hyperlink>
    </w:p>
    <w:p>
      <w:pPr>
        <w:pStyle w:val="TOC2"/>
        <w:tabs>
          <w:tab w:val="right" w:leader="dot" w:pos="8306"/>
        </w:tabs>
      </w:pPr>
      <w:hyperlink w:anchor="_Toc20302" w:history="1">
        <w:r>
          <w:rPr>
            <w:rFonts w:ascii="仿宋" w:eastAsia="仿宋" w:hAnsi="仿宋" w:cs="仿宋" w:hint="eastAsia"/>
            <w:lang w:eastAsia="zh-CN"/>
          </w:rPr>
          <w:t>(五)、防尘防毒措施</w:t>
        </w:r>
        <w:r>
          <w:tab/>
        </w:r>
        <w:r>
          <w:fldChar w:fldCharType="begin"/>
        </w:r>
        <w:r>
          <w:instrText xml:space="preserve"> PAGEREF _Toc20302 \h </w:instrText>
        </w:r>
        <w:r>
          <w:fldChar w:fldCharType="separate"/>
        </w:r>
        <w:r>
          <w:t>48</w:t>
        </w:r>
        <w:r>
          <w:fldChar w:fldCharType="end"/>
        </w:r>
      </w:hyperlink>
    </w:p>
    <w:p>
      <w:pPr>
        <w:pStyle w:val="TOC2"/>
        <w:tabs>
          <w:tab w:val="right" w:leader="dot" w:pos="8306"/>
        </w:tabs>
      </w:pPr>
      <w:hyperlink w:anchor="_Toc19807" w:history="1">
        <w:r>
          <w:rPr>
            <w:rFonts w:ascii="仿宋" w:eastAsia="仿宋" w:hAnsi="仿宋" w:cs="仿宋" w:hint="eastAsia"/>
            <w:lang w:eastAsia="zh-CN"/>
          </w:rPr>
          <w:t>(六)、防静电、触电防护及防雷措施</w:t>
        </w:r>
        <w:r>
          <w:tab/>
        </w:r>
        <w:r>
          <w:fldChar w:fldCharType="begin"/>
        </w:r>
        <w:r>
          <w:instrText xml:space="preserve"> PAGEREF _Toc19807 \h </w:instrText>
        </w:r>
        <w:r>
          <w:fldChar w:fldCharType="separate"/>
        </w:r>
        <w:r>
          <w:t>49</w:t>
        </w:r>
        <w:r>
          <w:fldChar w:fldCharType="end"/>
        </w:r>
      </w:hyperlink>
    </w:p>
    <w:p>
      <w:pPr>
        <w:pStyle w:val="TOC2"/>
        <w:tabs>
          <w:tab w:val="right" w:leader="dot" w:pos="8306"/>
        </w:tabs>
      </w:pPr>
      <w:hyperlink w:anchor="_Toc28785" w:history="1">
        <w:r>
          <w:rPr>
            <w:rFonts w:ascii="仿宋" w:eastAsia="仿宋" w:hAnsi="仿宋" w:cs="仿宋" w:hint="eastAsia"/>
            <w:lang w:eastAsia="zh-CN"/>
          </w:rPr>
          <w:t>(七)、机械设备安全保障措施</w:t>
        </w:r>
        <w:r>
          <w:tab/>
        </w:r>
        <w:r>
          <w:fldChar w:fldCharType="begin"/>
        </w:r>
        <w:r>
          <w:instrText xml:space="preserve"> PAGEREF _Toc28785 \h </w:instrText>
        </w:r>
        <w:r>
          <w:fldChar w:fldCharType="separate"/>
        </w:r>
        <w:r>
          <w:t>50</w:t>
        </w:r>
        <w:r>
          <w:fldChar w:fldCharType="end"/>
        </w:r>
      </w:hyperlink>
    </w:p>
    <w:p>
      <w:pPr>
        <w:pStyle w:val="TOC1"/>
        <w:tabs>
          <w:tab w:val="right" w:leader="dot" w:pos="8306"/>
        </w:tabs>
      </w:pPr>
      <w:hyperlink w:anchor="_Toc27670" w:history="1">
        <w:r>
          <w:rPr>
            <w:rFonts w:ascii="仿宋" w:eastAsia="仿宋" w:hAnsi="仿宋" w:cs="仿宋" w:hint="eastAsia"/>
            <w:lang w:eastAsia="zh-CN"/>
          </w:rPr>
          <w:t>十三、营销与推广策略</w:t>
        </w:r>
        <w:r>
          <w:tab/>
        </w:r>
        <w:r>
          <w:fldChar w:fldCharType="begin"/>
        </w:r>
        <w:r>
          <w:instrText xml:space="preserve"> PAGEREF _Toc27670 \h </w:instrText>
        </w:r>
        <w:r>
          <w:fldChar w:fldCharType="separate"/>
        </w:r>
        <w:r>
          <w:t>52</w:t>
        </w:r>
        <w:r>
          <w:fldChar w:fldCharType="end"/>
        </w:r>
      </w:hyperlink>
    </w:p>
    <w:p>
      <w:pPr>
        <w:pStyle w:val="TOC2"/>
        <w:tabs>
          <w:tab w:val="right" w:leader="dot" w:pos="8306"/>
        </w:tabs>
      </w:pPr>
      <w:hyperlink w:anchor="_Toc21642" w:history="1">
        <w:r>
          <w:rPr>
            <w:rFonts w:ascii="仿宋" w:eastAsia="仿宋" w:hAnsi="仿宋" w:cs="仿宋" w:hint="eastAsia"/>
            <w:lang w:eastAsia="zh-CN"/>
          </w:rPr>
          <w:t>(一)、产品/服务定位与特点</w:t>
        </w:r>
        <w:r>
          <w:tab/>
        </w:r>
        <w:r>
          <w:fldChar w:fldCharType="begin"/>
        </w:r>
        <w:r>
          <w:instrText xml:space="preserve"> PAGEREF _Toc21642 \h </w:instrText>
        </w:r>
        <w:r>
          <w:fldChar w:fldCharType="separate"/>
        </w:r>
        <w:r>
          <w:t>52</w:t>
        </w:r>
        <w:r>
          <w:fldChar w:fldCharType="end"/>
        </w:r>
      </w:hyperlink>
    </w:p>
    <w:p>
      <w:pPr>
        <w:pStyle w:val="TOC2"/>
        <w:tabs>
          <w:tab w:val="right" w:leader="dot" w:pos="8306"/>
        </w:tabs>
      </w:pPr>
      <w:hyperlink w:anchor="_Toc11062" w:history="1">
        <w:r>
          <w:rPr>
            <w:rFonts w:ascii="仿宋" w:eastAsia="仿宋" w:hAnsi="仿宋" w:cs="仿宋" w:hint="eastAsia"/>
            <w:lang w:eastAsia="zh-CN"/>
          </w:rPr>
          <w:t>(二)、市场定位与竞争分析</w:t>
        </w:r>
        <w:r>
          <w:tab/>
        </w:r>
        <w:r>
          <w:fldChar w:fldCharType="begin"/>
        </w:r>
        <w:r>
          <w:instrText xml:space="preserve"> PAGEREF _Toc11062 \h </w:instrText>
        </w:r>
        <w:r>
          <w:fldChar w:fldCharType="separate"/>
        </w:r>
        <w:r>
          <w:t>53</w:t>
        </w:r>
        <w:r>
          <w:fldChar w:fldCharType="end"/>
        </w:r>
      </w:hyperlink>
    </w:p>
    <w:p>
      <w:pPr>
        <w:pStyle w:val="TOC2"/>
        <w:tabs>
          <w:tab w:val="right" w:leader="dot" w:pos="8306"/>
        </w:tabs>
      </w:pPr>
      <w:hyperlink w:anchor="_Toc20618" w:history="1">
        <w:r>
          <w:rPr>
            <w:rFonts w:ascii="仿宋" w:eastAsia="仿宋" w:hAnsi="仿宋" w:cs="仿宋" w:hint="eastAsia"/>
            <w:lang w:eastAsia="zh-CN"/>
          </w:rPr>
          <w:t>(三)、营销渠道与策略</w:t>
        </w:r>
        <w:r>
          <w:tab/>
        </w:r>
        <w:r>
          <w:fldChar w:fldCharType="begin"/>
        </w:r>
        <w:r>
          <w:instrText xml:space="preserve"> PAGEREF _Toc20618 \h </w:instrText>
        </w:r>
        <w:r>
          <w:fldChar w:fldCharType="separate"/>
        </w:r>
        <w:r>
          <w:t>55</w:t>
        </w:r>
        <w:r>
          <w:fldChar w:fldCharType="end"/>
        </w:r>
      </w:hyperlink>
    </w:p>
    <w:p>
      <w:pPr>
        <w:pStyle w:val="TOC2"/>
        <w:tabs>
          <w:tab w:val="right" w:leader="dot" w:pos="8306"/>
        </w:tabs>
      </w:pPr>
      <w:hyperlink w:anchor="_Toc6194" w:history="1">
        <w:r>
          <w:rPr>
            <w:rFonts w:ascii="仿宋" w:eastAsia="仿宋" w:hAnsi="仿宋" w:cs="仿宋" w:hint="eastAsia"/>
            <w:lang w:eastAsia="zh-CN"/>
          </w:rPr>
          <w:t>(四)、推广与宣传活动</w:t>
        </w:r>
        <w:r>
          <w:tab/>
        </w:r>
        <w:r>
          <w:fldChar w:fldCharType="begin"/>
        </w:r>
        <w:r>
          <w:instrText xml:space="preserve"> PAGEREF _Toc6194 \h </w:instrText>
        </w:r>
        <w:r>
          <w:fldChar w:fldCharType="separate"/>
        </w:r>
        <w:r>
          <w:t>56</w:t>
        </w:r>
        <w:r>
          <w:fldChar w:fldCharType="end"/>
        </w:r>
      </w:hyperlink>
    </w:p>
    <w:p>
      <w:pPr>
        <w:pStyle w:val="TOC1"/>
        <w:tabs>
          <w:tab w:val="right" w:leader="dot" w:pos="8306"/>
        </w:tabs>
      </w:pPr>
      <w:hyperlink w:anchor="_Toc16190" w:history="1">
        <w:r>
          <w:rPr>
            <w:rFonts w:ascii="仿宋" w:eastAsia="仿宋" w:hAnsi="仿宋" w:cs="仿宋" w:hint="eastAsia"/>
            <w:lang w:eastAsia="zh-CN"/>
          </w:rPr>
          <w:t>十四、供应链管理</w:t>
        </w:r>
        <w:r>
          <w:tab/>
        </w:r>
        <w:r>
          <w:fldChar w:fldCharType="begin"/>
        </w:r>
        <w:r>
          <w:instrText xml:space="preserve"> PAGEREF _Toc16190 \h </w:instrText>
        </w:r>
        <w:r>
          <w:fldChar w:fldCharType="separate"/>
        </w:r>
        <w:r>
          <w:t>61</w:t>
        </w:r>
        <w:r>
          <w:fldChar w:fldCharType="end"/>
        </w:r>
      </w:hyperlink>
    </w:p>
    <w:p>
      <w:pPr>
        <w:pStyle w:val="TOC2"/>
        <w:tabs>
          <w:tab w:val="right" w:leader="dot" w:pos="8306"/>
        </w:tabs>
      </w:pPr>
      <w:hyperlink w:anchor="_Toc8515" w:history="1">
        <w:r>
          <w:rPr>
            <w:rFonts w:ascii="仿宋" w:eastAsia="仿宋" w:hAnsi="仿宋" w:cs="仿宋" w:hint="eastAsia"/>
            <w:lang w:eastAsia="zh-CN"/>
          </w:rPr>
          <w:t>(一)、供应链战略规划</w:t>
        </w:r>
        <w:r>
          <w:tab/>
        </w:r>
        <w:r>
          <w:fldChar w:fldCharType="begin"/>
        </w:r>
        <w:r>
          <w:instrText xml:space="preserve"> PAGEREF _Toc8515 \h </w:instrText>
        </w:r>
        <w:r>
          <w:fldChar w:fldCharType="separate"/>
        </w:r>
        <w:r>
          <w:t>61</w:t>
        </w:r>
        <w:r>
          <w:fldChar w:fldCharType="end"/>
        </w:r>
      </w:hyperlink>
    </w:p>
    <w:p>
      <w:pPr>
        <w:pStyle w:val="TOC2"/>
        <w:tabs>
          <w:tab w:val="right" w:leader="dot" w:pos="8306"/>
        </w:tabs>
      </w:pPr>
      <w:hyperlink w:anchor="_Toc16937" w:history="1">
        <w:r>
          <w:rPr>
            <w:rFonts w:ascii="仿宋" w:eastAsia="仿宋" w:hAnsi="仿宋" w:cs="仿宋" w:hint="eastAsia"/>
            <w:lang w:eastAsia="zh-CN"/>
          </w:rPr>
          <w:t>(二)、供应商选择与合作</w:t>
        </w:r>
        <w:r>
          <w:tab/>
        </w:r>
        <w:r>
          <w:fldChar w:fldCharType="begin"/>
        </w:r>
        <w:r>
          <w:instrText xml:space="preserve"> PAGEREF _Toc16937 \h </w:instrText>
        </w:r>
        <w:r>
          <w:fldChar w:fldCharType="separate"/>
        </w:r>
        <w:r>
          <w:t>63</w:t>
        </w:r>
        <w:r>
          <w:fldChar w:fldCharType="end"/>
        </w:r>
      </w:hyperlink>
    </w:p>
    <w:p>
      <w:pPr>
        <w:pStyle w:val="TOC2"/>
        <w:tabs>
          <w:tab w:val="right" w:leader="dot" w:pos="8306"/>
        </w:tabs>
      </w:pPr>
      <w:hyperlink w:anchor="_Toc25922" w:history="1">
        <w:r>
          <w:rPr>
            <w:rFonts w:ascii="仿宋" w:eastAsia="仿宋" w:hAnsi="仿宋" w:cs="仿宋" w:hint="eastAsia"/>
            <w:lang w:eastAsia="zh-CN"/>
          </w:rPr>
          <w:t>(三)、物流与库存管理</w:t>
        </w:r>
        <w:r>
          <w:tab/>
        </w:r>
        <w:r>
          <w:fldChar w:fldCharType="begin"/>
        </w:r>
        <w:r>
          <w:instrText xml:space="preserve"> PAGEREF _Toc25922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774"/>
      <w:r>
        <w:rPr>
          <w:rFonts w:ascii="仿宋" w:eastAsia="仿宋" w:hAnsi="仿宋" w:cs="仿宋" w:hint="eastAsia"/>
          <w:sz w:val="28"/>
          <w:lang w:eastAsia="zh-CN"/>
        </w:rPr>
        <w:t>一、高纯砷及氧化砷项目土建工程</w:t>
      </w:r>
      <w:bookmarkEnd w:id="2"/>
    </w:p>
    <w:p>
      <w:pPr>
        <w:pStyle w:val="Heading2"/>
        <w:rPr>
          <w:rFonts w:ascii="仿宋" w:eastAsia="仿宋" w:hAnsi="仿宋" w:cs="仿宋" w:hint="eastAsia"/>
          <w:lang w:eastAsia="zh-CN"/>
        </w:rPr>
      </w:pPr>
      <w:bookmarkStart w:id="3" w:name="_Toc3198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在高纯砷及氧化砷项目的建筑工程设计中，我们将秉承一系列重要的设计原则，以确保高纯砷及氧化砷项目建筑在功能、美观、可持续性等方面达到最佳效果。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首要原则是确保建筑的功能性得到最大化的发挥。我们将充分理解高纯砷及氧化砷项目的实际需求，合理布局各个功能区域，保证建筑在满足业务需求的同时，提供高效的工作环境。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在建筑设计中，我们将综合考虑建设和运营成本。通过精细的经济效益分析，确保设计方案在高效利用资源的同时，对高纯砷及氧化砷项目的长期盈利能力有积极的贡献。</w:t>
      </w:r>
    </w:p>
    <w:p>
      <w:pPr>
        <w:pStyle w:val="Heading2"/>
        <w:ind w:firstLine="560" w:firstLineChars="200"/>
        <w:rPr>
          <w:rFonts w:ascii="仿宋" w:eastAsia="仿宋" w:hAnsi="仿宋" w:cs="仿宋" w:hint="eastAsia"/>
          <w:sz w:val="28"/>
          <w:lang w:eastAsia="zh-CN"/>
        </w:rPr>
      </w:pPr>
      <w:bookmarkStart w:id="4" w:name="_Toc2473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的土建工程设计中，我们将精准设定设计年限，结合高纯砷及氧化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纯砷及氧化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71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纯砷及氧化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纯砷及氧化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纯砷及氧化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10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本期工程高纯砷及氧化砷项目预计总建筑面积XXX平方米，其中：计容建筑面积XXX平方米，计划建筑工程投资XX万元，占高纯砷及氧化砷项目总投资的XX%。</w:t>
      </w:r>
    </w:p>
    <w:p>
      <w:pPr>
        <w:pStyle w:val="Heading1"/>
        <w:ind w:firstLine="560" w:firstLineChars="200"/>
        <w:rPr>
          <w:rFonts w:ascii="仿宋" w:eastAsia="仿宋" w:hAnsi="仿宋" w:cs="仿宋" w:hint="eastAsia"/>
          <w:sz w:val="28"/>
          <w:lang w:eastAsia="zh-CN"/>
        </w:rPr>
      </w:pPr>
      <w:bookmarkStart w:id="7" w:name="_Toc25459"/>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8099"/>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高纯砷及氧化砷项目的主要产品是XXXX，预计年产值为XXX万元。这一产品在市场中占据着重要的地位，其广泛的应用范围使得该高纯砷及氧化砷项目的市场前景非常广阔。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纯砷及氧化砷项目的xxx产品作为重要的原材料之一，将在多个领域发挥关键作用。其在建筑、交通、能源等方面的广泛应用将为整个产业链提供强大的支持，形成产业协同效应。高纯砷及氧化砷项目的年产值XXX万XXX万XXX万万元不仅反映了其在市场上的巨大潜力，更预示着它对国民经济的积极贡献。这种关联度高、涉及面广的产业关系，使得该高纯砷及氧化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9338"/>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总征地面积为XXXX平方米，相当于约XX.XX亩，其中净用地面积为XXXX平方米，红线范围内相当于约XX.XX亩。这一用地规模充分考虑了高纯砷及氧化砷项目的建设需求，保障了高纯砷及氧化砷项目在合适的空间内得以充分发展。高纯砷及氧化砷项目规划的总建筑面积为XXXX平方米，其中主体工程建设占XXXX平方米，计容建筑面积达XXXX平方米。预计建筑工程的投资将达到XXXX万元，为高纯砷及氧化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计划购置的设备共计XXXX台（套），设备购置费用为XXXX万元。这一设备购置计划充分考虑到高纯砷及氧化砷项目的生产需求和技术要求，确保了高纯砷及氧化砷项目在生产运营中具备先进的技术装备和高效的生产能力。设备的合理配置将为高纯砷及氧化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计划总投资为XXXX万元，预计年实现营业收入为XXXX万元。这一产能规模的设定旨在确保高纯砷及氧化砷项目能够在投资与回报之间取得平衡，实现长期可持续的发展。高纯砷及氧化砷项目的总投资充分考虑到各个方面的需求，包括用地建设、设备购置等多个环节，以确保高纯砷及氧化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3632"/>
      <w:r>
        <w:rPr>
          <w:rFonts w:ascii="仿宋" w:eastAsia="仿宋" w:hAnsi="仿宋" w:cs="仿宋" w:hint="eastAsia"/>
          <w:sz w:val="28"/>
          <w:lang w:eastAsia="zh-CN"/>
        </w:rPr>
        <w:t>三、高纯砷及氧化砷项目建设背景及必要性分析</w:t>
      </w:r>
      <w:bookmarkEnd w:id="10"/>
    </w:p>
    <w:p>
      <w:pPr>
        <w:pStyle w:val="Heading2"/>
        <w:rPr>
          <w:rFonts w:ascii="仿宋" w:eastAsia="仿宋" w:hAnsi="仿宋" w:cs="仿宋" w:hint="eastAsia"/>
          <w:lang w:eastAsia="zh-CN"/>
        </w:rPr>
      </w:pPr>
      <w:bookmarkStart w:id="11" w:name="_Toc15563"/>
      <w:r>
        <w:rPr>
          <w:rFonts w:ascii="仿宋" w:eastAsia="仿宋" w:hAnsi="仿宋" w:cs="仿宋" w:hint="eastAsia"/>
          <w:lang w:eastAsia="zh-CN"/>
        </w:rPr>
        <w:t>(一)、高纯砷及氧化砷项目背景分析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砷及氧化砷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砷及氧化砷项目在这个潮流中的定位。同时，我们将关注行业内涌现的新兴机遇，以便高纯砷及氧化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砷及氧化砷项目提供了强大的发展动力。我们将聚焦于行业内最新的技术发展趋势，包括但不限于人工智能、大数据分析、物联网等领域。通过深度的技术研究，我们将确保高纯砷及氧化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砷及氧化砷项目发展的源泉。我们将投入更多的精力对市场需求进行深入剖析，超越表面的需求，深入挖掘潜在的市场痛点和机遇。通过对市场需求的细致了解，高纯砷及氧化砷项目将更有针对性地设计解决方案，满足市场的多样化需求，从而更好地促进高纯砷及氧化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砷及氧化砷项目战略至关重要。我们将对竞争态势进行更为深入的分析，包括但不限于市场份额、产品特点、客户满意度等多个维度。通过深度的竞争分析，高纯砷及氧化砷项目将能够更准确地把握市场脉搏，制定具有竞争力的高纯砷及氧化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砷及氧化砷项目的发展具有直接的影响。我们将进行更为全面的法规和政策分析，了解行业发展中的潜在法律风险和合规挑战。通过充分了解和遵守相关法规，高纯砷及氧化砷项目将确保在法律框架内合法合规运营，为高纯砷及氧化砷项目的稳健发展提供有力支持。</w:t>
      </w:r>
    </w:p>
    <w:p>
      <w:pPr>
        <w:pStyle w:val="Heading2"/>
        <w:ind w:firstLine="560" w:firstLineChars="200"/>
        <w:rPr>
          <w:rFonts w:ascii="仿宋" w:eastAsia="仿宋" w:hAnsi="仿宋" w:cs="仿宋" w:hint="eastAsia"/>
          <w:sz w:val="28"/>
          <w:lang w:eastAsia="zh-CN"/>
        </w:rPr>
      </w:pPr>
      <w:bookmarkStart w:id="12" w:name="_Toc28118"/>
      <w:r>
        <w:rPr>
          <w:rFonts w:ascii="仿宋" w:eastAsia="仿宋" w:hAnsi="仿宋" w:cs="仿宋" w:hint="eastAsia"/>
          <w:sz w:val="28"/>
          <w:lang w:eastAsia="zh-CN"/>
        </w:rPr>
        <w:t>(二)、高纯砷及氧化砷项目建设必要性分析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的迫切性源于对行业发展趋势的深刻洞察。我们正处于一个行业变革的时代，科技创新、数字化转型成为企业发展的关键动力。高纯砷及氧化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不仅仅是为了跟上潮流，更是为了通过技术创新推动企业的持续发展。通过引入先进的技术和解决方案，高纯砷及氧化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高纯砷及氧化砷项目的建设成为必然选择，通过提高产品质量、拓展服务领域，从而在竞争中获得更多的机会。高纯砷及氧化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砷及氧化砷项目建设的必要性体现在对客户需求更精准的满足。通过高纯砷及氧化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的背后是对企业持续创新的追求。只有通过不断创新，企业才能在竞争中立于不败之地。高纯砷及氧化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8525"/>
      <w:r>
        <w:rPr>
          <w:rFonts w:ascii="仿宋" w:eastAsia="仿宋" w:hAnsi="仿宋" w:cs="仿宋" w:hint="eastAsia"/>
          <w:sz w:val="28"/>
          <w:lang w:eastAsia="zh-CN"/>
        </w:rPr>
        <w:t>四、高纯砷及氧化砷项目文档管理</w:t>
      </w:r>
      <w:bookmarkEnd w:id="13"/>
    </w:p>
    <w:p>
      <w:pPr>
        <w:pStyle w:val="Heading2"/>
        <w:rPr>
          <w:rFonts w:ascii="仿宋" w:eastAsia="仿宋" w:hAnsi="仿宋" w:cs="仿宋" w:hint="eastAsia"/>
          <w:lang w:eastAsia="zh-CN"/>
        </w:rPr>
      </w:pPr>
      <w:bookmarkStart w:id="14" w:name="_Toc31633"/>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高纯砷及氧化砷项目高度重视文档的质量和准确性，以支持高纯砷及氧化砷项目的各项活动和决策。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文档的编制始于高纯砷及氧化砷项目计划的初期，我们制定了详细的文档编制计划，明确了每个文档的内容、格式和编写责任人。在高纯砷及氧化砷项目启动阶段，我们首先编制了高纯砷及氧化砷项目章程，明确定义了高纯砷及氧化砷项目的目标、范围、风险等关键要素。随后，高纯砷及氧化砷项目团队根据计划陆续编制了需求文档、设计文档、测试文档等各类文档，确保高纯砷及氧化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纯砷及氧化砷项目管理中的重要环节，旨在确保高纯砷及氧化砷项目文档符合质量标准和高纯砷及氧化砷项目需求。在高纯砷及氧化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纯砷及氧化砷项目相关利益方和专业领域的专家对文档进行独立审查。这有助于获取更全面、客观的反馈，确保高纯砷及氧化砷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高纯砷及氧化砷项目在文档编制与审查方面建立了严格的管理机制，通过规范的流程和多维度的审查，确保高纯砷及氧化砷项目文档的质量、准确性和可靠性，为高纯砷及氧化砷项目的顺利推进提供了有力支持。</w:t>
      </w:r>
    </w:p>
    <w:p>
      <w:pPr>
        <w:pStyle w:val="Heading2"/>
        <w:ind w:firstLine="560" w:firstLineChars="200"/>
        <w:rPr>
          <w:rFonts w:ascii="仿宋" w:eastAsia="仿宋" w:hAnsi="仿宋" w:cs="仿宋" w:hint="eastAsia"/>
          <w:sz w:val="28"/>
          <w:lang w:eastAsia="zh-CN"/>
        </w:rPr>
      </w:pPr>
      <w:bookmarkStart w:id="15" w:name="_Toc30072"/>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我们通过多渠道发布文档，包括电子邮件、高纯砷及氧化砷项目管理平台、内部网站等，以满足不同团队成员的偏好和需求。多渠道发布确保了信息的全面覆盖。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我们采用了精细的权限控制，确保只有授权人员可以访问敏感信息。这种安全措施保护了高纯砷及氧化砷项目文档的机密性，防止了未经授权的信息泄露。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1132"/>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纯砷及氧化砷项目生命周期中一个至关重要的环节，直接关系到高纯砷及氧化砷项目信息的长期保存和历史记录的完整性。在高纯砷及氧化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3269"/>
      <w:r>
        <w:rPr>
          <w:rFonts w:ascii="仿宋" w:eastAsia="仿宋" w:hAnsi="仿宋" w:cs="仿宋" w:hint="eastAsia"/>
          <w:sz w:val="28"/>
          <w:lang w:eastAsia="zh-CN"/>
        </w:rPr>
        <w:t>五、高纯砷及氧化砷项目危机管理</w:t>
      </w:r>
      <w:bookmarkEnd w:id="17"/>
    </w:p>
    <w:p>
      <w:pPr>
        <w:pStyle w:val="Heading2"/>
        <w:rPr>
          <w:rFonts w:ascii="仿宋" w:eastAsia="仿宋" w:hAnsi="仿宋" w:cs="仿宋" w:hint="eastAsia"/>
          <w:lang w:eastAsia="zh-CN"/>
        </w:rPr>
      </w:pPr>
      <w:bookmarkStart w:id="18" w:name="_Toc734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危机管理中，危机预警与识别是确保高纯砷及氧化砷项目稳健运行的核心步骤。通过建立全面的监测机制，高纯砷及氧化砷项目团队旨在及时发现和理解潜在的风险和危机因素，以便采取及时的预防和应对措施，确保高纯砷及氧化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纯砷及氧化砷项目团队全面分析了整个高纯砷及氧化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纯砷及氧化砷项目团队着重于明确定义高纯砷及氧化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纯砷及氧化砷项目进展的持续监控，团队能够及时发现潜在问题并作出迅速反应。高纯砷及氧化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在这一阶段，团队的专业素养和反应速度将发挥至关重要的作用，以确保潜在危机能够在初期得到有效的处理，最大程度地减轻负面影响。通过危机预警与识别，高纯砷及氧化砷项目得以更有序、可控地推进。</w:t>
      </w:r>
    </w:p>
    <w:p>
      <w:pPr>
        <w:pStyle w:val="Heading2"/>
        <w:ind w:firstLine="560" w:firstLineChars="200"/>
        <w:rPr>
          <w:rFonts w:ascii="仿宋" w:eastAsia="仿宋" w:hAnsi="仿宋" w:cs="仿宋" w:hint="eastAsia"/>
          <w:sz w:val="28"/>
          <w:lang w:eastAsia="zh-CN"/>
        </w:rPr>
      </w:pPr>
      <w:bookmarkStart w:id="19" w:name="_Toc6471"/>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在危机发生时，高纯砷及氧化砷项目团队立即行动，成立了应急小组。该小组的任务是迅速制定并实施紧急应对措施，以最小化潜在损失。以下是采取的主要措施：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暂停高纯砷及氧化砷项目进度：为遏制危机蔓延，高纯砷及氧化砷项目暂时停止进行，以便全面评估当前状况。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资源重新分配：重新评估高纯砷及氧化砷项目资源的分配，确保最大限度地减小损失。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实时沟通：与关键利益相关者建立实时沟通机制，向他们传递高纯砷及氧化砷项目危机的实际状况，保障高纯砷及氧化砷项目核心利益。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在紧急应对的同时，高纯砷及氧化砷项目团队强调了团队协作和有效沟通的重要性。以下是团队协作的关键举措：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信息共享机制：建立了信息共享平台，确保团队成员能够及时获取高纯砷及氧化砷项目危机的实时信息。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https://d.book118.com/915133003023011041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223FBF"/>
    <w:rsid w:val="76223F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1330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2024-01-07T12:38:00Z</dcterms:created>
  <dcterms:modified xsi:type="dcterms:W3CDTF">2024-01-07T12:39:10Z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D93E8D5896274E4CA9FC754598843979_11</vt:lpwstr>
  </property>
  <property fmtid="{D5CDD505-2E9C-101B-9397-08002B2CF9AE}" pid="3" name="KSOProductBuildVer">
    <vt:lpwstr>2052-12.1.0.16120</vt:lpwstr>
  </property>
</Properties>
</file>