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核苷类药物项目可行性研究分析报告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0" w:history="1">
        <w:r>
          <w:rPr>
            <w:rFonts w:ascii="仿宋" w:eastAsia="仿宋" w:hAnsi="仿宋" w:cs="仿宋" w:hint="eastAsia"/>
            <w:lang w:eastAsia="zh-CN"/>
          </w:rPr>
          <w:t>概述</w:t>
        </w:r>
        <w:r>
          <w:tab/>
        </w:r>
        <w:r>
          <w:fldChar w:fldCharType="begin"/>
        </w:r>
        <w:r>
          <w:instrText xml:space="preserve"> PAGEREF _Toc610 \h </w:instrText>
        </w:r>
        <w:r>
          <w:fldChar w:fldCharType="separate"/>
        </w:r>
        <w:r>
          <w:t>3</w:t>
        </w:r>
        <w:r>
          <w:fldChar w:fldCharType="end"/>
        </w:r>
      </w:hyperlink>
    </w:p>
    <w:p>
      <w:pPr>
        <w:pStyle w:val="TOC1"/>
        <w:tabs>
          <w:tab w:val="right" w:leader="dot" w:pos="8306"/>
        </w:tabs>
      </w:pPr>
      <w:hyperlink w:anchor="_Toc20914" w:history="1">
        <w:r>
          <w:rPr>
            <w:rFonts w:ascii="仿宋" w:eastAsia="仿宋" w:hAnsi="仿宋" w:cs="仿宋" w:hint="eastAsia"/>
            <w:lang w:eastAsia="zh-CN"/>
          </w:rPr>
          <w:t>一、核苷类药物项目选址科学性分析</w:t>
        </w:r>
        <w:r>
          <w:tab/>
        </w:r>
        <w:r>
          <w:fldChar w:fldCharType="begin"/>
        </w:r>
        <w:r>
          <w:instrText xml:space="preserve"> PAGEREF _Toc20914 \h </w:instrText>
        </w:r>
        <w:r>
          <w:fldChar w:fldCharType="separate"/>
        </w:r>
        <w:r>
          <w:t>3</w:t>
        </w:r>
        <w:r>
          <w:fldChar w:fldCharType="end"/>
        </w:r>
      </w:hyperlink>
    </w:p>
    <w:p>
      <w:pPr>
        <w:pStyle w:val="TOC2"/>
        <w:tabs>
          <w:tab w:val="right" w:leader="dot" w:pos="8306"/>
        </w:tabs>
      </w:pPr>
      <w:hyperlink w:anchor="_Toc1740" w:history="1">
        <w:r>
          <w:rPr>
            <w:rFonts w:ascii="仿宋" w:eastAsia="仿宋" w:hAnsi="仿宋" w:cs="仿宋" w:hint="eastAsia"/>
            <w:lang w:eastAsia="zh-CN"/>
          </w:rPr>
          <w:t>(一)、核苷类药物项目厂址的选择原则</w:t>
        </w:r>
        <w:r>
          <w:tab/>
        </w:r>
        <w:r>
          <w:fldChar w:fldCharType="begin"/>
        </w:r>
        <w:r>
          <w:instrText xml:space="preserve"> PAGEREF _Toc1740 \h </w:instrText>
        </w:r>
        <w:r>
          <w:fldChar w:fldCharType="separate"/>
        </w:r>
        <w:r>
          <w:t>3</w:t>
        </w:r>
        <w:r>
          <w:fldChar w:fldCharType="end"/>
        </w:r>
      </w:hyperlink>
    </w:p>
    <w:p>
      <w:pPr>
        <w:pStyle w:val="TOC2"/>
        <w:tabs>
          <w:tab w:val="right" w:leader="dot" w:pos="8306"/>
        </w:tabs>
      </w:pPr>
      <w:hyperlink w:anchor="_Toc19213" w:history="1">
        <w:r>
          <w:rPr>
            <w:rFonts w:ascii="仿宋" w:eastAsia="仿宋" w:hAnsi="仿宋" w:cs="仿宋" w:hint="eastAsia"/>
            <w:lang w:eastAsia="zh-CN"/>
          </w:rPr>
          <w:t>(二)、核苷类药物项目区概况</w:t>
        </w:r>
        <w:r>
          <w:tab/>
        </w:r>
        <w:r>
          <w:fldChar w:fldCharType="begin"/>
        </w:r>
        <w:r>
          <w:instrText xml:space="preserve"> PAGEREF _Toc19213 \h </w:instrText>
        </w:r>
        <w:r>
          <w:fldChar w:fldCharType="separate"/>
        </w:r>
        <w:r>
          <w:t>4</w:t>
        </w:r>
        <w:r>
          <w:fldChar w:fldCharType="end"/>
        </w:r>
      </w:hyperlink>
    </w:p>
    <w:p>
      <w:pPr>
        <w:pStyle w:val="TOC2"/>
        <w:tabs>
          <w:tab w:val="right" w:leader="dot" w:pos="8306"/>
        </w:tabs>
      </w:pPr>
      <w:hyperlink w:anchor="_Toc11665" w:history="1">
        <w:r>
          <w:rPr>
            <w:rFonts w:ascii="仿宋" w:eastAsia="仿宋" w:hAnsi="仿宋" w:cs="仿宋" w:hint="eastAsia"/>
            <w:lang w:eastAsia="zh-CN"/>
          </w:rPr>
          <w:t>(三)、核苷类药物厂址选择方案</w:t>
        </w:r>
        <w:r>
          <w:tab/>
        </w:r>
        <w:r>
          <w:fldChar w:fldCharType="begin"/>
        </w:r>
        <w:r>
          <w:instrText xml:space="preserve"> PAGEREF _Toc11665 \h </w:instrText>
        </w:r>
        <w:r>
          <w:fldChar w:fldCharType="separate"/>
        </w:r>
        <w:r>
          <w:t>4</w:t>
        </w:r>
        <w:r>
          <w:fldChar w:fldCharType="end"/>
        </w:r>
      </w:hyperlink>
    </w:p>
    <w:p>
      <w:pPr>
        <w:pStyle w:val="TOC2"/>
        <w:tabs>
          <w:tab w:val="right" w:leader="dot" w:pos="8306"/>
        </w:tabs>
      </w:pPr>
      <w:hyperlink w:anchor="_Toc10847" w:history="1">
        <w:r>
          <w:rPr>
            <w:rFonts w:ascii="仿宋" w:eastAsia="仿宋" w:hAnsi="仿宋" w:cs="仿宋" w:hint="eastAsia"/>
            <w:lang w:eastAsia="zh-CN"/>
          </w:rPr>
          <w:t>(四)、核苷类药物项目选址用地权属性质类别及占地面积</w:t>
        </w:r>
        <w:r>
          <w:tab/>
        </w:r>
        <w:r>
          <w:fldChar w:fldCharType="begin"/>
        </w:r>
        <w:r>
          <w:instrText xml:space="preserve"> PAGEREF _Toc10847 \h </w:instrText>
        </w:r>
        <w:r>
          <w:fldChar w:fldCharType="separate"/>
        </w:r>
        <w:r>
          <w:t>4</w:t>
        </w:r>
        <w:r>
          <w:fldChar w:fldCharType="end"/>
        </w:r>
      </w:hyperlink>
    </w:p>
    <w:p>
      <w:pPr>
        <w:pStyle w:val="TOC2"/>
        <w:tabs>
          <w:tab w:val="right" w:leader="dot" w:pos="8306"/>
        </w:tabs>
      </w:pPr>
      <w:hyperlink w:anchor="_Toc28756" w:history="1">
        <w:r>
          <w:rPr>
            <w:rFonts w:ascii="仿宋" w:eastAsia="仿宋" w:hAnsi="仿宋" w:cs="仿宋" w:hint="eastAsia"/>
            <w:lang w:eastAsia="zh-CN"/>
          </w:rPr>
          <w:t>(五)、核苷类药物项目用地利用指标</w:t>
        </w:r>
        <w:r>
          <w:tab/>
        </w:r>
        <w:r>
          <w:fldChar w:fldCharType="begin"/>
        </w:r>
        <w:r>
          <w:instrText xml:space="preserve"> PAGEREF _Toc28756 \h </w:instrText>
        </w:r>
        <w:r>
          <w:fldChar w:fldCharType="separate"/>
        </w:r>
        <w:r>
          <w:t>4</w:t>
        </w:r>
        <w:r>
          <w:fldChar w:fldCharType="end"/>
        </w:r>
      </w:hyperlink>
    </w:p>
    <w:p>
      <w:pPr>
        <w:pStyle w:val="TOC1"/>
        <w:tabs>
          <w:tab w:val="right" w:leader="dot" w:pos="8306"/>
        </w:tabs>
      </w:pPr>
      <w:hyperlink w:anchor="_Toc11532" w:history="1">
        <w:r>
          <w:rPr>
            <w:rFonts w:ascii="仿宋" w:eastAsia="仿宋" w:hAnsi="仿宋" w:cs="仿宋" w:hint="eastAsia"/>
            <w:lang w:eastAsia="zh-CN"/>
          </w:rPr>
          <w:t>二、核苷类药物项目主要建(构)筑物建设工程</w:t>
        </w:r>
        <w:r>
          <w:tab/>
        </w:r>
        <w:r>
          <w:fldChar w:fldCharType="begin"/>
        </w:r>
        <w:r>
          <w:instrText xml:space="preserve"> PAGEREF _Toc11532 \h </w:instrText>
        </w:r>
        <w:r>
          <w:fldChar w:fldCharType="separate"/>
        </w:r>
        <w:r>
          <w:t>5</w:t>
        </w:r>
        <w:r>
          <w:fldChar w:fldCharType="end"/>
        </w:r>
      </w:hyperlink>
    </w:p>
    <w:p>
      <w:pPr>
        <w:pStyle w:val="TOC2"/>
        <w:tabs>
          <w:tab w:val="right" w:leader="dot" w:pos="8306"/>
        </w:tabs>
      </w:pPr>
      <w:hyperlink w:anchor="_Toc16394" w:history="1">
        <w:r>
          <w:rPr>
            <w:rFonts w:ascii="仿宋" w:eastAsia="仿宋" w:hAnsi="仿宋" w:cs="仿宋" w:hint="eastAsia"/>
            <w:lang w:eastAsia="zh-CN"/>
          </w:rPr>
          <w:t>(一)、抗震设防</w:t>
        </w:r>
        <w:r>
          <w:tab/>
        </w:r>
        <w:r>
          <w:fldChar w:fldCharType="begin"/>
        </w:r>
        <w:r>
          <w:instrText xml:space="preserve"> PAGEREF _Toc16394 \h </w:instrText>
        </w:r>
        <w:r>
          <w:fldChar w:fldCharType="separate"/>
        </w:r>
        <w:r>
          <w:t>5</w:t>
        </w:r>
        <w:r>
          <w:fldChar w:fldCharType="end"/>
        </w:r>
      </w:hyperlink>
    </w:p>
    <w:p>
      <w:pPr>
        <w:pStyle w:val="TOC2"/>
        <w:tabs>
          <w:tab w:val="right" w:leader="dot" w:pos="8306"/>
        </w:tabs>
      </w:pPr>
      <w:hyperlink w:anchor="_Toc3276" w:history="1">
        <w:r>
          <w:rPr>
            <w:rFonts w:ascii="仿宋" w:eastAsia="仿宋" w:hAnsi="仿宋" w:cs="仿宋" w:hint="eastAsia"/>
            <w:lang w:eastAsia="zh-CN"/>
          </w:rPr>
          <w:t>(二)、建筑结构形势及基础方案</w:t>
        </w:r>
        <w:r>
          <w:tab/>
        </w:r>
        <w:r>
          <w:fldChar w:fldCharType="begin"/>
        </w:r>
        <w:r>
          <w:instrText xml:space="preserve"> PAGEREF _Toc3276 \h </w:instrText>
        </w:r>
        <w:r>
          <w:fldChar w:fldCharType="separate"/>
        </w:r>
        <w:r>
          <w:t>6</w:t>
        </w:r>
        <w:r>
          <w:fldChar w:fldCharType="end"/>
        </w:r>
      </w:hyperlink>
    </w:p>
    <w:p>
      <w:pPr>
        <w:pStyle w:val="TOC2"/>
        <w:tabs>
          <w:tab w:val="right" w:leader="dot" w:pos="8306"/>
        </w:tabs>
      </w:pPr>
      <w:hyperlink w:anchor="_Toc12738" w:history="1">
        <w:r>
          <w:rPr>
            <w:rFonts w:ascii="仿宋" w:eastAsia="仿宋" w:hAnsi="仿宋" w:cs="仿宋" w:hint="eastAsia"/>
            <w:lang w:eastAsia="zh-CN"/>
          </w:rPr>
          <w:t>(三)、主要建(构)筑物建设工程</w:t>
        </w:r>
        <w:r>
          <w:tab/>
        </w:r>
        <w:r>
          <w:fldChar w:fldCharType="begin"/>
        </w:r>
        <w:r>
          <w:instrText xml:space="preserve"> PAGEREF _Toc12738 \h </w:instrText>
        </w:r>
        <w:r>
          <w:fldChar w:fldCharType="separate"/>
        </w:r>
        <w:r>
          <w:t>6</w:t>
        </w:r>
        <w:r>
          <w:fldChar w:fldCharType="end"/>
        </w:r>
      </w:hyperlink>
    </w:p>
    <w:p>
      <w:pPr>
        <w:pStyle w:val="TOC1"/>
        <w:tabs>
          <w:tab w:val="right" w:leader="dot" w:pos="8306"/>
        </w:tabs>
      </w:pPr>
      <w:hyperlink w:anchor="_Toc3041" w:history="1">
        <w:r>
          <w:rPr>
            <w:rFonts w:ascii="仿宋" w:eastAsia="仿宋" w:hAnsi="仿宋" w:cs="仿宋" w:hint="eastAsia"/>
            <w:lang w:eastAsia="zh-CN"/>
          </w:rPr>
          <w:t>三、核苷类药物项目投资估算与资金筹措</w:t>
        </w:r>
        <w:r>
          <w:tab/>
        </w:r>
        <w:r>
          <w:fldChar w:fldCharType="begin"/>
        </w:r>
        <w:r>
          <w:instrText xml:space="preserve"> PAGEREF _Toc3041 \h </w:instrText>
        </w:r>
        <w:r>
          <w:fldChar w:fldCharType="separate"/>
        </w:r>
        <w:r>
          <w:t>7</w:t>
        </w:r>
        <w:r>
          <w:fldChar w:fldCharType="end"/>
        </w:r>
      </w:hyperlink>
    </w:p>
    <w:p>
      <w:pPr>
        <w:pStyle w:val="TOC2"/>
        <w:tabs>
          <w:tab w:val="right" w:leader="dot" w:pos="8306"/>
        </w:tabs>
      </w:pPr>
      <w:hyperlink w:anchor="_Toc8822" w:history="1">
        <w:r>
          <w:rPr>
            <w:rFonts w:ascii="仿宋" w:eastAsia="仿宋" w:hAnsi="仿宋" w:cs="仿宋" w:hint="eastAsia"/>
            <w:lang w:eastAsia="zh-CN"/>
          </w:rPr>
          <w:t>(一)、投资估算依据和说明</w:t>
        </w:r>
        <w:r>
          <w:tab/>
        </w:r>
        <w:r>
          <w:fldChar w:fldCharType="begin"/>
        </w:r>
        <w:r>
          <w:instrText xml:space="preserve"> PAGEREF _Toc8822 \h </w:instrText>
        </w:r>
        <w:r>
          <w:fldChar w:fldCharType="separate"/>
        </w:r>
        <w:r>
          <w:t>7</w:t>
        </w:r>
        <w:r>
          <w:fldChar w:fldCharType="end"/>
        </w:r>
      </w:hyperlink>
    </w:p>
    <w:p>
      <w:pPr>
        <w:pStyle w:val="TOC2"/>
        <w:tabs>
          <w:tab w:val="right" w:leader="dot" w:pos="8306"/>
        </w:tabs>
      </w:pPr>
      <w:hyperlink w:anchor="_Toc12304" w:history="1">
        <w:r>
          <w:rPr>
            <w:rFonts w:ascii="仿宋" w:eastAsia="仿宋" w:hAnsi="仿宋" w:cs="仿宋" w:hint="eastAsia"/>
            <w:lang w:eastAsia="zh-CN"/>
          </w:rPr>
          <w:t>(二)、资金筹措</w:t>
        </w:r>
        <w:r>
          <w:tab/>
        </w:r>
        <w:r>
          <w:fldChar w:fldCharType="begin"/>
        </w:r>
        <w:r>
          <w:instrText xml:space="preserve"> PAGEREF _Toc12304 \h </w:instrText>
        </w:r>
        <w:r>
          <w:fldChar w:fldCharType="separate"/>
        </w:r>
        <w:r>
          <w:t>8</w:t>
        </w:r>
        <w:r>
          <w:fldChar w:fldCharType="end"/>
        </w:r>
      </w:hyperlink>
    </w:p>
    <w:p>
      <w:pPr>
        <w:pStyle w:val="TOC2"/>
        <w:tabs>
          <w:tab w:val="right" w:leader="dot" w:pos="8306"/>
        </w:tabs>
      </w:pPr>
      <w:hyperlink w:anchor="_Toc4774" w:history="1">
        <w:r>
          <w:rPr>
            <w:rFonts w:ascii="仿宋" w:eastAsia="仿宋" w:hAnsi="仿宋" w:cs="仿宋" w:hint="eastAsia"/>
            <w:lang w:eastAsia="zh-CN"/>
          </w:rPr>
          <w:t>(三)、资金使用计划</w:t>
        </w:r>
        <w:r>
          <w:tab/>
        </w:r>
        <w:r>
          <w:fldChar w:fldCharType="begin"/>
        </w:r>
        <w:r>
          <w:instrText xml:space="preserve"> PAGEREF _Toc4774 \h </w:instrText>
        </w:r>
        <w:r>
          <w:fldChar w:fldCharType="separate"/>
        </w:r>
        <w:r>
          <w:t>8</w:t>
        </w:r>
        <w:r>
          <w:fldChar w:fldCharType="end"/>
        </w:r>
      </w:hyperlink>
    </w:p>
    <w:p>
      <w:pPr>
        <w:pStyle w:val="TOC2"/>
        <w:tabs>
          <w:tab w:val="right" w:leader="dot" w:pos="8306"/>
        </w:tabs>
      </w:pPr>
      <w:hyperlink w:anchor="_Toc2663" w:history="1">
        <w:r>
          <w:rPr>
            <w:rFonts w:ascii="仿宋" w:eastAsia="仿宋" w:hAnsi="仿宋" w:cs="仿宋" w:hint="eastAsia"/>
            <w:lang w:eastAsia="zh-CN"/>
          </w:rPr>
          <w:t>(四)、核苷类药物项目经济评价</w:t>
        </w:r>
        <w:r>
          <w:tab/>
        </w:r>
        <w:r>
          <w:fldChar w:fldCharType="begin"/>
        </w:r>
        <w:r>
          <w:instrText xml:space="preserve"> PAGEREF _Toc2663 \h </w:instrText>
        </w:r>
        <w:r>
          <w:fldChar w:fldCharType="separate"/>
        </w:r>
        <w:r>
          <w:t>9</w:t>
        </w:r>
        <w:r>
          <w:fldChar w:fldCharType="end"/>
        </w:r>
      </w:hyperlink>
    </w:p>
    <w:p>
      <w:pPr>
        <w:pStyle w:val="TOC1"/>
        <w:tabs>
          <w:tab w:val="right" w:leader="dot" w:pos="8306"/>
        </w:tabs>
      </w:pPr>
      <w:hyperlink w:anchor="_Toc16269" w:history="1">
        <w:r>
          <w:rPr>
            <w:rFonts w:ascii="仿宋" w:eastAsia="仿宋" w:hAnsi="仿宋" w:cs="仿宋" w:hint="eastAsia"/>
            <w:lang w:eastAsia="zh-CN"/>
          </w:rPr>
          <w:t>四、文化内涵和艺术价值</w:t>
        </w:r>
        <w:r>
          <w:tab/>
        </w:r>
        <w:r>
          <w:fldChar w:fldCharType="begin"/>
        </w:r>
        <w:r>
          <w:instrText xml:space="preserve"> PAGEREF _Toc16269 \h </w:instrText>
        </w:r>
        <w:r>
          <w:fldChar w:fldCharType="separate"/>
        </w:r>
        <w:r>
          <w:t>9</w:t>
        </w:r>
        <w:r>
          <w:fldChar w:fldCharType="end"/>
        </w:r>
      </w:hyperlink>
    </w:p>
    <w:p>
      <w:pPr>
        <w:pStyle w:val="TOC2"/>
        <w:tabs>
          <w:tab w:val="right" w:leader="dot" w:pos="8306"/>
        </w:tabs>
      </w:pPr>
      <w:hyperlink w:anchor="_Toc6667" w:history="1">
        <w:r>
          <w:rPr>
            <w:rFonts w:ascii="仿宋" w:eastAsia="仿宋" w:hAnsi="仿宋" w:cs="仿宋" w:hint="eastAsia"/>
            <w:lang w:eastAsia="zh-CN"/>
          </w:rPr>
          <w:t>(一)、核苷类药物项目与文化内涵的结合方式</w:t>
        </w:r>
        <w:r>
          <w:tab/>
        </w:r>
        <w:r>
          <w:fldChar w:fldCharType="begin"/>
        </w:r>
        <w:r>
          <w:instrText xml:space="preserve"> PAGEREF _Toc6667 \h </w:instrText>
        </w:r>
        <w:r>
          <w:fldChar w:fldCharType="separate"/>
        </w:r>
        <w:r>
          <w:t>9</w:t>
        </w:r>
        <w:r>
          <w:fldChar w:fldCharType="end"/>
        </w:r>
      </w:hyperlink>
    </w:p>
    <w:p>
      <w:pPr>
        <w:pStyle w:val="TOC2"/>
        <w:tabs>
          <w:tab w:val="right" w:leader="dot" w:pos="8306"/>
        </w:tabs>
      </w:pPr>
      <w:hyperlink w:anchor="_Toc28460" w:history="1">
        <w:r>
          <w:rPr>
            <w:rFonts w:ascii="仿宋" w:eastAsia="仿宋" w:hAnsi="仿宋" w:cs="仿宋" w:hint="eastAsia"/>
            <w:lang w:eastAsia="zh-CN"/>
          </w:rPr>
          <w:t>(二)、核苷类药物项目产品的艺术价值分析</w:t>
        </w:r>
        <w:r>
          <w:tab/>
        </w:r>
        <w:r>
          <w:fldChar w:fldCharType="begin"/>
        </w:r>
        <w:r>
          <w:instrText xml:space="preserve"> PAGEREF _Toc28460 \h </w:instrText>
        </w:r>
        <w:r>
          <w:fldChar w:fldCharType="separate"/>
        </w:r>
        <w:r>
          <w:t>10</w:t>
        </w:r>
        <w:r>
          <w:fldChar w:fldCharType="end"/>
        </w:r>
      </w:hyperlink>
    </w:p>
    <w:p>
      <w:pPr>
        <w:pStyle w:val="TOC2"/>
        <w:tabs>
          <w:tab w:val="right" w:leader="dot" w:pos="8306"/>
        </w:tabs>
      </w:pPr>
      <w:hyperlink w:anchor="_Toc2729" w:history="1">
        <w:r>
          <w:rPr>
            <w:rFonts w:ascii="仿宋" w:eastAsia="仿宋" w:hAnsi="仿宋" w:cs="仿宋" w:hint="eastAsia"/>
            <w:lang w:eastAsia="zh-CN"/>
          </w:rPr>
          <w:t>(三)、文化传承和艺术创新的策略探讨</w:t>
        </w:r>
        <w:r>
          <w:tab/>
        </w:r>
        <w:r>
          <w:fldChar w:fldCharType="begin"/>
        </w:r>
        <w:r>
          <w:instrText xml:space="preserve"> PAGEREF _Toc2729 \h </w:instrText>
        </w:r>
        <w:r>
          <w:fldChar w:fldCharType="separate"/>
        </w:r>
        <w:r>
          <w:t>11</w:t>
        </w:r>
        <w:r>
          <w:fldChar w:fldCharType="end"/>
        </w:r>
      </w:hyperlink>
    </w:p>
    <w:p>
      <w:pPr>
        <w:pStyle w:val="TOC1"/>
        <w:tabs>
          <w:tab w:val="right" w:leader="dot" w:pos="8306"/>
        </w:tabs>
      </w:pPr>
      <w:hyperlink w:anchor="_Toc19841" w:history="1">
        <w:r>
          <w:rPr>
            <w:rFonts w:ascii="仿宋" w:eastAsia="仿宋" w:hAnsi="仿宋" w:cs="仿宋" w:hint="eastAsia"/>
            <w:lang w:eastAsia="zh-CN"/>
          </w:rPr>
          <w:t>五、技术可行性分析</w:t>
        </w:r>
        <w:r>
          <w:tab/>
        </w:r>
        <w:r>
          <w:fldChar w:fldCharType="begin"/>
        </w:r>
        <w:r>
          <w:instrText xml:space="preserve"> PAGEREF _Toc19841 \h </w:instrText>
        </w:r>
        <w:r>
          <w:fldChar w:fldCharType="separate"/>
        </w:r>
        <w:r>
          <w:t>11</w:t>
        </w:r>
        <w:r>
          <w:fldChar w:fldCharType="end"/>
        </w:r>
      </w:hyperlink>
    </w:p>
    <w:p>
      <w:pPr>
        <w:pStyle w:val="TOC2"/>
        <w:tabs>
          <w:tab w:val="right" w:leader="dot" w:pos="8306"/>
        </w:tabs>
      </w:pPr>
      <w:hyperlink w:anchor="_Toc21311" w:history="1">
        <w:r>
          <w:rPr>
            <w:rFonts w:ascii="仿宋" w:eastAsia="仿宋" w:hAnsi="仿宋" w:cs="仿宋" w:hint="eastAsia"/>
            <w:lang w:eastAsia="zh-CN"/>
          </w:rPr>
          <w:t>(一)、技术来源及先进性说明</w:t>
        </w:r>
        <w:r>
          <w:tab/>
        </w:r>
        <w:r>
          <w:fldChar w:fldCharType="begin"/>
        </w:r>
        <w:r>
          <w:instrText xml:space="preserve"> PAGEREF _Toc21311 \h </w:instrText>
        </w:r>
        <w:r>
          <w:fldChar w:fldCharType="separate"/>
        </w:r>
        <w:r>
          <w:t>11</w:t>
        </w:r>
        <w:r>
          <w:fldChar w:fldCharType="end"/>
        </w:r>
      </w:hyperlink>
    </w:p>
    <w:p>
      <w:pPr>
        <w:pStyle w:val="TOC2"/>
        <w:tabs>
          <w:tab w:val="right" w:leader="dot" w:pos="8306"/>
        </w:tabs>
      </w:pPr>
      <w:hyperlink w:anchor="_Toc27810" w:history="1">
        <w:r>
          <w:rPr>
            <w:rFonts w:ascii="仿宋" w:eastAsia="仿宋" w:hAnsi="仿宋" w:cs="仿宋" w:hint="eastAsia"/>
            <w:lang w:eastAsia="zh-CN"/>
          </w:rPr>
          <w:t>(二)、核苷类药物项目的技术难点及解决方案</w:t>
        </w:r>
        <w:r>
          <w:tab/>
        </w:r>
        <w:r>
          <w:fldChar w:fldCharType="begin"/>
        </w:r>
        <w:r>
          <w:instrText xml:space="preserve"> PAGEREF _Toc27810 \h </w:instrText>
        </w:r>
        <w:r>
          <w:fldChar w:fldCharType="separate"/>
        </w:r>
        <w:r>
          <w:t>12</w:t>
        </w:r>
        <w:r>
          <w:fldChar w:fldCharType="end"/>
        </w:r>
      </w:hyperlink>
    </w:p>
    <w:p>
      <w:pPr>
        <w:pStyle w:val="TOC2"/>
        <w:tabs>
          <w:tab w:val="right" w:leader="dot" w:pos="8306"/>
        </w:tabs>
      </w:pPr>
      <w:hyperlink w:anchor="_Toc8277" w:history="1">
        <w:r>
          <w:rPr>
            <w:rFonts w:ascii="仿宋" w:eastAsia="仿宋" w:hAnsi="仿宋" w:cs="仿宋" w:hint="eastAsia"/>
            <w:lang w:eastAsia="zh-CN"/>
          </w:rPr>
          <w:t>(三)、技术人才需求</w:t>
        </w:r>
        <w:r>
          <w:tab/>
        </w:r>
        <w:r>
          <w:fldChar w:fldCharType="begin"/>
        </w:r>
        <w:r>
          <w:instrText xml:space="preserve"> PAGEREF _Toc8277 \h </w:instrText>
        </w:r>
        <w:r>
          <w:fldChar w:fldCharType="separate"/>
        </w:r>
        <w:r>
          <w:t>14</w:t>
        </w:r>
        <w:r>
          <w:fldChar w:fldCharType="end"/>
        </w:r>
      </w:hyperlink>
    </w:p>
    <w:p>
      <w:pPr>
        <w:pStyle w:val="TOC1"/>
        <w:tabs>
          <w:tab w:val="right" w:leader="dot" w:pos="8306"/>
        </w:tabs>
      </w:pPr>
      <w:hyperlink w:anchor="_Toc18074" w:history="1">
        <w:r>
          <w:rPr>
            <w:rFonts w:ascii="仿宋" w:eastAsia="仿宋" w:hAnsi="仿宋" w:cs="仿宋" w:hint="eastAsia"/>
            <w:lang w:eastAsia="zh-CN"/>
          </w:rPr>
          <w:t>六、核苷类药物在可持续发展中的角色</w:t>
        </w:r>
        <w:r>
          <w:tab/>
        </w:r>
        <w:r>
          <w:fldChar w:fldCharType="begin"/>
        </w:r>
        <w:r>
          <w:instrText xml:space="preserve"> PAGEREF _Toc18074 \h </w:instrText>
        </w:r>
        <w:r>
          <w:fldChar w:fldCharType="separate"/>
        </w:r>
        <w:r>
          <w:t>15</w:t>
        </w:r>
        <w:r>
          <w:fldChar w:fldCharType="end"/>
        </w:r>
      </w:hyperlink>
    </w:p>
    <w:p>
      <w:pPr>
        <w:pStyle w:val="TOC2"/>
        <w:tabs>
          <w:tab w:val="right" w:leader="dot" w:pos="8306"/>
        </w:tabs>
      </w:pPr>
      <w:hyperlink w:anchor="_Toc3297" w:history="1">
        <w:r>
          <w:rPr>
            <w:rFonts w:ascii="仿宋" w:eastAsia="仿宋" w:hAnsi="仿宋" w:cs="仿宋" w:hint="eastAsia"/>
            <w:lang w:eastAsia="zh-CN"/>
          </w:rPr>
          <w:t>(一)、核苷类药物对可持续发展目标的贡献</w:t>
        </w:r>
        <w:r>
          <w:tab/>
        </w:r>
        <w:r>
          <w:fldChar w:fldCharType="begin"/>
        </w:r>
        <w:r>
          <w:instrText xml:space="preserve"> PAGEREF _Toc3297 \h </w:instrText>
        </w:r>
        <w:r>
          <w:fldChar w:fldCharType="separate"/>
        </w:r>
        <w:r>
          <w:t>15</w:t>
        </w:r>
        <w:r>
          <w:fldChar w:fldCharType="end"/>
        </w:r>
      </w:hyperlink>
    </w:p>
    <w:p>
      <w:pPr>
        <w:pStyle w:val="TOC2"/>
        <w:tabs>
          <w:tab w:val="right" w:leader="dot" w:pos="8306"/>
        </w:tabs>
      </w:pPr>
      <w:hyperlink w:anchor="_Toc22325" w:history="1">
        <w:r>
          <w:rPr>
            <w:rFonts w:ascii="仿宋" w:eastAsia="仿宋" w:hAnsi="仿宋" w:cs="仿宋" w:hint="eastAsia"/>
            <w:lang w:eastAsia="zh-CN"/>
          </w:rPr>
          <w:t>(二)、核苷类药物可持续性创新的潜力</w:t>
        </w:r>
        <w:r>
          <w:tab/>
        </w:r>
        <w:r>
          <w:fldChar w:fldCharType="begin"/>
        </w:r>
        <w:r>
          <w:instrText xml:space="preserve"> PAGEREF _Toc22325 \h </w:instrText>
        </w:r>
        <w:r>
          <w:fldChar w:fldCharType="separate"/>
        </w:r>
        <w:r>
          <w:t>16</w:t>
        </w:r>
        <w:r>
          <w:fldChar w:fldCharType="end"/>
        </w:r>
      </w:hyperlink>
    </w:p>
    <w:p>
      <w:pPr>
        <w:pStyle w:val="TOC2"/>
        <w:tabs>
          <w:tab w:val="right" w:leader="dot" w:pos="8306"/>
        </w:tabs>
      </w:pPr>
      <w:hyperlink w:anchor="_Toc1901" w:history="1">
        <w:r>
          <w:rPr>
            <w:rFonts w:ascii="仿宋" w:eastAsia="仿宋" w:hAnsi="仿宋" w:cs="仿宋" w:hint="eastAsia"/>
            <w:lang w:eastAsia="zh-CN"/>
          </w:rPr>
          <w:t>(三)、核苷类药物可持续性实践的社会影响</w:t>
        </w:r>
        <w:r>
          <w:tab/>
        </w:r>
        <w:r>
          <w:fldChar w:fldCharType="begin"/>
        </w:r>
        <w:r>
          <w:instrText xml:space="preserve"> PAGEREF _Toc1901 \h </w:instrText>
        </w:r>
        <w:r>
          <w:fldChar w:fldCharType="separate"/>
        </w:r>
        <w:r>
          <w:t>17</w:t>
        </w:r>
        <w:r>
          <w:fldChar w:fldCharType="end"/>
        </w:r>
      </w:hyperlink>
    </w:p>
    <w:p>
      <w:pPr>
        <w:pStyle w:val="TOC1"/>
        <w:tabs>
          <w:tab w:val="right" w:leader="dot" w:pos="8306"/>
        </w:tabs>
      </w:pPr>
      <w:hyperlink w:anchor="_Toc21789" w:history="1">
        <w:r>
          <w:rPr>
            <w:rFonts w:ascii="仿宋" w:eastAsia="仿宋" w:hAnsi="仿宋" w:cs="仿宋" w:hint="eastAsia"/>
            <w:lang w:eastAsia="zh-CN"/>
          </w:rPr>
          <w:t>七、消防安全</w:t>
        </w:r>
        <w:r>
          <w:tab/>
        </w:r>
        <w:r>
          <w:fldChar w:fldCharType="begin"/>
        </w:r>
        <w:r>
          <w:instrText xml:space="preserve"> PAGEREF _Toc21789 \h </w:instrText>
        </w:r>
        <w:r>
          <w:fldChar w:fldCharType="separate"/>
        </w:r>
        <w:r>
          <w:t>18</w:t>
        </w:r>
        <w:r>
          <w:fldChar w:fldCharType="end"/>
        </w:r>
      </w:hyperlink>
    </w:p>
    <w:p>
      <w:pPr>
        <w:pStyle w:val="TOC2"/>
        <w:tabs>
          <w:tab w:val="right" w:leader="dot" w:pos="8306"/>
        </w:tabs>
      </w:pPr>
      <w:hyperlink w:anchor="_Toc27952" w:history="1">
        <w:r>
          <w:rPr>
            <w:rFonts w:ascii="仿宋" w:eastAsia="仿宋" w:hAnsi="仿宋" w:cs="仿宋" w:hint="eastAsia"/>
            <w:lang w:eastAsia="zh-CN"/>
          </w:rPr>
          <w:t>(一)、核苷类药物项目消防设计依据及原则</w:t>
        </w:r>
        <w:r>
          <w:tab/>
        </w:r>
        <w:r>
          <w:fldChar w:fldCharType="begin"/>
        </w:r>
        <w:r>
          <w:instrText xml:space="preserve"> PAGEREF _Toc27952 \h </w:instrText>
        </w:r>
        <w:r>
          <w:fldChar w:fldCharType="separate"/>
        </w:r>
        <w:r>
          <w:t>18</w:t>
        </w:r>
        <w:r>
          <w:fldChar w:fldCharType="end"/>
        </w:r>
      </w:hyperlink>
    </w:p>
    <w:p>
      <w:pPr>
        <w:pStyle w:val="TOC2"/>
        <w:tabs>
          <w:tab w:val="right" w:leader="dot" w:pos="8306"/>
        </w:tabs>
      </w:pPr>
      <w:hyperlink w:anchor="_Toc3323" w:history="1">
        <w:r>
          <w:rPr>
            <w:rFonts w:ascii="仿宋" w:eastAsia="仿宋" w:hAnsi="仿宋" w:cs="仿宋" w:hint="eastAsia"/>
            <w:lang w:eastAsia="zh-CN"/>
          </w:rPr>
          <w:t>(二)、核苷类药物项目火灾危险性分析</w:t>
        </w:r>
        <w:r>
          <w:tab/>
        </w:r>
        <w:r>
          <w:fldChar w:fldCharType="begin"/>
        </w:r>
        <w:r>
          <w:instrText xml:space="preserve"> PAGEREF _Toc3323 \h </w:instrText>
        </w:r>
        <w:r>
          <w:fldChar w:fldCharType="separate"/>
        </w:r>
        <w:r>
          <w:t>19</w:t>
        </w:r>
        <w:r>
          <w:fldChar w:fldCharType="end"/>
        </w:r>
      </w:hyperlink>
    </w:p>
    <w:p>
      <w:pPr>
        <w:pStyle w:val="TOC1"/>
        <w:tabs>
          <w:tab w:val="right" w:leader="dot" w:pos="8306"/>
        </w:tabs>
      </w:pPr>
      <w:hyperlink w:anchor="_Toc29504" w:history="1">
        <w:r>
          <w:rPr>
            <w:rFonts w:ascii="仿宋" w:eastAsia="仿宋" w:hAnsi="仿宋" w:cs="仿宋" w:hint="eastAsia"/>
            <w:lang w:eastAsia="zh-CN"/>
          </w:rPr>
          <w:t>八、技术创新和研发成果转化</w:t>
        </w:r>
        <w:r>
          <w:tab/>
        </w:r>
        <w:r>
          <w:fldChar w:fldCharType="begin"/>
        </w:r>
        <w:r>
          <w:instrText xml:space="preserve"> PAGEREF _Toc29504 \h </w:instrText>
        </w:r>
        <w:r>
          <w:fldChar w:fldCharType="separate"/>
        </w:r>
        <w:r>
          <w:t>21</w:t>
        </w:r>
        <w:r>
          <w:fldChar w:fldCharType="end"/>
        </w:r>
      </w:hyperlink>
    </w:p>
    <w:p>
      <w:pPr>
        <w:pStyle w:val="TOC2"/>
        <w:tabs>
          <w:tab w:val="right" w:leader="dot" w:pos="8306"/>
        </w:tabs>
      </w:pPr>
      <w:hyperlink w:anchor="_Toc13939" w:history="1">
        <w:r>
          <w:rPr>
            <w:rFonts w:ascii="仿宋" w:eastAsia="仿宋" w:hAnsi="仿宋" w:cs="仿宋" w:hint="eastAsia"/>
            <w:lang w:eastAsia="zh-CN"/>
          </w:rPr>
          <w:t>(一)、技术创新的目标和途径</w:t>
        </w:r>
        <w:r>
          <w:tab/>
        </w:r>
        <w:r>
          <w:fldChar w:fldCharType="begin"/>
        </w:r>
        <w:r>
          <w:instrText xml:space="preserve"> PAGEREF _Toc13939 \h </w:instrText>
        </w:r>
        <w:r>
          <w:fldChar w:fldCharType="separate"/>
        </w:r>
        <w:r>
          <w:t>21</w:t>
        </w:r>
        <w:r>
          <w:fldChar w:fldCharType="end"/>
        </w:r>
      </w:hyperlink>
    </w:p>
    <w:p>
      <w:pPr>
        <w:pStyle w:val="TOC2"/>
        <w:tabs>
          <w:tab w:val="right" w:leader="dot" w:pos="8306"/>
        </w:tabs>
      </w:pPr>
      <w:hyperlink w:anchor="_Toc30214" w:history="1">
        <w:r>
          <w:rPr>
            <w:rFonts w:ascii="仿宋" w:eastAsia="仿宋" w:hAnsi="仿宋" w:cs="仿宋" w:hint="eastAsia"/>
            <w:lang w:eastAsia="zh-CN"/>
          </w:rPr>
          <w:t>(二)、研发成果转化的流程和机制</w:t>
        </w:r>
        <w:r>
          <w:tab/>
        </w:r>
        <w:r>
          <w:fldChar w:fldCharType="begin"/>
        </w:r>
        <w:r>
          <w:instrText xml:space="preserve"> PAGEREF _Toc30214 \h </w:instrText>
        </w:r>
        <w:r>
          <w:fldChar w:fldCharType="separate"/>
        </w:r>
        <w:r>
          <w:t>22</w:t>
        </w:r>
        <w:r>
          <w:fldChar w:fldCharType="end"/>
        </w:r>
      </w:hyperlink>
    </w:p>
    <w:p>
      <w:pPr>
        <w:pStyle w:val="TOC2"/>
        <w:tabs>
          <w:tab w:val="right" w:leader="dot" w:pos="8306"/>
        </w:tabs>
      </w:pPr>
      <w:hyperlink w:anchor="_Toc6711" w:history="1">
        <w:r>
          <w:rPr>
            <w:rFonts w:ascii="仿宋" w:eastAsia="仿宋" w:hAnsi="仿宋" w:cs="仿宋" w:hint="eastAsia"/>
            <w:lang w:eastAsia="zh-CN"/>
          </w:rPr>
          <w:t>(三)、技术创新和研发成果转化的风险控制</w:t>
        </w:r>
        <w:r>
          <w:tab/>
        </w:r>
        <w:r>
          <w:fldChar w:fldCharType="begin"/>
        </w:r>
        <w:r>
          <w:instrText xml:space="preserve"> PAGEREF _Toc6711 \h </w:instrText>
        </w:r>
        <w:r>
          <w:fldChar w:fldCharType="separate"/>
        </w:r>
        <w:r>
          <w:t>23</w:t>
        </w:r>
        <w:r>
          <w:fldChar w:fldCharType="end"/>
        </w:r>
      </w:hyperlink>
    </w:p>
    <w:p>
      <w:pPr>
        <w:pStyle w:val="TOC1"/>
        <w:tabs>
          <w:tab w:val="right" w:leader="dot" w:pos="8306"/>
        </w:tabs>
      </w:pPr>
      <w:hyperlink w:anchor="_Toc18841" w:history="1">
        <w:r>
          <w:rPr>
            <w:rFonts w:ascii="仿宋" w:eastAsia="仿宋" w:hAnsi="仿宋" w:cs="仿宋" w:hint="eastAsia"/>
            <w:lang w:eastAsia="zh-CN"/>
          </w:rPr>
          <w:t>九、社会投资和慈善计划</w:t>
        </w:r>
        <w:r>
          <w:tab/>
        </w:r>
        <w:r>
          <w:fldChar w:fldCharType="begin"/>
        </w:r>
        <w:r>
          <w:instrText xml:space="preserve"> PAGEREF _Toc18841 \h </w:instrText>
        </w:r>
        <w:r>
          <w:fldChar w:fldCharType="separate"/>
        </w:r>
        <w:r>
          <w:t>25</w:t>
        </w:r>
        <w:r>
          <w:fldChar w:fldCharType="end"/>
        </w:r>
      </w:hyperlink>
    </w:p>
    <w:p>
      <w:pPr>
        <w:pStyle w:val="TOC2"/>
        <w:tabs>
          <w:tab w:val="right" w:leader="dot" w:pos="8306"/>
        </w:tabs>
      </w:pPr>
      <w:hyperlink w:anchor="_Toc22919" w:history="1">
        <w:r>
          <w:rPr>
            <w:rFonts w:ascii="仿宋" w:eastAsia="仿宋" w:hAnsi="仿宋" w:cs="仿宋" w:hint="eastAsia"/>
            <w:lang w:eastAsia="zh-CN"/>
          </w:rPr>
          <w:t>(一)、社会责任投资和捐赠计划</w:t>
        </w:r>
        <w:r>
          <w:tab/>
        </w:r>
        <w:r>
          <w:fldChar w:fldCharType="begin"/>
        </w:r>
        <w:r>
          <w:instrText xml:space="preserve"> PAGEREF _Toc22919 \h </w:instrText>
        </w:r>
        <w:r>
          <w:fldChar w:fldCharType="separate"/>
        </w:r>
        <w:r>
          <w:t>25</w:t>
        </w:r>
        <w:r>
          <w:fldChar w:fldCharType="end"/>
        </w:r>
      </w:hyperlink>
    </w:p>
    <w:p>
      <w:pPr>
        <w:pStyle w:val="TOC2"/>
        <w:tabs>
          <w:tab w:val="right" w:leader="dot" w:pos="8306"/>
        </w:tabs>
      </w:pPr>
      <w:hyperlink w:anchor="_Toc14765" w:history="1">
        <w:r>
          <w:rPr>
            <w:rFonts w:ascii="仿宋" w:eastAsia="仿宋" w:hAnsi="仿宋" w:cs="仿宋" w:hint="eastAsia"/>
            <w:lang w:eastAsia="zh-CN"/>
          </w:rPr>
          <w:t>(二)、社会慈善核苷类药物项目的可行性</w:t>
        </w:r>
        <w:r>
          <w:tab/>
        </w:r>
        <w:r>
          <w:fldChar w:fldCharType="begin"/>
        </w:r>
        <w:r>
          <w:instrText xml:space="preserve"> PAGEREF _Toc14765 \h </w:instrText>
        </w:r>
        <w:r>
          <w:fldChar w:fldCharType="separate"/>
        </w:r>
        <w:r>
          <w:t>27</w:t>
        </w:r>
        <w:r>
          <w:fldChar w:fldCharType="end"/>
        </w:r>
      </w:hyperlink>
    </w:p>
    <w:p>
      <w:pPr>
        <w:pStyle w:val="TOC2"/>
        <w:tabs>
          <w:tab w:val="right" w:leader="dot" w:pos="8306"/>
        </w:tabs>
      </w:pPr>
      <w:hyperlink w:anchor="_Toc27352" w:history="1">
        <w:r>
          <w:rPr>
            <w:rFonts w:ascii="仿宋" w:eastAsia="仿宋" w:hAnsi="仿宋" w:cs="仿宋" w:hint="eastAsia"/>
            <w:lang w:eastAsia="zh-CN"/>
          </w:rPr>
          <w:t>(三)、社会影响投资的测量和报告</w:t>
        </w:r>
        <w:r>
          <w:tab/>
        </w:r>
        <w:r>
          <w:fldChar w:fldCharType="begin"/>
        </w:r>
        <w:r>
          <w:instrText xml:space="preserve"> PAGEREF _Toc27352 \h </w:instrText>
        </w:r>
        <w:r>
          <w:fldChar w:fldCharType="separate"/>
        </w:r>
        <w:r>
          <w:t>28</w:t>
        </w:r>
        <w:r>
          <w:fldChar w:fldCharType="end"/>
        </w:r>
      </w:hyperlink>
    </w:p>
    <w:p>
      <w:pPr>
        <w:pStyle w:val="TOC1"/>
        <w:tabs>
          <w:tab w:val="right" w:leader="dot" w:pos="8306"/>
        </w:tabs>
      </w:pPr>
      <w:hyperlink w:anchor="_Toc7734" w:history="1">
        <w:r>
          <w:rPr>
            <w:rFonts w:ascii="仿宋" w:eastAsia="仿宋" w:hAnsi="仿宋" w:cs="仿宋" w:hint="eastAsia"/>
            <w:lang w:eastAsia="zh-CN"/>
          </w:rPr>
          <w:t>十、人力资源管理和开发计划</w:t>
        </w:r>
        <w:r>
          <w:tab/>
        </w:r>
        <w:r>
          <w:fldChar w:fldCharType="begin"/>
        </w:r>
        <w:r>
          <w:instrText xml:space="preserve"> PAGEREF _Toc7734 \h </w:instrText>
        </w:r>
        <w:r>
          <w:fldChar w:fldCharType="separate"/>
        </w:r>
        <w:r>
          <w:t>29</w:t>
        </w:r>
        <w:r>
          <w:fldChar w:fldCharType="end"/>
        </w:r>
      </w:hyperlink>
    </w:p>
    <w:p>
      <w:pPr>
        <w:pStyle w:val="TOC2"/>
        <w:tabs>
          <w:tab w:val="right" w:leader="dot" w:pos="8306"/>
        </w:tabs>
      </w:pPr>
      <w:hyperlink w:anchor="_Toc15472" w:history="1">
        <w:r>
          <w:rPr>
            <w:rFonts w:ascii="仿宋" w:eastAsia="仿宋" w:hAnsi="仿宋" w:cs="仿宋" w:hint="eastAsia"/>
            <w:lang w:eastAsia="zh-CN"/>
          </w:rPr>
          <w:t>(一)、人力资源管理的目标和原则</w:t>
        </w:r>
        <w:r>
          <w:tab/>
        </w:r>
        <w:r>
          <w:fldChar w:fldCharType="begin"/>
        </w:r>
        <w:r>
          <w:instrText xml:space="preserve"> PAGEREF _Toc15472 \h </w:instrText>
        </w:r>
        <w:r>
          <w:fldChar w:fldCharType="separate"/>
        </w:r>
        <w:r>
          <w:t>29</w:t>
        </w:r>
        <w:r>
          <w:fldChar w:fldCharType="end"/>
        </w:r>
      </w:hyperlink>
    </w:p>
    <w:p>
      <w:pPr>
        <w:pStyle w:val="TOC2"/>
        <w:tabs>
          <w:tab w:val="right" w:leader="dot" w:pos="8306"/>
        </w:tabs>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hyperlink w:anchor="_Toc20979" w:history="1">
        <w:r>
          <w:rPr>
            <w:rFonts w:ascii="仿宋" w:eastAsia="仿宋" w:hAnsi="仿宋" w:cs="仿宋" w:hint="eastAsia"/>
            <w:lang w:eastAsia="zh-CN"/>
          </w:rPr>
          <w:t>(二)、人力资源开发的方案和实施</w:t>
        </w:r>
        <w:r>
          <w:tab/>
        </w:r>
        <w:r>
          <w:fldChar w:fldCharType="begin"/>
        </w:r>
        <w:r>
          <w:instrText xml:space="preserve"> PAGEREF _Toc20979 \h </w:instrText>
        </w:r>
        <w:r>
          <w:fldChar w:fldCharType="separate"/>
        </w:r>
        <w:r>
          <w:t>31</w:t>
        </w:r>
        <w:r>
          <w:fldChar w:fldCharType="end"/>
        </w:r>
      </w:hyperlink>
    </w:p>
    <w:p>
      <w:pPr>
        <w:pStyle w:val="TOC2"/>
        <w:tabs>
          <w:tab w:val="right" w:leader="dot" w:pos="8306"/>
        </w:tabs>
      </w:pPr>
      <w:hyperlink w:anchor="_Toc13634" w:history="1">
        <w:r>
          <w:rPr>
            <w:rFonts w:ascii="仿宋" w:eastAsia="仿宋" w:hAnsi="仿宋" w:cs="仿宋" w:hint="eastAsia"/>
            <w:lang w:eastAsia="zh-CN"/>
          </w:rPr>
          <w:t>(三)、人力资源考核和激励机制的建立</w:t>
        </w:r>
        <w:r>
          <w:tab/>
        </w:r>
        <w:r>
          <w:fldChar w:fldCharType="begin"/>
        </w:r>
        <w:r>
          <w:instrText xml:space="preserve"> PAGEREF _Toc13634 \h </w:instrText>
        </w:r>
        <w:r>
          <w:fldChar w:fldCharType="separate"/>
        </w:r>
        <w:r>
          <w:t>32</w:t>
        </w:r>
        <w:r>
          <w:fldChar w:fldCharType="end"/>
        </w:r>
      </w:hyperlink>
    </w:p>
    <w:p>
      <w:pPr>
        <w:pStyle w:val="TOC1"/>
        <w:tabs>
          <w:tab w:val="right" w:leader="dot" w:pos="8306"/>
        </w:tabs>
      </w:pPr>
      <w:hyperlink w:anchor="_Toc635" w:history="1">
        <w:r>
          <w:rPr>
            <w:rFonts w:ascii="仿宋" w:eastAsia="仿宋" w:hAnsi="仿宋" w:cs="仿宋" w:hint="eastAsia"/>
            <w:lang w:eastAsia="zh-CN"/>
          </w:rPr>
          <w:t>十一、团队协作和沟通管理</w:t>
        </w:r>
        <w:r>
          <w:tab/>
        </w:r>
        <w:r>
          <w:fldChar w:fldCharType="begin"/>
        </w:r>
        <w:r>
          <w:instrText xml:space="preserve"> PAGEREF _Toc635 \h </w:instrText>
        </w:r>
        <w:r>
          <w:fldChar w:fldCharType="separate"/>
        </w:r>
        <w:r>
          <w:t>34</w:t>
        </w:r>
        <w:r>
          <w:fldChar w:fldCharType="end"/>
        </w:r>
      </w:hyperlink>
    </w:p>
    <w:p>
      <w:pPr>
        <w:pStyle w:val="TOC2"/>
        <w:tabs>
          <w:tab w:val="right" w:leader="dot" w:pos="8306"/>
        </w:tabs>
      </w:pPr>
      <w:hyperlink w:anchor="_Toc19792" w:history="1">
        <w:r>
          <w:rPr>
            <w:rFonts w:ascii="仿宋" w:eastAsia="仿宋" w:hAnsi="仿宋" w:cs="仿宋" w:hint="eastAsia"/>
            <w:lang w:eastAsia="zh-CN"/>
          </w:rPr>
          <w:t>(一)、核苷类药物项目团队协作和合作方式</w:t>
        </w:r>
        <w:r>
          <w:tab/>
        </w:r>
        <w:r>
          <w:fldChar w:fldCharType="begin"/>
        </w:r>
        <w:r>
          <w:instrText xml:space="preserve"> PAGEREF _Toc19792 \h </w:instrText>
        </w:r>
        <w:r>
          <w:fldChar w:fldCharType="separate"/>
        </w:r>
        <w:r>
          <w:t>34</w:t>
        </w:r>
        <w:r>
          <w:fldChar w:fldCharType="end"/>
        </w:r>
      </w:hyperlink>
    </w:p>
    <w:p>
      <w:pPr>
        <w:pStyle w:val="TOC2"/>
        <w:tabs>
          <w:tab w:val="right" w:leader="dot" w:pos="8306"/>
        </w:tabs>
      </w:pPr>
      <w:hyperlink w:anchor="_Toc593" w:history="1">
        <w:r>
          <w:rPr>
            <w:rFonts w:ascii="仿宋" w:eastAsia="仿宋" w:hAnsi="仿宋" w:cs="仿宋" w:hint="eastAsia"/>
            <w:lang w:eastAsia="zh-CN"/>
          </w:rPr>
          <w:t>(二)、沟通机制和信息共享方式</w:t>
        </w:r>
        <w:r>
          <w:tab/>
        </w:r>
        <w:r>
          <w:fldChar w:fldCharType="begin"/>
        </w:r>
        <w:r>
          <w:instrText xml:space="preserve"> PAGEREF _Toc593 \h </w:instrText>
        </w:r>
        <w:r>
          <w:fldChar w:fldCharType="separate"/>
        </w:r>
        <w:r>
          <w:t>35</w:t>
        </w:r>
        <w:r>
          <w:fldChar w:fldCharType="end"/>
        </w:r>
      </w:hyperlink>
    </w:p>
    <w:p>
      <w:pPr>
        <w:pStyle w:val="TOC2"/>
        <w:tabs>
          <w:tab w:val="right" w:leader="dot" w:pos="8306"/>
        </w:tabs>
      </w:pPr>
      <w:hyperlink w:anchor="_Toc32104" w:history="1">
        <w:r>
          <w:rPr>
            <w:rFonts w:ascii="仿宋" w:eastAsia="仿宋" w:hAnsi="仿宋" w:cs="仿宋" w:hint="eastAsia"/>
            <w:lang w:eastAsia="zh-CN"/>
          </w:rPr>
          <w:t>(三)、团队建设和人员激励措施</w:t>
        </w:r>
        <w:r>
          <w:tab/>
        </w:r>
        <w:r>
          <w:fldChar w:fldCharType="begin"/>
        </w:r>
        <w:r>
          <w:instrText xml:space="preserve"> PAGEREF _Toc32104 \h </w:instrText>
        </w:r>
        <w:r>
          <w:fldChar w:fldCharType="separate"/>
        </w:r>
        <w:r>
          <w:t>36</w:t>
        </w:r>
        <w:r>
          <w:fldChar w:fldCharType="end"/>
        </w:r>
      </w:hyperlink>
    </w:p>
    <w:p>
      <w:pPr>
        <w:pStyle w:val="TOC1"/>
        <w:tabs>
          <w:tab w:val="right" w:leader="dot" w:pos="8306"/>
        </w:tabs>
      </w:pPr>
      <w:hyperlink w:anchor="_Toc21116" w:history="1">
        <w:r>
          <w:rPr>
            <w:rFonts w:ascii="仿宋" w:eastAsia="仿宋" w:hAnsi="仿宋" w:cs="仿宋" w:hint="eastAsia"/>
            <w:lang w:eastAsia="zh-CN"/>
          </w:rPr>
          <w:t>十二、研究结论与建议</w:t>
        </w:r>
        <w:r>
          <w:tab/>
        </w:r>
        <w:r>
          <w:fldChar w:fldCharType="begin"/>
        </w:r>
        <w:r>
          <w:instrText xml:space="preserve"> PAGEREF _Toc21116 \h </w:instrText>
        </w:r>
        <w:r>
          <w:fldChar w:fldCharType="separate"/>
        </w:r>
        <w:r>
          <w:t>37</w:t>
        </w:r>
        <w:r>
          <w:fldChar w:fldCharType="end"/>
        </w:r>
      </w:hyperlink>
    </w:p>
    <w:p>
      <w:pPr>
        <w:pStyle w:val="TOC2"/>
        <w:tabs>
          <w:tab w:val="right" w:leader="dot" w:pos="8306"/>
        </w:tabs>
      </w:pPr>
      <w:hyperlink w:anchor="_Toc1896" w:history="1">
        <w:r>
          <w:rPr>
            <w:rFonts w:ascii="仿宋" w:eastAsia="仿宋" w:hAnsi="仿宋" w:cs="仿宋" w:hint="eastAsia"/>
            <w:lang w:eastAsia="zh-CN"/>
          </w:rPr>
          <w:t>(一)、研究结论</w:t>
        </w:r>
        <w:r>
          <w:tab/>
        </w:r>
        <w:r>
          <w:fldChar w:fldCharType="begin"/>
        </w:r>
        <w:r>
          <w:instrText xml:space="preserve"> PAGEREF _Toc1896 \h </w:instrText>
        </w:r>
        <w:r>
          <w:fldChar w:fldCharType="separate"/>
        </w:r>
        <w:r>
          <w:t>37</w:t>
        </w:r>
        <w:r>
          <w:fldChar w:fldCharType="end"/>
        </w:r>
      </w:hyperlink>
    </w:p>
    <w:p>
      <w:pPr>
        <w:pStyle w:val="TOC2"/>
        <w:tabs>
          <w:tab w:val="right" w:leader="dot" w:pos="8306"/>
        </w:tabs>
      </w:pPr>
      <w:hyperlink w:anchor="_Toc30363" w:history="1">
        <w:r>
          <w:rPr>
            <w:rFonts w:ascii="仿宋" w:eastAsia="仿宋" w:hAnsi="仿宋" w:cs="仿宋" w:hint="eastAsia"/>
            <w:lang w:eastAsia="zh-CN"/>
          </w:rPr>
          <w:t>(二)、建议与展望</w:t>
        </w:r>
        <w:r>
          <w:tab/>
        </w:r>
        <w:r>
          <w:fldChar w:fldCharType="begin"/>
        </w:r>
        <w:r>
          <w:instrText xml:space="preserve"> PAGEREF _Toc30363 \h </w:instrText>
        </w:r>
        <w:r>
          <w:fldChar w:fldCharType="separate"/>
        </w:r>
        <w:r>
          <w:t>38</w:t>
        </w:r>
        <w:r>
          <w:fldChar w:fldCharType="end"/>
        </w:r>
      </w:hyperlink>
    </w:p>
    <w:p>
      <w:pPr>
        <w:pStyle w:val="TOC1"/>
        <w:tabs>
          <w:tab w:val="right" w:leader="dot" w:pos="8306"/>
        </w:tabs>
      </w:pPr>
      <w:hyperlink w:anchor="_Toc16329" w:history="1">
        <w:r>
          <w:rPr>
            <w:rFonts w:ascii="仿宋" w:eastAsia="仿宋" w:hAnsi="仿宋" w:cs="仿宋" w:hint="eastAsia"/>
            <w:lang w:eastAsia="zh-CN"/>
          </w:rPr>
          <w:t>十三、供应链管理和合作伙伴选择</w:t>
        </w:r>
        <w:r>
          <w:tab/>
        </w:r>
        <w:r>
          <w:fldChar w:fldCharType="begin"/>
        </w:r>
        <w:r>
          <w:instrText xml:space="preserve"> PAGEREF _Toc16329 \h </w:instrText>
        </w:r>
        <w:r>
          <w:fldChar w:fldCharType="separate"/>
        </w:r>
        <w:r>
          <w:t>40</w:t>
        </w:r>
        <w:r>
          <w:fldChar w:fldCharType="end"/>
        </w:r>
      </w:hyperlink>
    </w:p>
    <w:p>
      <w:pPr>
        <w:pStyle w:val="TOC2"/>
        <w:tabs>
          <w:tab w:val="right" w:leader="dot" w:pos="8306"/>
        </w:tabs>
      </w:pPr>
      <w:hyperlink w:anchor="_Toc7645" w:history="1">
        <w:r>
          <w:rPr>
            <w:rFonts w:ascii="仿宋" w:eastAsia="仿宋" w:hAnsi="仿宋" w:cs="仿宋" w:hint="eastAsia"/>
            <w:lang w:eastAsia="zh-CN"/>
          </w:rPr>
          <w:t>(一)、供应链管理和合作伙伴关系概述</w:t>
        </w:r>
        <w:r>
          <w:tab/>
        </w:r>
        <w:r>
          <w:fldChar w:fldCharType="begin"/>
        </w:r>
        <w:r>
          <w:instrText xml:space="preserve"> PAGEREF _Toc7645 \h </w:instrText>
        </w:r>
        <w:r>
          <w:fldChar w:fldCharType="separate"/>
        </w:r>
        <w:r>
          <w:t>40</w:t>
        </w:r>
        <w:r>
          <w:fldChar w:fldCharType="end"/>
        </w:r>
      </w:hyperlink>
    </w:p>
    <w:p>
      <w:pPr>
        <w:pStyle w:val="TOC2"/>
        <w:tabs>
          <w:tab w:val="right" w:leader="dot" w:pos="8306"/>
        </w:tabs>
      </w:pPr>
      <w:hyperlink w:anchor="_Toc7421" w:history="1">
        <w:r>
          <w:rPr>
            <w:rFonts w:ascii="仿宋" w:eastAsia="仿宋" w:hAnsi="仿宋" w:cs="仿宋" w:hint="eastAsia"/>
            <w:lang w:eastAsia="zh-CN"/>
          </w:rPr>
          <w:t>(二)、供应商选择和评估标准</w:t>
        </w:r>
        <w:r>
          <w:tab/>
        </w:r>
        <w:r>
          <w:fldChar w:fldCharType="begin"/>
        </w:r>
        <w:r>
          <w:instrText xml:space="preserve"> PAGEREF _Toc7421 \h </w:instrText>
        </w:r>
        <w:r>
          <w:fldChar w:fldCharType="separate"/>
        </w:r>
        <w:r>
          <w:t>41</w:t>
        </w:r>
        <w:r>
          <w:fldChar w:fldCharType="end"/>
        </w:r>
      </w:hyperlink>
    </w:p>
    <w:p>
      <w:pPr>
        <w:pStyle w:val="TOC2"/>
        <w:tabs>
          <w:tab w:val="right" w:leader="dot" w:pos="8306"/>
        </w:tabs>
      </w:pPr>
      <w:hyperlink w:anchor="_Toc16630" w:history="1">
        <w:r>
          <w:rPr>
            <w:rFonts w:ascii="仿宋" w:eastAsia="仿宋" w:hAnsi="仿宋" w:cs="仿宋" w:hint="eastAsia"/>
            <w:lang w:eastAsia="zh-CN"/>
          </w:rPr>
          <w:t>(三)、物流和运输方案</w:t>
        </w:r>
        <w:r>
          <w:tab/>
        </w:r>
        <w:r>
          <w:fldChar w:fldCharType="begin"/>
        </w:r>
        <w:r>
          <w:instrText xml:space="preserve"> PAGEREF _Toc16630 \h </w:instrText>
        </w:r>
        <w:r>
          <w:fldChar w:fldCharType="separate"/>
        </w:r>
        <w:r>
          <w:t>42</w:t>
        </w:r>
        <w:r>
          <w:fldChar w:fldCharType="end"/>
        </w:r>
      </w:hyperlink>
    </w:p>
    <w:p>
      <w:pPr>
        <w:pStyle w:val="TOC1"/>
        <w:tabs>
          <w:tab w:val="right" w:leader="dot" w:pos="8306"/>
        </w:tabs>
      </w:pPr>
      <w:hyperlink w:anchor="_Toc26796" w:history="1">
        <w:r>
          <w:rPr>
            <w:rFonts w:ascii="仿宋" w:eastAsia="仿宋" w:hAnsi="仿宋" w:cs="仿宋" w:hint="eastAsia"/>
            <w:lang w:eastAsia="zh-CN"/>
          </w:rPr>
          <w:t>十四、企业社会责任和公益活动</w:t>
        </w:r>
        <w:r>
          <w:tab/>
        </w:r>
        <w:r>
          <w:fldChar w:fldCharType="begin"/>
        </w:r>
        <w:r>
          <w:instrText xml:space="preserve"> PAGEREF _Toc26796 \h </w:instrText>
        </w:r>
        <w:r>
          <w:fldChar w:fldCharType="separate"/>
        </w:r>
        <w:r>
          <w:t>44</w:t>
        </w:r>
        <w:r>
          <w:fldChar w:fldCharType="end"/>
        </w:r>
      </w:hyperlink>
    </w:p>
    <w:p>
      <w:pPr>
        <w:pStyle w:val="TOC2"/>
        <w:tabs>
          <w:tab w:val="right" w:leader="dot" w:pos="8306"/>
        </w:tabs>
      </w:pPr>
      <w:hyperlink w:anchor="_Toc3990" w:history="1">
        <w:r>
          <w:rPr>
            <w:rFonts w:ascii="仿宋" w:eastAsia="仿宋" w:hAnsi="仿宋" w:cs="仿宋" w:hint="eastAsia"/>
            <w:lang w:eastAsia="zh-CN"/>
          </w:rPr>
          <w:t>(一)、企业社会责任的内涵和履行</w:t>
        </w:r>
        <w:r>
          <w:tab/>
        </w:r>
        <w:r>
          <w:fldChar w:fldCharType="begin"/>
        </w:r>
        <w:r>
          <w:instrText xml:space="preserve"> PAGEREF _Toc3990 \h </w:instrText>
        </w:r>
        <w:r>
          <w:fldChar w:fldCharType="separate"/>
        </w:r>
        <w:r>
          <w:t>44</w:t>
        </w:r>
        <w:r>
          <w:fldChar w:fldCharType="end"/>
        </w:r>
      </w:hyperlink>
    </w:p>
    <w:p>
      <w:pPr>
        <w:pStyle w:val="TOC2"/>
        <w:tabs>
          <w:tab w:val="right" w:leader="dot" w:pos="8306"/>
        </w:tabs>
      </w:pPr>
      <w:hyperlink w:anchor="_Toc30183" w:history="1">
        <w:r>
          <w:rPr>
            <w:rFonts w:ascii="仿宋" w:eastAsia="仿宋" w:hAnsi="仿宋" w:cs="仿宋" w:hint="eastAsia"/>
            <w:lang w:eastAsia="zh-CN"/>
          </w:rPr>
          <w:t>(二)、公益活动的策划和实施</w:t>
        </w:r>
        <w:r>
          <w:tab/>
        </w:r>
        <w:r>
          <w:fldChar w:fldCharType="begin"/>
        </w:r>
        <w:r>
          <w:instrText xml:space="preserve"> PAGEREF _Toc30183 \h </w:instrText>
        </w:r>
        <w:r>
          <w:fldChar w:fldCharType="separate"/>
        </w:r>
        <w:r>
          <w:t>45</w:t>
        </w:r>
        <w:r>
          <w:fldChar w:fldCharType="end"/>
        </w:r>
      </w:hyperlink>
    </w:p>
    <w:p>
      <w:pPr>
        <w:pStyle w:val="TOC2"/>
        <w:tabs>
          <w:tab w:val="right" w:leader="dot" w:pos="8306"/>
        </w:tabs>
      </w:pPr>
      <w:hyperlink w:anchor="_Toc21051" w:history="1">
        <w:r>
          <w:rPr>
            <w:rFonts w:ascii="仿宋" w:eastAsia="仿宋" w:hAnsi="仿宋" w:cs="仿宋" w:hint="eastAsia"/>
            <w:lang w:eastAsia="zh-CN"/>
          </w:rPr>
          <w:t>(三)、企业社会责任和公益活动的宣传和推广</w:t>
        </w:r>
        <w:r>
          <w:tab/>
        </w:r>
        <w:r>
          <w:fldChar w:fldCharType="begin"/>
        </w:r>
        <w:r>
          <w:instrText xml:space="preserve"> PAGEREF _Toc21051 \h </w:instrText>
        </w:r>
        <w:r>
          <w:fldChar w:fldCharType="separate"/>
        </w:r>
        <w:r>
          <w:t>46</w:t>
        </w:r>
        <w:r>
          <w:fldChar w:fldCharType="end"/>
        </w:r>
      </w:hyperlink>
    </w:p>
    <w:p>
      <w:pPr>
        <w:pStyle w:val="TOC1"/>
        <w:tabs>
          <w:tab w:val="right" w:leader="dot" w:pos="8306"/>
        </w:tabs>
      </w:pPr>
      <w:hyperlink w:anchor="_Toc28184" w:history="1">
        <w:r>
          <w:rPr>
            <w:rFonts w:ascii="仿宋" w:eastAsia="仿宋" w:hAnsi="仿宋" w:cs="仿宋" w:hint="eastAsia"/>
            <w:lang w:eastAsia="zh-CN"/>
          </w:rPr>
          <w:t>十五、环境影响评价和环保措施</w:t>
        </w:r>
        <w:r>
          <w:tab/>
        </w:r>
        <w:r>
          <w:fldChar w:fldCharType="begin"/>
        </w:r>
        <w:r>
          <w:instrText xml:space="preserve"> PAGEREF _Toc28184 \h </w:instrText>
        </w:r>
        <w:r>
          <w:fldChar w:fldCharType="separate"/>
        </w:r>
        <w:r>
          <w:t>48</w:t>
        </w:r>
        <w:r>
          <w:fldChar w:fldCharType="end"/>
        </w:r>
      </w:hyperlink>
    </w:p>
    <w:p>
      <w:pPr>
        <w:pStyle w:val="TOC2"/>
        <w:tabs>
          <w:tab w:val="right" w:leader="dot" w:pos="8306"/>
        </w:tabs>
      </w:pPr>
      <w:hyperlink w:anchor="_Toc11238" w:history="1">
        <w:r>
          <w:rPr>
            <w:rFonts w:ascii="仿宋" w:eastAsia="仿宋" w:hAnsi="仿宋" w:cs="仿宋" w:hint="eastAsia"/>
            <w:lang w:eastAsia="zh-CN"/>
          </w:rPr>
          <w:t>(一)、环境影响评价的程序和方法</w:t>
        </w:r>
        <w:r>
          <w:tab/>
        </w:r>
        <w:r>
          <w:fldChar w:fldCharType="begin"/>
        </w:r>
        <w:r>
          <w:instrText xml:space="preserve"> PAGEREF _Toc11238 \h </w:instrText>
        </w:r>
        <w:r>
          <w:fldChar w:fldCharType="separate"/>
        </w:r>
        <w:r>
          <w:t>48</w:t>
        </w:r>
        <w:r>
          <w:fldChar w:fldCharType="end"/>
        </w:r>
      </w:hyperlink>
    </w:p>
    <w:p>
      <w:pPr>
        <w:pStyle w:val="TOC2"/>
        <w:tabs>
          <w:tab w:val="right" w:leader="dot" w:pos="8306"/>
        </w:tabs>
      </w:pPr>
      <w:hyperlink w:anchor="_Toc4726" w:history="1">
        <w:r>
          <w:rPr>
            <w:rFonts w:ascii="仿宋" w:eastAsia="仿宋" w:hAnsi="仿宋" w:cs="仿宋" w:hint="eastAsia"/>
            <w:lang w:eastAsia="zh-CN"/>
          </w:rPr>
          <w:t>(二)、环保措施的制定和实施</w:t>
        </w:r>
        <w:r>
          <w:tab/>
        </w:r>
        <w:r>
          <w:fldChar w:fldCharType="begin"/>
        </w:r>
        <w:r>
          <w:instrText xml:space="preserve"> PAGEREF _Toc4726 \h </w:instrText>
        </w:r>
        <w:r>
          <w:fldChar w:fldCharType="separate"/>
        </w:r>
        <w:r>
          <w:t>50</w:t>
        </w:r>
        <w:r>
          <w:fldChar w:fldCharType="end"/>
        </w:r>
      </w:hyperlink>
    </w:p>
    <w:p>
      <w:pPr>
        <w:pStyle w:val="TOC2"/>
        <w:tabs>
          <w:tab w:val="right" w:leader="dot" w:pos="8306"/>
        </w:tabs>
      </w:pPr>
      <w:hyperlink w:anchor="_Toc16969" w:history="1">
        <w:r>
          <w:rPr>
            <w:rFonts w:ascii="仿宋" w:eastAsia="仿宋" w:hAnsi="仿宋" w:cs="仿宋" w:hint="eastAsia"/>
            <w:lang w:eastAsia="zh-CN"/>
          </w:rPr>
          <w:t>(三)、环境监测和管理机制的建立</w:t>
        </w:r>
        <w:r>
          <w:tab/>
        </w:r>
        <w:r>
          <w:fldChar w:fldCharType="begin"/>
        </w:r>
        <w:r>
          <w:instrText xml:space="preserve"> PAGEREF _Toc16969 \h </w:instrText>
        </w:r>
        <w:r>
          <w:fldChar w:fldCharType="separate"/>
        </w:r>
        <w:r>
          <w:t>52</w:t>
        </w:r>
        <w:r>
          <w:fldChar w:fldCharType="end"/>
        </w:r>
      </w:hyperlink>
    </w:p>
    <w:p>
      <w:pPr>
        <w:pStyle w:val="TOC1"/>
        <w:tabs>
          <w:tab w:val="right" w:leader="dot" w:pos="8306"/>
        </w:tabs>
      </w:pPr>
      <w:hyperlink w:anchor="_Toc32252" w:history="1">
        <w:r>
          <w:rPr>
            <w:rFonts w:ascii="仿宋" w:eastAsia="仿宋" w:hAnsi="仿宋" w:cs="仿宋" w:hint="eastAsia"/>
            <w:lang w:eastAsia="zh-CN"/>
          </w:rPr>
          <w:t>十六、产品定价和销售策略</w:t>
        </w:r>
        <w:r>
          <w:tab/>
        </w:r>
        <w:r>
          <w:fldChar w:fldCharType="begin"/>
        </w:r>
        <w:r>
          <w:instrText xml:space="preserve"> PAGEREF _Toc32252 \h </w:instrText>
        </w:r>
        <w:r>
          <w:fldChar w:fldCharType="separate"/>
        </w:r>
        <w:r>
          <w:t>54</w:t>
        </w:r>
        <w:r>
          <w:fldChar w:fldCharType="end"/>
        </w:r>
      </w:hyperlink>
    </w:p>
    <w:p>
      <w:pPr>
        <w:pStyle w:val="TOC2"/>
        <w:tabs>
          <w:tab w:val="right" w:leader="dot" w:pos="8306"/>
        </w:tabs>
      </w:pPr>
      <w:hyperlink w:anchor="_Toc18512" w:history="1">
        <w:r>
          <w:rPr>
            <w:rFonts w:ascii="仿宋" w:eastAsia="仿宋" w:hAnsi="仿宋" w:cs="仿宋" w:hint="eastAsia"/>
            <w:lang w:eastAsia="zh-CN"/>
          </w:rPr>
          <w:t>(一)、产品定价的原则和策略</w:t>
        </w:r>
        <w:r>
          <w:tab/>
        </w:r>
        <w:r>
          <w:fldChar w:fldCharType="begin"/>
        </w:r>
        <w:r>
          <w:instrText xml:space="preserve"> PAGEREF _Toc18512 \h </w:instrText>
        </w:r>
        <w:r>
          <w:fldChar w:fldCharType="separate"/>
        </w:r>
        <w:r>
          <w:t>54</w:t>
        </w:r>
        <w:r>
          <w:fldChar w:fldCharType="end"/>
        </w:r>
      </w:hyperlink>
    </w:p>
    <w:p>
      <w:pPr>
        <w:pStyle w:val="TOC2"/>
        <w:tabs>
          <w:tab w:val="right" w:leader="dot" w:pos="8306"/>
        </w:tabs>
      </w:pPr>
      <w:hyperlink w:anchor="_Toc5175" w:history="1">
        <w:r>
          <w:rPr>
            <w:rFonts w:ascii="仿宋" w:eastAsia="仿宋" w:hAnsi="仿宋" w:cs="仿宋" w:hint="eastAsia"/>
            <w:lang w:eastAsia="zh-CN"/>
          </w:rPr>
          <w:t>(二)、销售渠道的选择和拓展</w:t>
        </w:r>
        <w:r>
          <w:tab/>
        </w:r>
        <w:r>
          <w:fldChar w:fldCharType="begin"/>
        </w:r>
        <w:r>
          <w:instrText xml:space="preserve"> PAGEREF _Toc5175 \h </w:instrText>
        </w:r>
        <w:r>
          <w:fldChar w:fldCharType="separate"/>
        </w:r>
        <w:r>
          <w:t>55</w:t>
        </w:r>
        <w:r>
          <w:fldChar w:fldCharType="end"/>
        </w:r>
      </w:hyperlink>
    </w:p>
    <w:p>
      <w:pPr>
        <w:pStyle w:val="TOC2"/>
        <w:tabs>
          <w:tab w:val="right" w:leader="dot" w:pos="8306"/>
        </w:tabs>
      </w:pPr>
      <w:hyperlink w:anchor="_Toc1612" w:history="1">
        <w:r>
          <w:rPr>
            <w:rFonts w:ascii="仿宋" w:eastAsia="仿宋" w:hAnsi="仿宋" w:cs="仿宋" w:hint="eastAsia"/>
            <w:lang w:eastAsia="zh-CN"/>
          </w:rPr>
          <w:t>(三)、销售促进和营销活动的策划和实施</w:t>
        </w:r>
        <w:r>
          <w:tab/>
        </w:r>
        <w:r>
          <w:fldChar w:fldCharType="begin"/>
        </w:r>
        <w:r>
          <w:instrText xml:space="preserve"> PAGEREF _Toc1612 \h </w:instrText>
        </w:r>
        <w:r>
          <w:fldChar w:fldCharType="separate"/>
        </w:r>
        <w:r>
          <w:t>57</w:t>
        </w:r>
        <w:r>
          <w:fldChar w:fldCharType="end"/>
        </w:r>
      </w:hyperlink>
    </w:p>
    <w:p>
      <w:p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0"/>
      <w:r>
        <w:rPr>
          <w:rFonts w:ascii="仿宋" w:eastAsia="仿宋" w:hAnsi="仿宋" w:cs="仿宋" w:hint="eastAsia"/>
          <w:lang w:eastAsia="zh-CN"/>
        </w:rPr>
        <w:t>概述</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研究的主要目的是评估核苷类药物行业的可行性，深入了解该行业的各个方面，并提供有关如何应对当前和未来挑战的建议。我们将对核苷类药物生产过程、市场需求、竞争格局、环境影响、技术趋势以及法规合规性等多个方面进行全面研究和分析。</w:t>
      </w:r>
    </w:p>
    <w:p>
      <w:pPr>
        <w:pStyle w:val="Heading1"/>
        <w:ind w:firstLine="560" w:firstLineChars="200"/>
        <w:rPr>
          <w:rFonts w:ascii="仿宋" w:eastAsia="仿宋" w:hAnsi="仿宋" w:cs="仿宋" w:hint="eastAsia"/>
          <w:sz w:val="28"/>
          <w:lang w:eastAsia="zh-CN"/>
        </w:rPr>
      </w:pPr>
      <w:bookmarkStart w:id="2" w:name="_Toc20914"/>
      <w:r>
        <w:rPr>
          <w:rFonts w:ascii="仿宋" w:eastAsia="仿宋" w:hAnsi="仿宋" w:cs="仿宋" w:hint="eastAsia"/>
          <w:sz w:val="28"/>
          <w:lang w:eastAsia="zh-CN"/>
        </w:rPr>
        <w:t>一、核苷类药物项目选址科学性分析</w:t>
      </w:r>
      <w:bookmarkEnd w:id="2"/>
    </w:p>
    <w:p>
      <w:pPr>
        <w:pStyle w:val="Heading2"/>
        <w:rPr>
          <w:rFonts w:ascii="仿宋" w:eastAsia="仿宋" w:hAnsi="仿宋" w:cs="仿宋" w:hint="eastAsia"/>
          <w:lang w:eastAsia="zh-CN"/>
        </w:rPr>
      </w:pPr>
      <w:bookmarkStart w:id="3" w:name="_Toc1740"/>
      <w:r>
        <w:rPr>
          <w:rFonts w:ascii="仿宋" w:eastAsia="仿宋" w:hAnsi="仿宋" w:cs="仿宋" w:hint="eastAsia"/>
          <w:lang w:eastAsia="zh-CN"/>
        </w:rPr>
        <w:t>(一)、核苷类药物项目厂址的选择原则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核苷类药物生产项目属于核苷类药物行业，项目对其工艺流程、 工程设施都有较为严格的标准化要求，建设核苷类药物项目厂址的选择一般应遵循以下原则：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1、符合城乡建设总体规划，应符合(建设地)工业核苷类药物项目占地使用规划的要求，并与大气污染防治、水资源和自然生态保护相一致。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2、所选厂址应避开自然保护区、风景名胜区、生活饮用水源地和其它特别需要保护的敏感性目标。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3、节约土地资源，充分利用空闲地、非耕地或荒地，尽可能不占良田或少占耕地。</w:t>
      </w:r>
    </w:p>
    <w:p>
      <w:pPr>
        <w:ind w:firstLine="560" w:firstLineChars="200"/>
        <w:rPr>
          <w:rFonts w:ascii="仿宋" w:eastAsia="仿宋" w:hAnsi="仿宋" w:cs="仿宋" w:hint="eastAsia"/>
          <w:sz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4、应与居民区及环境污染敏感点有足够的防护距离。</w:t>
      </w:r>
    </w:p>
    <w:p>
      <w:pPr>
        <w:pStyle w:val="Heading2"/>
        <w:ind w:firstLine="560" w:firstLineChars="200"/>
        <w:rPr>
          <w:rFonts w:ascii="仿宋" w:eastAsia="仿宋" w:hAnsi="仿宋" w:cs="仿宋" w:hint="eastAsia"/>
          <w:sz w:val="28"/>
          <w:lang w:eastAsia="zh-CN"/>
        </w:rPr>
      </w:pPr>
      <w:bookmarkStart w:id="4" w:name="_Toc19213"/>
      <w:r>
        <w:rPr>
          <w:rFonts w:ascii="仿宋" w:eastAsia="仿宋" w:hAnsi="仿宋" w:cs="仿宋" w:hint="eastAsia"/>
          <w:sz w:val="28"/>
          <w:lang w:eastAsia="zh-CN"/>
        </w:rPr>
        <w:t>(二)、核苷类药物项目区概况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核苷类药物项目选址介绍的实际情况，核苷类药物项目区周边拥有一些重要的基础设施，例如高速公路、铁路和机场，交通非常便利。此外，核苷类药物项目区还拥有丰富的自然资源，包括水资源和森林资源，这些资源为核苷类药物项目的建设和运营提供了必要的支持。</w:t>
      </w:r>
    </w:p>
    <w:p>
      <w:pPr>
        <w:pStyle w:val="Heading2"/>
        <w:ind w:firstLine="560" w:firstLineChars="200"/>
        <w:rPr>
          <w:rFonts w:ascii="仿宋" w:eastAsia="仿宋" w:hAnsi="仿宋" w:cs="仿宋" w:hint="eastAsia"/>
          <w:sz w:val="28"/>
          <w:lang w:eastAsia="zh-CN"/>
        </w:rPr>
      </w:pPr>
      <w:bookmarkStart w:id="5" w:name="_Toc11665"/>
      <w:r>
        <w:rPr>
          <w:rFonts w:ascii="仿宋" w:eastAsia="仿宋" w:hAnsi="仿宋" w:cs="仿宋" w:hint="eastAsia"/>
          <w:sz w:val="28"/>
          <w:lang w:eastAsia="zh-CN"/>
        </w:rPr>
        <w:t>(三)、核苷类药物厂址选择方案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计划承办新建核苷类药物项目，选址在XXXX开发区，该区域属于工业核苷类药物项目建设占地规划区。核苷类药物项目选址符合《(建设地)土地总体利用规划》要求，区域资源丰富，地理位置优越，交通便利。核苷类药物项目遵循\"合理和集约用地\"原则，符合国家供地政策和核苷类药物行业规范，以科学设计和合理布局满足生产经营需求。详情见附图。</w:t>
      </w:r>
    </w:p>
    <w:p>
      <w:pPr>
        <w:pStyle w:val="Heading2"/>
        <w:ind w:firstLine="560" w:firstLineChars="200"/>
        <w:rPr>
          <w:rFonts w:ascii="仿宋" w:eastAsia="仿宋" w:hAnsi="仿宋" w:cs="仿宋" w:hint="eastAsia"/>
          <w:sz w:val="28"/>
          <w:lang w:eastAsia="zh-CN"/>
        </w:rPr>
      </w:pPr>
      <w:bookmarkStart w:id="6" w:name="_Toc10847"/>
      <w:r>
        <w:rPr>
          <w:rFonts w:ascii="仿宋" w:eastAsia="仿宋" w:hAnsi="仿宋" w:cs="仿宋" w:hint="eastAsia"/>
          <w:sz w:val="28"/>
          <w:lang w:eastAsia="zh-CN"/>
        </w:rPr>
        <w:t>(四)、核苷类药物项目选址用地权属性质类别及占地面积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核苷类药物项目选址于XXXX开发区，用地权属类别为开发区自有。总占地面积约为XXX平方米（约XXXX亩），实际有效利用面积为XXX平方米（约XXXX亩）。</w:t>
      </w:r>
    </w:p>
    <w:p>
      <w:pPr>
        <w:pStyle w:val="Heading2"/>
        <w:ind w:firstLine="560" w:firstLineChars="200"/>
        <w:rPr>
          <w:rFonts w:ascii="仿宋" w:eastAsia="仿宋" w:hAnsi="仿宋" w:cs="仿宋" w:hint="eastAsia"/>
          <w:sz w:val="28"/>
          <w:lang w:eastAsia="zh-CN"/>
        </w:rPr>
      </w:pPr>
      <w:bookmarkStart w:id="7" w:name="_Toc28756"/>
      <w:r>
        <w:rPr>
          <w:rFonts w:ascii="仿宋" w:eastAsia="仿宋" w:hAnsi="仿宋" w:cs="仿宋" w:hint="eastAsia"/>
          <w:sz w:val="28"/>
          <w:lang w:eastAsia="zh-CN"/>
        </w:rPr>
        <w:t>(五)、核苷类药物项目用地利用指标</w:t>
      </w:r>
      <w:bookmarkEnd w:id="7"/>
    </w:p>
    <w:p>
      <w:pPr>
        <w:ind w:firstLine="560" w:firstLineChars="200"/>
        <w:rPr>
          <w:rFonts w:ascii="仿宋" w:eastAsia="仿宋" w:hAnsi="仿宋" w:cs="仿宋" w:hint="eastAsia"/>
          <w:sz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方拟将核苷类药物项目落地于一片广阔的区域，总占地面积约为XXXX平方米（相当于约XXX亩），这个空间将被充分用于核苷类药物项目的发展。实际上，我们计划精心规划并有效利用XXXX平方米的区域（约XXX亩），确保每一寸土地都发挥出最大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整体规模也十分令人振奋，总建筑面积将达到XXXX平方米（约XXX亩），这将是一个引人注目的建筑群。具体来说，建筑物基底所占的地面面积预计为XXXX平方米（相当于约XXX亩），我们将充分考虑到每一个细节，确保建筑结构在这个基底上稳固而高效地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通过充分的规划和合理的布局，我们将确保每一块土地都得到充分的利用，从而实现核苷类药物项目的最大价值。</w:t>
      </w:r>
    </w:p>
    <w:p>
      <w:pPr>
        <w:pStyle w:val="Heading1"/>
        <w:ind w:firstLine="560" w:firstLineChars="200"/>
        <w:rPr>
          <w:rFonts w:ascii="仿宋" w:eastAsia="仿宋" w:hAnsi="仿宋" w:cs="仿宋" w:hint="eastAsia"/>
          <w:sz w:val="28"/>
          <w:lang w:eastAsia="zh-CN"/>
        </w:rPr>
      </w:pPr>
      <w:bookmarkStart w:id="8" w:name="_Toc11532"/>
      <w:r>
        <w:rPr>
          <w:rFonts w:ascii="仿宋" w:eastAsia="仿宋" w:hAnsi="仿宋" w:cs="仿宋" w:hint="eastAsia"/>
          <w:sz w:val="28"/>
          <w:lang w:eastAsia="zh-CN"/>
        </w:rPr>
        <w:t>二、核苷类药物项目主要建(构)筑物建设工程</w:t>
      </w:r>
      <w:bookmarkEnd w:id="8"/>
    </w:p>
    <w:p>
      <w:pPr>
        <w:pStyle w:val="Heading2"/>
        <w:rPr>
          <w:rFonts w:ascii="仿宋" w:eastAsia="仿宋" w:hAnsi="仿宋" w:cs="仿宋" w:hint="eastAsia"/>
          <w:lang w:eastAsia="zh-CN"/>
        </w:rPr>
      </w:pPr>
      <w:bookmarkStart w:id="9" w:name="_Toc16394"/>
      <w:r>
        <w:rPr>
          <w:rFonts w:ascii="仿宋" w:eastAsia="仿宋" w:hAnsi="仿宋" w:cs="仿宋" w:hint="eastAsia"/>
          <w:lang w:eastAsia="zh-CN"/>
        </w:rPr>
        <w:t>(一)、抗震设防</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考虑到核苷类药物项目的稳定性和安全性，我们深入研究了选址地区的地震情况。经过综合分析，我们得知该地区的基本地震烈度大致为XXX度，这是一个重要的参考指标。</w:t>
      </w:r>
    </w:p>
    <w:p>
      <w:pPr>
        <w:ind w:firstLine="560" w:firstLineChars="200"/>
        <w:rPr>
          <w:rFonts w:ascii="仿宋" w:eastAsia="仿宋" w:hAnsi="仿宋" w:cs="仿宋" w:hint="eastAsia"/>
          <w:sz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苷类药物项目在地震等自然灾害面前能够保持稳固，我们紧密遵循了现行的《建筑抗震设计规范》（GBJ11-89）的规定。根据当地地震烈度情况和核苷类药物项目特性，我们决定执行X度的抗震设防标准，这是一个综合考虑了安全和稳定性的决策。我们将充分融入地方实际，以确保核苷类药物项目在地震风险环境下能够安全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抗震设防标准的制定是为了应对地震风险，保障核苷类药物项目在各种自然灾害中的可持续性。通过遵循最新的规范和合理的设计，我们将确保核苷类药物项目的稳定性和安全性，为投资方和利益相关者提供信心。</w:t>
      </w:r>
    </w:p>
    <w:p>
      <w:pPr>
        <w:pStyle w:val="Heading2"/>
        <w:ind w:firstLine="560" w:firstLineChars="200"/>
        <w:rPr>
          <w:rFonts w:ascii="仿宋" w:eastAsia="仿宋" w:hAnsi="仿宋" w:cs="仿宋" w:hint="eastAsia"/>
          <w:sz w:val="28"/>
          <w:lang w:eastAsia="zh-CN"/>
        </w:rPr>
      </w:pPr>
      <w:bookmarkStart w:id="10" w:name="_Toc3276"/>
      <w:r>
        <w:rPr>
          <w:rFonts w:ascii="仿宋" w:eastAsia="仿宋" w:hAnsi="仿宋" w:cs="仿宋" w:hint="eastAsia"/>
          <w:sz w:val="28"/>
          <w:lang w:eastAsia="zh-CN"/>
        </w:rPr>
        <w:t>(二)、建筑结构形势及基础方案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主要厂房的设计在满足工艺使用要求和防火、通风、采光要求的前提下，力求做到布置紧凑、节省用地。车间立面造型简洁明快，体现现代化企业的建筑特色。屋面防水、保温尽可能采用质量较高、性能可靠的新型建筑材料。核苷类药物项目中主要生产车间及仓库均为钢结构，而建筑则为砖混结构。考虑到建设地处于地震带分布区域，因此在工程设计中将加强建筑物抗震结构措施，以增强建筑物的抗震能力。</w:t>
      </w:r>
    </w:p>
    <w:p>
      <w:pPr>
        <w:pStyle w:val="Heading2"/>
        <w:ind w:firstLine="560" w:firstLineChars="200"/>
        <w:rPr>
          <w:rFonts w:ascii="仿宋" w:eastAsia="仿宋" w:hAnsi="仿宋" w:cs="仿宋" w:hint="eastAsia"/>
          <w:sz w:val="28"/>
          <w:lang w:eastAsia="zh-CN"/>
        </w:rPr>
      </w:pPr>
      <w:bookmarkStart w:id="11" w:name="_Toc12738"/>
      <w:r>
        <w:rPr>
          <w:rFonts w:ascii="仿宋" w:eastAsia="仿宋" w:hAnsi="仿宋" w:cs="仿宋" w:hint="eastAsia"/>
          <w:sz w:val="28"/>
          <w:lang w:eastAsia="zh-CN"/>
        </w:rPr>
        <w:t>(三)、主要建(构)筑物建设工程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土建工程涵盖了多个关键部分，共分为以下六大类：生产工程、辅助生产工程、公用工程、总图工程、服务性工程（包括办公及生活设施）以及其他工程。这一全面的设计确保了核苷类药物项目各方面的需求得到充分满足。</w:t>
      </w:r>
    </w:p>
    <w:p>
      <w:pPr>
        <w:ind w:firstLine="560" w:firstLineChars="200"/>
        <w:rPr>
          <w:rFonts w:ascii="仿宋" w:eastAsia="仿宋" w:hAnsi="仿宋" w:cs="仿宋" w:hint="eastAsia"/>
          <w:sz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规划中，生产工程将成为核苷类药物项目的核心，辅助生产工程为其提供了必要的支持，而公用工程则为整个核苷类药物项目的运行提供了基础设施。总图工程将确保整体规划的协调性，而服务性工程则涵盖了办公和生活的各种需求，以确保员工能够在舒适和便利的环境中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综合而言，这些土建工程的总规模为XXXX平方米，预计投资为XXXX万元。我们的设计和规划将确保这些工程的高效、稳定、可持续运行，以支持核苷类药物项目的顺利实施和未来发展。</w:t>
      </w:r>
    </w:p>
    <w:p>
      <w:pPr>
        <w:pStyle w:val="Heading1"/>
        <w:ind w:firstLine="560" w:firstLineChars="200"/>
        <w:rPr>
          <w:rFonts w:ascii="仿宋" w:eastAsia="仿宋" w:hAnsi="仿宋" w:cs="仿宋" w:hint="eastAsia"/>
          <w:sz w:val="28"/>
          <w:lang w:eastAsia="zh-CN"/>
        </w:rPr>
      </w:pPr>
      <w:bookmarkStart w:id="12" w:name="_Toc3041"/>
      <w:r>
        <w:rPr>
          <w:rFonts w:ascii="仿宋" w:eastAsia="仿宋" w:hAnsi="仿宋" w:cs="仿宋" w:hint="eastAsia"/>
          <w:sz w:val="28"/>
          <w:lang w:eastAsia="zh-CN"/>
        </w:rPr>
        <w:t>三、核苷类药物项目投资估算与资金筹措</w:t>
      </w:r>
      <w:bookmarkEnd w:id="12"/>
    </w:p>
    <w:p>
      <w:pPr>
        <w:pStyle w:val="Heading2"/>
        <w:rPr>
          <w:rFonts w:ascii="仿宋" w:eastAsia="仿宋" w:hAnsi="仿宋" w:cs="仿宋" w:hint="eastAsia"/>
          <w:lang w:eastAsia="zh-CN"/>
        </w:rPr>
      </w:pPr>
      <w:bookmarkStart w:id="13" w:name="_Toc8822"/>
      <w:r>
        <w:rPr>
          <w:rFonts w:ascii="仿宋" w:eastAsia="仿宋" w:hAnsi="仿宋" w:cs="仿宋" w:hint="eastAsia"/>
          <w:lang w:eastAsia="zh-CN"/>
        </w:rPr>
        <w:t>(一)、投资估算依据和说明</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核苷类药物项目的投资估算范围涵盖多个方面，其中包括固定资产投资估算以及流动资金、总投资和报批投资的估算。在编制这一估算计划时，我们严格依据以下一系列标准和规范，以确保投资估算的科学性和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《建设核苷类药物项目投资估算编审规程》 ( CECA/GC1 )</w:t>
      </w:r>
    </w:p>
    <w:p>
      <w:pPr>
        <w:ind w:firstLine="560" w:firstLineChars="200"/>
        <w:rPr>
          <w:rFonts w:ascii="仿宋" w:eastAsia="仿宋" w:hAnsi="仿宋" w:cs="仿宋" w:hint="eastAsia"/>
          <w:sz w:val="28"/>
        </w:rPr>
      </w:pPr>
      <w:r>
        <w:rPr>
          <w:rFonts w:ascii="仿宋" w:eastAsia="仿宋" w:hAnsi="仿宋" w:cs="仿宋" w:hint="eastAsia"/>
          <w:sz w:val="28"/>
          <w:lang w:eastAsia="zh-CN"/>
        </w:rPr>
        <w:t>- 《工程经济与财务评价实用手册》</w:t>
      </w:r>
    </w:p>
    <w:p>
      <w:pPr>
        <w:ind w:firstLine="560" w:firstLineChars="200"/>
        <w:rPr>
          <w:rFonts w:ascii="仿宋" w:eastAsia="仿宋" w:hAnsi="仿宋" w:cs="仿宋" w:hint="eastAsia"/>
          <w:sz w:val="28"/>
        </w:rPr>
      </w:pPr>
      <w:r>
        <w:rPr>
          <w:rFonts w:ascii="仿宋" w:eastAsia="仿宋" w:hAnsi="仿宋" w:cs="仿宋" w:hint="eastAsia"/>
          <w:sz w:val="28"/>
          <w:lang w:eastAsia="zh-CN"/>
        </w:rPr>
        <w:t>- 《投资核苷类药物项目可行性研究指南》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《建设核苷类药物项目经济评价方法与参数》 ( 第三版 )</w:t>
      </w:r>
    </w:p>
    <w:p>
      <w:pPr>
        <w:ind w:firstLine="560" w:firstLineChars="200"/>
        <w:rPr>
          <w:rFonts w:ascii="仿宋" w:eastAsia="仿宋" w:hAnsi="仿宋" w:cs="仿宋" w:hint="eastAsia"/>
          <w:sz w:val="28"/>
        </w:rPr>
      </w:pPr>
      <w:r>
        <w:rPr>
          <w:rFonts w:ascii="仿宋" w:eastAsia="仿宋" w:hAnsi="仿宋" w:cs="仿宋" w:hint="eastAsia"/>
          <w:sz w:val="28"/>
          <w:lang w:eastAsia="zh-CN"/>
        </w:rPr>
        <w:t>- 《基本建设设计概算编制办法》</w:t>
      </w:r>
    </w:p>
    <w:p>
      <w:pPr>
        <w:ind w:firstLine="560" w:firstLineChars="200"/>
        <w:rPr>
          <w:rFonts w:ascii="仿宋" w:eastAsia="仿宋" w:hAnsi="仿宋" w:cs="仿宋" w:hint="eastAsia"/>
          <w:sz w:val="28"/>
        </w:rPr>
      </w:pPr>
      <w:r>
        <w:rPr>
          <w:rFonts w:ascii="仿宋" w:eastAsia="仿宋" w:hAnsi="仿宋" w:cs="仿宋" w:hint="eastAsia"/>
          <w:sz w:val="28"/>
          <w:lang w:eastAsia="zh-CN"/>
        </w:rPr>
        <w:t>- 各专业工程设计规范</w:t>
      </w:r>
    </w:p>
    <w:p>
      <w:pPr>
        <w:ind w:firstLine="560" w:firstLineChars="200"/>
        <w:rPr>
          <w:rFonts w:ascii="仿宋" w:eastAsia="仿宋" w:hAnsi="仿宋" w:cs="仿宋" w:hint="eastAsia"/>
          <w:sz w:val="28"/>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市场价格信息及相关政策法规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类似核苷类药物项目的历史成本数据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投资费用分析**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的投资估算中，我们详细考虑了多个方面的投资费用，将其分为固定资产投资估算和流动资金、总投资以及报批投资的估算。固定资产投资估算涵盖了主要生产核苷类药物项目、辅助生产核苷类药物项目、公用工程核苷类药物项目、服务性工程、配套费用以及其他费用的投资估算。这些估算值是通过充分的市场调研和技术评估得出的，从而确保了估算数据的可靠性和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投资费用的精确计算和全面分析时，我们不仅考虑了当前的市场情况，还充分预见了可能的物价上涨、汇率变动等风险因素。这样的综合考虑确保了我们的投资估算能够在动态变化的环境中依然保持准确和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通过以上的标准和分析，我们对核苷类药物项目的投资估算进行了全面而细致的规划，以确保核苷类药物项目在资金支持方面的充分准备，从而为核苷类药物项目的顺利实施打下了坚实的基础。</w:t>
      </w:r>
    </w:p>
    <w:p>
      <w:pPr>
        <w:pStyle w:val="Heading2"/>
        <w:ind w:firstLine="560" w:firstLineChars="200"/>
        <w:rPr>
          <w:rFonts w:ascii="仿宋" w:eastAsia="仿宋" w:hAnsi="仿宋" w:cs="仿宋" w:hint="eastAsia"/>
          <w:sz w:val="28"/>
          <w:lang w:eastAsia="zh-CN"/>
        </w:rPr>
      </w:pPr>
      <w:bookmarkStart w:id="14" w:name="_Toc12304"/>
      <w:r>
        <w:rPr>
          <w:rFonts w:ascii="仿宋" w:eastAsia="仿宋" w:hAnsi="仿宋" w:cs="仿宋" w:hint="eastAsia"/>
          <w:sz w:val="28"/>
          <w:lang w:eastAsia="zh-CN"/>
        </w:rPr>
        <w:t>(二)、资金筹措</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总投资额为XXX万元。</w:t>
      </w:r>
    </w:p>
    <w:p>
      <w:pPr>
        <w:pStyle w:val="Heading2"/>
        <w:ind w:firstLine="560" w:firstLineChars="200"/>
        <w:rPr>
          <w:rFonts w:ascii="仿宋" w:eastAsia="仿宋" w:hAnsi="仿宋" w:cs="仿宋" w:hint="eastAsia"/>
          <w:sz w:val="28"/>
          <w:lang w:eastAsia="zh-CN"/>
        </w:rPr>
      </w:pPr>
      <w:bookmarkStart w:id="15" w:name="_Toc4774"/>
      <w:r>
        <w:rPr>
          <w:rFonts w:ascii="仿宋" w:eastAsia="仿宋" w:hAnsi="仿宋" w:cs="仿宋" w:hint="eastAsia"/>
          <w:sz w:val="28"/>
          <w:lang w:eastAsia="zh-CN"/>
        </w:rPr>
        <w:t>(三)、资金使用计划</w:t>
      </w:r>
      <w:bookmarkEnd w:id="15"/>
    </w:p>
    <w:p>
      <w:pPr>
        <w:ind w:firstLine="560" w:firstLineChars="200"/>
        <w:rPr>
          <w:rFonts w:ascii="仿宋" w:eastAsia="仿宋" w:hAnsi="仿宋" w:cs="仿宋" w:hint="eastAsia"/>
          <w:sz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本核苷类药物项目固定资产投资XXXX万元。</w:t>
      </w:r>
    </w:p>
    <w:p>
      <w:pPr>
        <w:pStyle w:val="Heading2"/>
        <w:ind w:firstLine="560" w:firstLineChars="200"/>
        <w:rPr>
          <w:rFonts w:ascii="仿宋" w:eastAsia="仿宋" w:hAnsi="仿宋" w:cs="仿宋" w:hint="eastAsia"/>
          <w:sz w:val="28"/>
          <w:lang w:eastAsia="zh-CN"/>
        </w:rPr>
      </w:pPr>
      <w:bookmarkStart w:id="16" w:name="_Toc2663"/>
      <w:r>
        <w:rPr>
          <w:rFonts w:ascii="仿宋" w:eastAsia="仿宋" w:hAnsi="仿宋" w:cs="仿宋" w:hint="eastAsia"/>
          <w:sz w:val="28"/>
          <w:lang w:eastAsia="zh-CN"/>
        </w:rPr>
        <w:t>(四)、核苷类药物项目经济评价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经济评价是基于投入产出相一致原则的重要工作，旨在从企业财务角度分析、测算核苷类药物项目的各项费用和经济效益。该评价采用了严谨的逻辑推理和精确的测算方法，利用先进的人工智能技术对核苷类药物项目进行全面的财务分析。评估过程中，核苷类药物会根据市场价格体系和财税制度，分别测算核苷类药物项目的盈利能力和清偿能力，以确保评价结果的准确性。通过计算核苷类药物项目的财务评价预期指标，如盈利能力、清偿能力等，核苷类药物能够评估拟建核苷类药物项目的经济可行性，并最终判断核苷类药物项目是否值得投资。</w:t>
      </w:r>
    </w:p>
    <w:p>
      <w:pPr>
        <w:pStyle w:val="Heading1"/>
        <w:ind w:firstLine="560" w:firstLineChars="200"/>
        <w:rPr>
          <w:rFonts w:ascii="仿宋" w:eastAsia="仿宋" w:hAnsi="仿宋" w:cs="仿宋" w:hint="eastAsia"/>
          <w:sz w:val="28"/>
          <w:lang w:eastAsia="zh-CN"/>
        </w:rPr>
      </w:pPr>
      <w:bookmarkStart w:id="17" w:name="_Toc16269"/>
      <w:r>
        <w:rPr>
          <w:rFonts w:ascii="仿宋" w:eastAsia="仿宋" w:hAnsi="仿宋" w:cs="仿宋" w:hint="eastAsia"/>
          <w:sz w:val="28"/>
          <w:lang w:eastAsia="zh-CN"/>
        </w:rPr>
        <w:t>四、文化内涵和艺术价值</w:t>
      </w:r>
      <w:bookmarkEnd w:id="17"/>
    </w:p>
    <w:p>
      <w:pPr>
        <w:pStyle w:val="Heading2"/>
        <w:rPr>
          <w:rFonts w:ascii="仿宋" w:eastAsia="仿宋" w:hAnsi="仿宋" w:cs="仿宋" w:hint="eastAsia"/>
          <w:lang w:eastAsia="zh-CN"/>
        </w:rPr>
      </w:pPr>
      <w:bookmarkStart w:id="18" w:name="_Toc6667"/>
      <w:r>
        <w:rPr>
          <w:rFonts w:ascii="仿宋" w:eastAsia="仿宋" w:hAnsi="仿宋" w:cs="仿宋" w:hint="eastAsia"/>
          <w:lang w:eastAsia="zh-CN"/>
        </w:rPr>
        <w:t>(一)、核苷类药物项目与文化内涵的结合方式</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将核苷类药物项目与文化内涵结合起来，既可以丰富核苷类药物项目的内涵，又可以促进文化传承和发展。我们考虑了核苷类药物项目与文化内涵的关系，包括核苷类药物项目的主题、文化背景和文化价值等方面。我们还考虑了文化内涵与核苷类药物项目的市场竞争力之间的关系，以确保核苷类药物项目在文化内涵的框架内合法运营。</w:t>
      </w:r>
    </w:p>
    <w:p>
      <w:pPr>
        <w:ind w:firstLine="560" w:firstLineChars="200"/>
        <w:rPr>
          <w:rFonts w:ascii="仿宋" w:eastAsia="仿宋" w:hAnsi="仿宋" w:cs="仿宋" w:hint="eastAsia"/>
          <w:sz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与文化内涵的结合方式总结中，我们提出了相应的结合方案。我们建议采取多种结合方式，包括文化创意设计、文化主题营销、文化活动策划和文化资源整合等方面。我们还建议加强与文化领域的合作和交流，以吸收优秀的文化资源和传统文化元素，提升核苷类药物项目的文化内涵和文化价值。同时，我们强调了文化内涵与市场需求之间的平衡，建议在核苷类药物项目的设计和开发过程中，充分考虑市场需求和文化内涵，以确保核苷类药物项目在市场上的竞争力和可持续发展。</w:t>
      </w:r>
    </w:p>
    <w:p>
      <w:pPr>
        <w:pStyle w:val="Heading2"/>
        <w:ind w:firstLine="560" w:firstLineChars="200"/>
        <w:rPr>
          <w:rFonts w:ascii="仿宋" w:eastAsia="仿宋" w:hAnsi="仿宋" w:cs="仿宋" w:hint="eastAsia"/>
          <w:sz w:val="28"/>
          <w:lang w:eastAsia="zh-CN"/>
        </w:rPr>
      </w:pPr>
      <w:bookmarkStart w:id="19" w:name="_Toc28460"/>
      <w:r>
        <w:rPr>
          <w:rFonts w:ascii="仿宋" w:eastAsia="仿宋" w:hAnsi="仿宋" w:cs="仿宋" w:hint="eastAsia"/>
          <w:sz w:val="28"/>
          <w:lang w:eastAsia="zh-CN"/>
        </w:rPr>
        <w:t>(二)、核苷类药物项目产品的艺术价值分析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艺术类项目，核苷类药物项目的产品应该具有一定的艺术价值，以吸引目标受众并提升核苷类药物项目的市场竞争力。我们考虑了核苷类药物项目产品的艺术特征和艺术价值，包括创意性、审美价值和文化内涵等方面。我们还考虑了艺术价值与核苷类药物项目的商业价值之间的关系，以确保核苷类药物项目产品在艺术价值的框架内合法运营。</w:t>
      </w:r>
    </w:p>
    <w:p>
      <w:pPr>
        <w:ind w:firstLine="560" w:firstLineChars="200"/>
        <w:rPr>
          <w:rFonts w:ascii="仿宋" w:eastAsia="仿宋" w:hAnsi="仿宋" w:cs="仿宋" w:hint="eastAsia"/>
          <w:sz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核苷类药物项目产品的艺术价值分析总结中，我们提出了相应的建议和措施。我们建议加强对核苷类药物项目产品的艺术设计和创意性，以提升产品的艺术价值和审美价值。我们还建议加强与艺术领域的合作和交流，以吸收优秀的艺术资源和创意灵感，提升核苷类药物项目产品的艺术内涵和艺术价值。同时，我们强调了艺术价值与商业价值的平衡，建议在核苷类药物项目产品的设计和开发过程中，充分考虑商业价值和市场需求，以确保核苷类药物项目产品在市场上的竞争力和可持续发展。</w:t>
      </w:r>
    </w:p>
    <w:p>
      <w:pPr>
        <w:pStyle w:val="Heading2"/>
        <w:ind w:firstLine="560" w:firstLineChars="200"/>
        <w:rPr>
          <w:rFonts w:ascii="仿宋" w:eastAsia="仿宋" w:hAnsi="仿宋" w:cs="仿宋" w:hint="eastAsia"/>
          <w:sz w:val="28"/>
          <w:lang w:eastAsia="zh-CN"/>
        </w:rPr>
      </w:pPr>
      <w:bookmarkStart w:id="20" w:name="_Toc2729"/>
      <w:r>
        <w:rPr>
          <w:rFonts w:ascii="仿宋" w:eastAsia="仿宋" w:hAnsi="仿宋" w:cs="仿宋" w:hint="eastAsia"/>
          <w:sz w:val="28"/>
          <w:lang w:eastAsia="zh-CN"/>
        </w:rPr>
        <w:t>(三)、文化传承和艺术创新的策略探讨</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实现核苷类药物项目的成功，我们认为需要同时注重文化传承和艺术创新。在文化传承方面，我们建议加强对传统文化的研究和挖掘，发掘传统文化中蕴含的艺术元素，并将其融入到核苷类药物项目的设计和开发中。这样可以保证核苷类药物项目在艺术创新的基础上，不失传统文化的内涵和价值。同时，我们建议加强对传统文化的保护和传承，以确保核苷类药物项目在文化传承方面具有可持续性和长远发展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创新方面，我们建议加强对艺术创意的研究和创新，提升核苷类药物项目的艺术价值和创新性。我们认为，艺术创新是核苷类药物项目成功的关键之一，因此需要不断地进行尝试和探索，以实现核苷类药物项目的艺术创新和发展。同时，我们建议加强与艺术领域的合作和交流，吸收优秀的艺术资源和创意灵感，促进核苷类药物项目的艺术创新和发展。</w:t>
      </w:r>
    </w:p>
    <w:p>
      <w:pPr>
        <w:pStyle w:val="Heading1"/>
        <w:ind w:firstLine="560" w:firstLineChars="200"/>
        <w:rPr>
          <w:rFonts w:ascii="仿宋" w:eastAsia="仿宋" w:hAnsi="仿宋" w:cs="仿宋" w:hint="eastAsia"/>
          <w:sz w:val="28"/>
          <w:lang w:eastAsia="zh-CN"/>
        </w:rPr>
      </w:pPr>
      <w:bookmarkStart w:id="21" w:name="_Toc19841"/>
      <w:r>
        <w:rPr>
          <w:rFonts w:ascii="仿宋" w:eastAsia="仿宋" w:hAnsi="仿宋" w:cs="仿宋" w:hint="eastAsia"/>
          <w:sz w:val="28"/>
          <w:lang w:eastAsia="zh-CN"/>
        </w:rPr>
        <w:t>五、技术可行性分析</w:t>
      </w:r>
      <w:bookmarkEnd w:id="21"/>
    </w:p>
    <w:p>
      <w:pPr>
        <w:pStyle w:val="Heading2"/>
        <w:rPr>
          <w:rFonts w:ascii="仿宋" w:eastAsia="仿宋" w:hAnsi="仿宋" w:cs="仿宋" w:hint="eastAsia"/>
          <w:lang w:eastAsia="zh-CN"/>
        </w:rPr>
      </w:pPr>
      <w:bookmarkStart w:id="22" w:name="_Toc21311"/>
      <w:r>
        <w:rPr>
          <w:rFonts w:ascii="仿宋" w:eastAsia="仿宋" w:hAnsi="仿宋" w:cs="仿宋" w:hint="eastAsia"/>
          <w:lang w:eastAsia="zh-CN"/>
        </w:rPr>
        <w:t>(一)、技术来源及先进性说明</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核苷类药物项目技术来源：</w:t>
      </w:r>
    </w:p>
    <w:p>
      <w:pPr>
        <w:ind w:firstLine="560" w:firstLineChars="200"/>
        <w:rPr>
          <w:rFonts w:ascii="仿宋" w:eastAsia="仿宋" w:hAnsi="仿宋" w:cs="仿宋" w:hint="eastAsia"/>
          <w:sz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详细介绍核苷类药物项目所采用的关键技术来源。可以包括已有的成熟技术、学术研究成果、专利技术或合作伙伴的技术支持等。说明技术来源的可靠性和可获得性，以确保核苷类药物项目的技术基础可行。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分析核苷类药物项目所采用的技术在行业或领域中的先进性。评估技术的创新程度、独特性和与现有解决方案的差异。强调核苷类药物项目所采用技术的优势和潜在影响。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对所采用的技术进行可行性评估，包括技术的可靠性、可操作性和适应性。评估技术在核苷类药物项目实施中的可行性和可持续性，以确保核苷类药物项目能够成功应用所选技术。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分析所采用技术的发展趋势和前景。关注相关行业或领域的技术创新和趋势，以确保核苷类药物项目所采用的技术具有长期的可持续性和竞争优势。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识别和评估所采用技术可能面临的风险和挑战。分析技术的可靠性、成本效益、知识产权等方面的风险，并提出相应的风险管理策略。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技术合作与创新：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探讨与其他组织或机构的技术合作和创新机会。强调合作伙伴的技术支持和资源共享，以提升核苷类药物项目的技术能力和创新能力。</w:t>
      </w:r>
    </w:p>
    <w:p>
      <w:pPr>
        <w:pStyle w:val="Heading2"/>
        <w:ind w:firstLine="560" w:firstLineChars="200"/>
        <w:rPr>
          <w:rFonts w:ascii="仿宋" w:eastAsia="仿宋" w:hAnsi="仿宋" w:cs="仿宋" w:hint="eastAsia"/>
          <w:sz w:val="28"/>
          <w:lang w:eastAsia="zh-CN"/>
        </w:rPr>
      </w:pPr>
      <w:bookmarkStart w:id="23" w:name="_Toc27810"/>
      <w:r>
        <w:rPr>
          <w:rFonts w:ascii="仿宋" w:eastAsia="仿宋" w:hAnsi="仿宋" w:cs="仿宋" w:hint="eastAsia"/>
          <w:sz w:val="28"/>
          <w:lang w:eastAsia="zh-CN"/>
        </w:rPr>
        <w:t>(二)、核苷类药物项目的技术难点及解决方案</w:t>
      </w:r>
      <w:bookmarkEnd w:id="23"/>
    </w:p>
    <w:p>
      <w:pPr>
        <w:ind w:firstLine="560" w:firstLineChars="200"/>
        <w:rPr>
          <w:rFonts w:ascii="仿宋" w:eastAsia="仿宋" w:hAnsi="仿宋" w:cs="仿宋" w:hint="eastAsia"/>
          <w:sz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核苷类药物项目技术难点的识别：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详细列举核苷类药物项目所面临的关键技术难点。这些难点可能包括复杂的数据处理、高性能计算需求、安全性和隐私保护等方面。对每个技术难点进行准确定义和分析，确保对问题的全面理解。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解决方案的提出：</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针对每个技术难点，提出相应的解决方案。解决方案可以包括但不限于以下几个方面：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技术改进：提出改进现有技术或引入新技术的方案，以解决技术难点。例如，采用先进的算法或模型来处理复杂的数据，或使用高性能计算平台来满足计算需求。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合作与合作伙伴：寻找合适的合作伙伴或专家来共同解决技术难点。合作可以提供额外的技术支持和资源，加快问题的解决速度。例如，与研究机构或技术公司合作，共同攻克技术挑战。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培训与人才发展：通过培训和人才发展来提升团队的技术能力，以应对技术难点。培训可以包括技术知识的更新和专业技能的提升，确保团队具备解决问题所需的技术能力。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风险管理：针对技术难点可能带来的风险，制定相应的风险管理策略。例如，建立备份和灾难恢复机制来应对数据丢失风险，或加强安全措施来保护数据和系统的安全性。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解决方案的可行性评估：</w:t>
      </w:r>
    </w:p>
    <w:p>
      <w:pPr>
        <w:ind w:firstLine="560" w:firstLineChars="200"/>
        <w:rPr>
          <w:rFonts w:ascii="仿宋" w:eastAsia="仿宋" w:hAnsi="仿宋" w:cs="仿宋" w:hint="eastAsia"/>
          <w:sz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对提出的解决方案进行可行性评估，包括技术可行性、成本效益、实施难度等方面的评估。确保解决方案在技术和实施上可行，并能够有效解决技术难点。</w:t>
      </w:r>
    </w:p>
    <w:p>
      <w:pPr>
        <w:pStyle w:val="Heading2"/>
        <w:ind w:firstLine="560" w:firstLineChars="200"/>
        <w:rPr>
          <w:rFonts w:ascii="仿宋" w:eastAsia="仿宋" w:hAnsi="仿宋" w:cs="仿宋" w:hint="eastAsia"/>
          <w:sz w:val="28"/>
          <w:lang w:eastAsia="zh-CN"/>
        </w:rPr>
      </w:pPr>
      <w:bookmarkStart w:id="24" w:name="_Toc8277"/>
      <w:r>
        <w:rPr>
          <w:rFonts w:ascii="仿宋" w:eastAsia="仿宋" w:hAnsi="仿宋" w:cs="仿宋" w:hint="eastAsia"/>
          <w:sz w:val="28"/>
          <w:lang w:eastAsia="zh-CN"/>
        </w:rPr>
        <w:t>(三)、技术人才需求</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技术人才需求的确定：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核苷类药物项目所需的技术人才类型和数量。根据核苷类药物项目的技术要求和目标，确定需要的技能和专业背景。例如，核苷类药物项目可能需要具备数据分析、软件开发、人工智能、网络安全等方面的技术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技术人才市场分析：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进行技术人才市场的分析，评估相关技术领域的供需情况。了解技术人才的供给量和质量，以及市场竞争情况。分析人才市场的趋势和发展，预测未来技术人才的供需状况。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技术人才招聘策略：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提出招聘技术人才的策略和方法。包括招聘渠道的选择、招聘流程的设计、面试和评估的方法等。根据核苷类药物项目需求和市场情况，制定吸引和留住优秀技术人才的策略。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技术人才培养和发展的需求。考虑培训计划、学习资源和职业发展机会等方面，为核苷类药物项目中的技术人才提供成长和发展的机会。建议与教育机构、培训机构或行业组织合作，共同培养和发展技术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团队组建和管理：</w:t>
      </w:r>
    </w:p>
    <w:p>
      <w:pPr>
        <w:ind w:firstLine="560" w:firstLineChars="200"/>
        <w:rPr>
          <w:rFonts w:ascii="仿宋" w:eastAsia="仿宋" w:hAnsi="仿宋" w:cs="仿宋" w:hint="eastAsia"/>
          <w:sz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提供团队组建和管理的建议。包括团队结构的设计、角色分工、沟通协作机制等方面。强调团队的多样性和协作能力，以提升团队的综合技术能力和创新能力。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提出人才留存和激励的策略。考虑薪酬福利、职业发展、工作环境和文化等方面，为技术人才提供良好的工作条件和发展机会。建议制定激励机制，激发技术人才的积极性和创造力。</w:t>
      </w:r>
    </w:p>
    <w:p>
      <w:pPr>
        <w:pStyle w:val="Heading1"/>
        <w:ind w:firstLine="560" w:firstLineChars="200"/>
        <w:rPr>
          <w:rFonts w:ascii="仿宋" w:eastAsia="仿宋" w:hAnsi="仿宋" w:cs="仿宋" w:hint="eastAsia"/>
          <w:sz w:val="28"/>
          <w:lang w:eastAsia="zh-CN"/>
        </w:rPr>
      </w:pPr>
      <w:bookmarkStart w:id="25" w:name="_Toc18074"/>
      <w:r>
        <w:rPr>
          <w:rFonts w:ascii="仿宋" w:eastAsia="仿宋" w:hAnsi="仿宋" w:cs="仿宋" w:hint="eastAsia"/>
          <w:sz w:val="28"/>
          <w:lang w:eastAsia="zh-CN"/>
        </w:rPr>
        <w:t>六、核苷类药物在可持续发展中的角色</w:t>
      </w:r>
      <w:bookmarkEnd w:id="25"/>
    </w:p>
    <w:p>
      <w:pPr>
        <w:pStyle w:val="Heading2"/>
        <w:rPr>
          <w:rFonts w:ascii="仿宋" w:eastAsia="仿宋" w:hAnsi="仿宋" w:cs="仿宋" w:hint="eastAsia"/>
          <w:lang w:eastAsia="zh-CN"/>
        </w:rPr>
      </w:pPr>
      <w:bookmarkStart w:id="26" w:name="_Toc3297"/>
      <w:r>
        <w:rPr>
          <w:rFonts w:ascii="仿宋" w:eastAsia="仿宋" w:hAnsi="仿宋" w:cs="仿宋" w:hint="eastAsia"/>
          <w:lang w:eastAsia="zh-CN"/>
        </w:rPr>
        <w:t>(一)、核苷类药物对可持续发展目标的贡献</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环境保护和资源利用：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可以在环境保护和资源利用方面做出贡献。例如，它可以帮助减少能源消耗和碳排放，提高能源利用效率和可再生能源的使用率。此外，它还可以帮助优化资源利用和回收利用，减少资源浪费和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社会发展和公共服务：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可以在社会发展和公共服务方面做出贡献。例如，它可以帮助改善医疗保健和教育等公共服务的质量和效率。此外，它还可以帮助改善交通和城市管理等方面，提高城市的智能化和可持续性发展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经济增长和创新：</w:t>
      </w:r>
    </w:p>
    <w:p>
      <w:pPr>
        <w:ind w:firstLine="560" w:firstLineChars="200"/>
        <w:rPr>
          <w:rFonts w:ascii="仿宋" w:eastAsia="仿宋" w:hAnsi="仿宋" w:cs="仿宋" w:hint="eastAsia"/>
          <w:sz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核苷类药物技术可以在经济增长和创新方面做出贡献。例如，它可以帮助提高生产效率和质量，促进产业升级和转型。此外，它还可以帮助推动新的商业模式和创新，促进经济发展和就业增长。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可持续发展和全球合作：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核苷类药物技术的应用可以促进可持续发展和全球合作。例如，它可以帮助实现联合国可持续发展目标，推动全球可持续发展和合作。此外，它还可以促进国际合作和交流，推动创新和技术转移，实现共赢和可持续发展。</w:t>
      </w:r>
    </w:p>
    <w:p>
      <w:pPr>
        <w:pStyle w:val="Heading2"/>
        <w:ind w:firstLine="560" w:firstLineChars="200"/>
        <w:rPr>
          <w:rFonts w:ascii="仿宋" w:eastAsia="仿宋" w:hAnsi="仿宋" w:cs="仿宋" w:hint="eastAsia"/>
          <w:sz w:val="28"/>
          <w:lang w:eastAsia="zh-CN"/>
        </w:rPr>
      </w:pPr>
      <w:bookmarkStart w:id="27" w:name="_Toc22325"/>
      <w:r>
        <w:rPr>
          <w:rFonts w:ascii="仿宋" w:eastAsia="仿宋" w:hAnsi="仿宋" w:cs="仿宋" w:hint="eastAsia"/>
          <w:sz w:val="28"/>
          <w:lang w:eastAsia="zh-CN"/>
        </w:rPr>
        <w:t>(二)、核苷类药物可持续性创新的潜力</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环境友好和资源效率：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具有潜力在环境友好和资源效率方面实现可持续性创新。例如，它可以帮助减少能源消耗和碳排放，优化资源利用和回收利用，降低环境污染和资源浪费。通过提高能源和资源的效率利用，核苷类药物可以促进可持续性发展并减少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社会包容和公平性：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还具有潜力在社会包容和公平性方面实现可持续性创新。例如，它可以帮助改善社会服务的可获得性和质量，促进社会公平和公共利益。通过提供更加普惠和可持续的解决方案，核苷类药物可以减少社会不平等和排斥，实现社会包容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经济发展和商业机会：</w:t>
      </w:r>
    </w:p>
    <w:p>
      <w:pPr>
        <w:ind w:firstLine="560" w:firstLineChars="200"/>
        <w:rPr>
          <w:rFonts w:ascii="仿宋" w:eastAsia="仿宋" w:hAnsi="仿宋" w:cs="仿宋" w:hint="eastAsia"/>
          <w:sz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的可持续性创新潜力还体现在经济发展和商业机会方面。例如，它可以帮助推动绿色产业的发展和转型，促进经济增长和创新。通过开拓新的市场和商业模式，核苷类药物可以创造新的商机和就业机会，推动经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政策支持和合作机制：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核苷类药物技术的可持续性创新潜力还需要政策支持和合作机制的配合。例如，政府可以制定相关政策和法规，鼓励和支持核苷类药物技术的应用和发展。同时，产业界、学术界和社会各界也需要加强合作，共同推动可持续性创新的实施和推广。</w:t>
      </w:r>
    </w:p>
    <w:p>
      <w:pPr>
        <w:pStyle w:val="Heading2"/>
        <w:ind w:firstLine="560" w:firstLineChars="200"/>
        <w:rPr>
          <w:rFonts w:ascii="仿宋" w:eastAsia="仿宋" w:hAnsi="仿宋" w:cs="仿宋" w:hint="eastAsia"/>
          <w:sz w:val="28"/>
          <w:lang w:eastAsia="zh-CN"/>
        </w:rPr>
      </w:pPr>
      <w:bookmarkStart w:id="28" w:name="_Toc1901"/>
      <w:r>
        <w:rPr>
          <w:rFonts w:ascii="仿宋" w:eastAsia="仿宋" w:hAnsi="仿宋" w:cs="仿宋" w:hint="eastAsia"/>
          <w:sz w:val="28"/>
          <w:lang w:eastAsia="zh-CN"/>
        </w:rPr>
        <w:t>(三)、核苷类药物可持续性实践的社会影响</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提高生活质量：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的可持续性实践可以带来社会生活质量的提升。例如，它可以改善城市交通和基础设施，提供更加安全、便捷和舒适的出行方式。此外，它还可以提供更好的医疗保健和教育服务，提高人们的健康水平和教育水平，促进社会进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促进社会包容和公平：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的可持续性实践有助于促进社会包容和公平。例如，它可以提供普惠的公共服务，使更多人能够获得教育、医疗和其他基本服务。此外，它还可以降低社会不平等，促进社会公正和机会均等，实现社会的和谐与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增强社区参与和合作：</w:t>
      </w:r>
    </w:p>
    <w:p>
      <w:pPr>
        <w:ind w:firstLine="560" w:firstLineChars="200"/>
        <w:rPr>
          <w:rFonts w:ascii="仿宋" w:eastAsia="仿宋" w:hAnsi="仿宋" w:cs="仿宋" w:hint="eastAsia"/>
          <w:sz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技术的可持续性实践可以增强社区参与和合作。例如，它可以通过数字化和信息技术，促进公众参与环境保护和社区发展的决策过程。此外，它还可以促进企业、政府和社会组织之间的合作，共同推动可持续发展的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塑造可持续的文化价值观：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核苷类药物技术的可持续性实践可以塑造可持续的文化价值观。例如，它可以通过提倡环保、低碳和可持续生活方式，引导人们形成绿色、节约资源的价值观念。此外，它还可以促进文化创意产业的发展，将艺术和文化与可持续发展相结合，推动社会的艺术价值和文化内涵的传承与发展。</w:t>
      </w:r>
    </w:p>
    <w:p>
      <w:pPr>
        <w:pStyle w:val="Heading1"/>
        <w:ind w:firstLine="560" w:firstLineChars="200"/>
        <w:rPr>
          <w:rFonts w:ascii="仿宋" w:eastAsia="仿宋" w:hAnsi="仿宋" w:cs="仿宋" w:hint="eastAsia"/>
          <w:sz w:val="28"/>
          <w:lang w:eastAsia="zh-CN"/>
        </w:rPr>
      </w:pPr>
      <w:bookmarkStart w:id="29" w:name="_Toc21789"/>
      <w:r>
        <w:rPr>
          <w:rFonts w:ascii="仿宋" w:eastAsia="仿宋" w:hAnsi="仿宋" w:cs="仿宋" w:hint="eastAsia"/>
          <w:sz w:val="28"/>
          <w:lang w:eastAsia="zh-CN"/>
        </w:rPr>
        <w:t>七、消防安全</w:t>
      </w:r>
      <w:bookmarkEnd w:id="29"/>
    </w:p>
    <w:p>
      <w:pPr>
        <w:pStyle w:val="Heading2"/>
        <w:rPr>
          <w:rFonts w:ascii="仿宋" w:eastAsia="仿宋" w:hAnsi="仿宋" w:cs="仿宋" w:hint="eastAsia"/>
          <w:lang w:eastAsia="zh-CN"/>
        </w:rPr>
      </w:pPr>
      <w:bookmarkStart w:id="30" w:name="_Toc27952"/>
      <w:r>
        <w:rPr>
          <w:rFonts w:ascii="仿宋" w:eastAsia="仿宋" w:hAnsi="仿宋" w:cs="仿宋" w:hint="eastAsia"/>
          <w:lang w:eastAsia="zh-CN"/>
        </w:rPr>
        <w:t>(一)、核苷类药物项目消防设计依据及原则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设计的基础是一系列相关法规、规范以及标准，这些包括但不限于《建筑设计防火规范》、《高层民用建筑设计防火规范》和《建筑内部装修设计防火规范》。这些法规、规范和标准提供了详细的指导，确保消防设计在各个方面都能够合乎要求。通过这些规定，确保建筑在火灾发生时能够高效地进行人员疏散、火灾扑救和灭火救援，从而最大程度地保障人们的生命安全和财产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消防设计应该秉持一系列原则，以确保建筑在火灾情况下的应对能力。这些原则包括：</w:t>
      </w:r>
    </w:p>
    <w:p>
      <w:pPr>
        <w:ind w:firstLine="560" w:firstLineChars="200"/>
        <w:rPr>
          <w:rFonts w:ascii="仿宋" w:eastAsia="仿宋" w:hAnsi="仿宋" w:cs="仿宋" w:hint="eastAsia"/>
          <w:sz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人员生命安全优先：消防设计的首要目标是保障人员的生命安全。无论何时，建筑都应该为人员提供适当的疏散途径和安全设施，以确保他们在火灾发生时能够快速安全地离开。</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财产损失最小化：除了关注人员安全，消防设计也应该致力于降低火灾对财产造成的损失。这可以通过采用耐火材料、合理划分建筑内部空间、设置火灾隔离区等手段来实现。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便于扑救和恢复使用：消防设计还应该考虑消防队员的扑救行动，以及火灾后建筑的恢复使用。为消防人员提供足够的通道和资源，以便他们能够迅速、有效地进行火灾扑救。同时，设计也应该便于火灾后建筑的修复和重新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预防为主：消防设计强调预防为主，意味着在建筑规划和设计阶段，就应该考虑防火措施。根据建筑的特性和用途，采取相应的防火手段，如设置防火分区、配置自动消防系统等。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疏散和逃生通道：消防设计必须确保建筑内部设置了合适的疏散通道和逃生设施。这包括设立明确的疏散标志、紧急照明系统和疏散楼梯等，以便人员在火灾发生时能够快速有序地离开危险区域。</w:t>
      </w:r>
    </w:p>
    <w:p>
      <w:pPr>
        <w:pStyle w:val="Heading2"/>
        <w:ind w:firstLine="560" w:firstLineChars="200"/>
        <w:rPr>
          <w:rFonts w:ascii="仿宋" w:eastAsia="仿宋" w:hAnsi="仿宋" w:cs="仿宋" w:hint="eastAsia"/>
          <w:sz w:val="28"/>
          <w:lang w:eastAsia="zh-CN"/>
        </w:rPr>
      </w:pPr>
      <w:bookmarkStart w:id="31" w:name="_Toc3323"/>
      <w:r>
        <w:rPr>
          <w:rFonts w:ascii="仿宋" w:eastAsia="仿宋" w:hAnsi="仿宋" w:cs="仿宋" w:hint="eastAsia"/>
          <w:sz w:val="28"/>
          <w:lang w:eastAsia="zh-CN"/>
        </w:rPr>
        <w:t>(二)、核苷类药物项目火灾危险性分析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核苷类药物项目火灾危险性综述：</w:t>
      </w:r>
    </w:p>
    <w:p>
      <w:pPr>
        <w:ind w:firstLine="560" w:firstLineChars="200"/>
        <w:rPr>
          <w:rFonts w:ascii="仿宋" w:eastAsia="仿宋" w:hAnsi="仿宋" w:cs="仿宋" w:hint="eastAsia"/>
          <w:sz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核苷类药物项目的火灾危险性进行全面分析和评估是一项必要的工作。在这个过程中，我们会考虑诸多因素，包括建筑的结构、所使用的材料、电气设备的配置等等。通过综合考虑这些因素，我们能够准确地确定核苷类药物项目可能面临的火灾风险区域以及其严重程度。这为我们采取相应的防火措施和应急预案提供了有力支持，以降低火灾风险，保护人员和财产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核苷类药物项目电气：</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电气系统在核苷类药物项目中扮演着至关重要的角色，包括发电、能源分配和电气设备。为确保这些系统的安全性和可靠性，我们将严格遵循相关的电气法规和标准。这涵盖了正确的设备安装、合适的线缆选择，以及设立适当的电路保护机制。我们的目标是确保电气系统能够正常运行，避免电气故障可能导致的火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核苷类药物项目排水、采暖与通风：</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中的排水、采暖和通风系统对建筑物的舒适性和安全性至关重要。排水系统需要能够有效处理废水，确保不会引发火灾和环境问题。采暖系统需要稳定运行，为建筑物提供舒适的温度，同时确保系统的安全性。通风系统需要保证室内空气流通，减少火灾发生的可能性。我们将遵循建筑法规和标准，确保这些系统在设计和运行中的安全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核苷类药物项目主要火灾风险规避措施：</w:t>
      </w:r>
    </w:p>
    <w:p>
      <w:pPr>
        <w:ind w:firstLine="560" w:firstLineChars="200"/>
        <w:rPr>
          <w:rFonts w:ascii="仿宋" w:eastAsia="仿宋" w:hAnsi="仿宋" w:cs="仿宋" w:hint="eastAsia"/>
          <w:sz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在核苷类药物项目的各个阶段采取一系列措施来规避主要的火灾风险。首先，从建筑的规划和施工开始，我们将遵循相关法规和标准，确保建筑结构和电气系统的合规性。其次，废水处理将遵循环保法规，避免废水排放可能引发的安全隐患。此外，在核苷类药物项目的运营阶段，我们将定期进行消防安全检查和员工培训，提高员工的安全意识和应急处理能力，以便在火灾发生时能够迅速响应。综合考虑，我们的目标是通过一系列火灾风险规避措施，确保核苷类药物项目在各个环节都能够安全运行，最大限度地降低火灾风险对人员和财产造成的威胁。</w:t>
      </w:r>
    </w:p>
    <w:p>
      <w:pPr>
        <w:pStyle w:val="Heading1"/>
        <w:ind w:firstLine="560" w:firstLineChars="200"/>
        <w:rPr>
          <w:rFonts w:ascii="仿宋" w:eastAsia="仿宋" w:hAnsi="仿宋" w:cs="仿宋" w:hint="eastAsia"/>
          <w:sz w:val="28"/>
          <w:lang w:eastAsia="zh-CN"/>
        </w:rPr>
      </w:pPr>
      <w:bookmarkStart w:id="32" w:name="_Toc29504"/>
      <w:r>
        <w:rPr>
          <w:rFonts w:ascii="仿宋" w:eastAsia="仿宋" w:hAnsi="仿宋" w:cs="仿宋" w:hint="eastAsia"/>
          <w:sz w:val="28"/>
          <w:lang w:eastAsia="zh-CN"/>
        </w:rPr>
        <w:t>八、技术创新和研发成果转化</w:t>
      </w:r>
      <w:bookmarkEnd w:id="32"/>
    </w:p>
    <w:p>
      <w:pPr>
        <w:pStyle w:val="Heading2"/>
        <w:rPr>
          <w:rFonts w:ascii="仿宋" w:eastAsia="仿宋" w:hAnsi="仿宋" w:cs="仿宋" w:hint="eastAsia"/>
          <w:lang w:eastAsia="zh-CN"/>
        </w:rPr>
      </w:pPr>
      <w:bookmarkStart w:id="33" w:name="_Toc13939"/>
      <w:r>
        <w:rPr>
          <w:rFonts w:ascii="仿宋" w:eastAsia="仿宋" w:hAnsi="仿宋" w:cs="仿宋" w:hint="eastAsia"/>
          <w:lang w:eastAsia="zh-CN"/>
        </w:rPr>
        <w:t>(一)、技术创新的目标和途径</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技术创新目标的设定：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业务需求分析：对当前业务和市场需求进行深入分析，确定技术创新的目标和方向，以满足市场的需求和提升企业的竞争力。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目标明确化：将技术创新目标具体化和可量化，如提高产品质量、降低成本、提升生产效率、改善用户体验等，确保目标的具体性和可衡量性。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技术创新途径的选择：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内部研发：通过内部研发团队进行技术创新，进行新产品的研发、技术改进和优化，提升企业的核心竞争力。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合作伙伴关系：与外部合作伙伴建立合作关系，共同进行技术创新，如与高校、研究机构、行业协会等合作，共享资源和知识，实现技术的跨界融合。</w:t>
      </w:r>
    </w:p>
    <w:p>
      <w:pPr>
        <w:ind w:firstLine="560" w:firstLineChars="200"/>
        <w:rPr>
          <w:rFonts w:ascii="仿宋" w:eastAsia="仿宋" w:hAnsi="仿宋" w:cs="仿宋" w:hint="eastAsia"/>
          <w:sz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收购和并购：通过收购或并购具有相关技术能力和创新实力的企业，快速获取技术和人才，加速技术创新的进程。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开放创新：通过开放创新的方式，与外部创新者、开发者和用户进行合作，共同推动技术的发展和应用，如开放API、创新大赛等。</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技术创新管理和支持：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创新团队建设：建立专门的创新团队或部门，负责技术创新的规划、组织和执行，吸引和培养具有创新能力的人才。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创新文化营造：营造积极的创新文化和氛围，鼓励员工提出新想法和创新方案，建立奖励机制，激励创新行为。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技术支持和资源投入：为技术创新提供必要的资源和支持，包括资金、设备、技术平台等，确保技术创新的顺利进行。</w:t>
      </w:r>
    </w:p>
    <w:p>
      <w:pPr>
        <w:pStyle w:val="Heading2"/>
        <w:ind w:firstLine="560" w:firstLineChars="200"/>
        <w:rPr>
          <w:rFonts w:ascii="仿宋" w:eastAsia="仿宋" w:hAnsi="仿宋" w:cs="仿宋" w:hint="eastAsia"/>
          <w:sz w:val="28"/>
          <w:lang w:eastAsia="zh-CN"/>
        </w:rPr>
      </w:pPr>
      <w:bookmarkStart w:id="34" w:name="_Toc30214"/>
      <w:r>
        <w:rPr>
          <w:rFonts w:ascii="仿宋" w:eastAsia="仿宋" w:hAnsi="仿宋" w:cs="仿宋" w:hint="eastAsia"/>
          <w:sz w:val="28"/>
          <w:lang w:eastAsia="zh-CN"/>
        </w:rPr>
        <w:t>(二)、研发成果转化的流程和机制</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技术评估：对研发成果进行技术评估，评估其可行性和商业化潜力，确定是否具备转化为实际产品或服务的条件。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市场需求分析：分析市场需求和竞争情况，确定研发成果在市场上的定位和竞争优势，为后续转化提供市场定位和营销策略的依据。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商业模式设计：设计合适的商业模式，包括产品定价、销售渠道、合作伙伴关系等，确保研发成果能够在商业上具有可持续的竞争力和盈利能力。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资源整合：整合必要的资源，包括人力、资金、设备等，为研发成果的转化提供支持和保障。</w:t>
      </w:r>
    </w:p>
    <w:p>
      <w:pPr>
        <w:ind w:firstLine="560" w:firstLineChars="200"/>
        <w:rPr>
          <w:rFonts w:ascii="仿宋" w:eastAsia="仿宋" w:hAnsi="仿宋" w:cs="仿宋" w:hint="eastAsia"/>
          <w:sz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转化机制：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知识产权保护：确保研发成果的知识产权得到充分保护，包括申请专利、商标注册等，防止知识产权的侵权和滥用。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技术转让与许可：通过技术转让或许可的方式，将研发成果转化为商业化产品或服务，与合作伙伴进行合作，共同推动研发成果的应用和推广。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创业孵化和投资：建立创业孵化机制，为有创新潜力的研发成果提供创业支持和投资，帮助其快速转化为商业化核苷类药物项目。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政策支持和资金扶持：利用政府的创新政策和资金扶持措施，提供资金支持和政策支持，推动研发成果的转化和推广。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成果监测：建立成果监测机制，对研发成果的转化过程进行监测和跟踪，了解转化的进展和效果，及时发现问题和改进机会。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效果评估：对转化后的产品或服务进行效果评估，包括市场反馈、用户满意度、经济效益等，评估转化的成功度和可持续性。</w:t>
      </w:r>
    </w:p>
    <w:p>
      <w:pPr>
        <w:pStyle w:val="Heading2"/>
        <w:ind w:firstLine="560" w:firstLineChars="200"/>
        <w:rPr>
          <w:rFonts w:ascii="仿宋" w:eastAsia="仿宋" w:hAnsi="仿宋" w:cs="仿宋" w:hint="eastAsia"/>
          <w:sz w:val="28"/>
          <w:lang w:eastAsia="zh-CN"/>
        </w:rPr>
      </w:pPr>
      <w:bookmarkStart w:id="35" w:name="_Toc6711"/>
      <w:r>
        <w:rPr>
          <w:rFonts w:ascii="仿宋" w:eastAsia="仿宋" w:hAnsi="仿宋" w:cs="仿宋" w:hint="eastAsia"/>
          <w:sz w:val="28"/>
          <w:lang w:eastAsia="zh-CN"/>
        </w:rPr>
        <w:t>(三)、技术创新和研发成果转化的风险控制</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技术评估和市场分析：</w:t>
      </w:r>
    </w:p>
    <w:p>
      <w:pPr>
        <w:ind w:firstLine="560" w:firstLineChars="200"/>
        <w:rPr>
          <w:rFonts w:ascii="仿宋" w:eastAsia="仿宋" w:hAnsi="仿宋" w:cs="仿宋" w:hint="eastAsia"/>
          <w:sz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研发成果转化的初期阶段，进行技术评估和市场分析是至关重要的。技术评估目的是评估研发成果的技术可行性和商业化潜力，确定其成熟度和可转化性。市场分析则旨在了解目标市场的需求、竞争情况和商业机会，为后续转化提供市场定位和营销策略的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1.2 商业模式设计：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商业模式是研发成果转化的关键要素之一。它涵盖了产品定位、目标用户群体、销售渠道、收入模式等方面。通过设计合适的商业模式，可以确保研发成果在商业上具有可持续的竞争力和盈利能力。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1.3 资源整合：</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研发成果转化需要充分整合各种资源，包括人力、资金、设备和技术支持等。确保所需资源的有效配置和协调，以支持研发成果的转化过程。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转化机制：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2.1 知识产权保护：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在研发成果转化过程中，保护知识产权是至关重要的。通过申请专利、商标注册等方式，确保研发成果的知识产权得到充分保护，防止知识产权的侵权和滥用。</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技术转让与许可：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技术转让和许可是一种常见的转化机制。通过与合作伙伴进行技术转让或许可协议，将研发成果转化为商业化产品或服务。这种方式可以借助合作伙伴的资源和渠道，加速研发成果的推广和应用。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2.3 创业孵化和投资：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对于有创新潜力的研发成果，创业孵化和投资是一种有效的转化机制。通过创业孵化机构的支持和投资，帮助研发成果快速转化为商业化核苷类药物项目，并提供必要的资金、导师指导和市场资源。</w:t>
      </w:r>
    </w:p>
    <w:p>
      <w:pPr>
        <w:ind w:firstLine="560" w:firstLineChars="200"/>
        <w:rPr>
          <w:rFonts w:ascii="仿宋" w:eastAsia="仿宋" w:hAnsi="仿宋" w:cs="仿宋" w:hint="eastAsia"/>
          <w:sz w:val="28"/>
        </w:rPr>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2.4 政策支持和资金扶持：</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政府和相关机构提供的创新政策和资金扶持措施是推动研发成果转化的重要支持。通过利用政策支持和资金扶持，为研发成果的转化和推广提供资金支持和政策支持，降低转化风险和成本。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3.1 成果监测：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建立成果监测机制，对研发成果的转化过程进行监测和跟踪，了解转化的进展和效果。通过监测，可以及时发现问题和改进机会，确保转化过程的顺利进行。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3.2 效果评估：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对转化后的产品或服务进行效果评估，包括市场反馈、用户满意度、经济效益等方面。通过评估转化的成功度和可持续性，为进一步的改进和优化提供依据。</w:t>
      </w:r>
    </w:p>
    <w:p>
      <w:pPr>
        <w:pStyle w:val="Heading1"/>
        <w:ind w:firstLine="560" w:firstLineChars="200"/>
        <w:rPr>
          <w:rFonts w:ascii="仿宋" w:eastAsia="仿宋" w:hAnsi="仿宋" w:cs="仿宋" w:hint="eastAsia"/>
          <w:sz w:val="28"/>
          <w:lang w:eastAsia="zh-CN"/>
        </w:rPr>
      </w:pPr>
      <w:bookmarkStart w:id="36" w:name="_Toc18841"/>
      <w:r>
        <w:rPr>
          <w:rFonts w:ascii="仿宋" w:eastAsia="仿宋" w:hAnsi="仿宋" w:cs="仿宋" w:hint="eastAsia"/>
          <w:sz w:val="28"/>
          <w:lang w:eastAsia="zh-CN"/>
        </w:rPr>
        <w:t>九、社会投资和慈善计划</w:t>
      </w:r>
      <w:bookmarkEnd w:id="36"/>
    </w:p>
    <w:p>
      <w:pPr>
        <w:pStyle w:val="Heading2"/>
        <w:rPr>
          <w:rFonts w:ascii="仿宋" w:eastAsia="仿宋" w:hAnsi="仿宋" w:cs="仿宋" w:hint="eastAsia"/>
          <w:lang w:eastAsia="zh-CN"/>
        </w:rPr>
      </w:pPr>
      <w:bookmarkStart w:id="37" w:name="_Toc22919"/>
      <w:r>
        <w:rPr>
          <w:rFonts w:ascii="仿宋" w:eastAsia="仿宋" w:hAnsi="仿宋" w:cs="仿宋" w:hint="eastAsia"/>
          <w:lang w:eastAsia="zh-CN"/>
        </w:rPr>
        <w:t>(一)、社会责任投资和捐赠计划</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企业社会责任的重要性：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社会责任是企业应尽的道德义务和社会角色。通过承担社会责任，企业能够增强其社会声誉、树立良好的企业形象，并与利益相关者建立良好的关系。社会责任投资和捐赠计划是企业履行社会责任的重要手段之一。</w:t>
      </w:r>
    </w:p>
    <w:p>
      <w:pPr>
        <w:ind w:firstLine="560" w:firstLineChars="200"/>
        <w:rPr>
          <w:rFonts w:ascii="仿宋" w:eastAsia="仿宋" w:hAnsi="仿宋" w:cs="仿宋" w:hint="eastAsia"/>
          <w:sz w:val="28"/>
        </w:rPr>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社会影响力和可持续发展：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社会责任投资和捐赠计划可以帮助企业在社会中产生积极的影响力。通过投资和捐赠，企业可以推动社会的可持续发展，改善社会福利，解决社会问题。这不仅有助于社会的进步，也有助于企业的可持续发展。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可行性评估和目标设定：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社会责任投资和捐赠计划时，需要进行可行性评估和目标设定。可行性评估包括对投资和捐赠核苷类药物项目的可行性进行评估，包括核苷类药物项目的社会影响、资源需求、风险评估等方面。目标设定包括明确投资和捐赠的目标、范围和时间框架，确保计划的可操作性和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利益相关者的参与和合作：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社会责任投资和捐赠计划需要与利益相关者进行合作和协调。利益相关者包括政府部门、非营利组织、社区居民等。与利益相关者的合作可以增加计划的可行性和影响力，确保计划符合社会需求，解决实际问题。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成效评估和透明度：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投资和捐赠计划需要进行成效评估和透明度的展示。通过评估计划的成效，可以及时调整和改进计划，提高投资和捐赠的效果。透明度的展示可以增加公众对企业社会责任的认可度和信任度，提升企业形象和品牌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7" w:history="1">
        <w:r>
          <w:rPr>
            <w:rFonts w:ascii="SimSun" w:eastAsia="SimSun" w:hAnsi="SimSun" w:cs="SimSun"/>
            <w:b/>
            <w:bCs/>
            <w:color w:val="0000EE"/>
            <w:kern w:val="0"/>
            <w:sz w:val="30"/>
            <w:szCs w:val="30"/>
            <w:u w:val="single" w:color="0000EE"/>
          </w:rPr>
          <w:t>https://d.book118.com/915134311003011034</w:t>
        </w:r>
      </w:hyperlink>
    </w:p>
    <w:p>
      <w:pPr>
        <w:ind w:firstLine="560" w:firstLineChars="200"/>
        <w:rPr>
          <w:rFonts w:ascii="仿宋" w:eastAsia="仿宋" w:hAnsi="仿宋" w:cs="仿宋" w:hint="eastAsia"/>
          <w:sz w:val="28"/>
        </w:rPr>
      </w:pPr>
    </w:p>
    <w:sectPr>
      <w:headerReference w:type="default" r:id="rId58"/>
      <w:footerReference w:type="default" r:id="rId59"/>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638DD"/>
    <w:rsid w:val="7E1638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yperlink" Target="https://d.book118.com/915134311003011034" TargetMode="Externa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theme" Target="theme/theme1.xml" /><Relationship Id="rId61"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2023-12-15T18:56:00Z</dcterms:created>
  <dcterms:modified xsi:type="dcterms:W3CDTF">2023-12-15T18:56:43Z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