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08" w:line="225" w:lineRule="auto"/>
        <w:ind w:left="1075"/>
        <w:outlineLvl w:val="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8"/>
          <w:sz w:val="43"/>
          <w:szCs w:val="43"/>
        </w:rPr>
        <w:t>第二章</w:t>
      </w:r>
      <w:r>
        <w:rPr>
          <w:rFonts w:ascii="SimHei" w:eastAsia="SimHei" w:hAnsi="SimHei" w:cs="SimHei"/>
          <w:spacing w:val="8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8"/>
          <w:sz w:val="43"/>
          <w:szCs w:val="43"/>
        </w:rPr>
        <w:t>项目建设背景、必要性分析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26"/>
        <w:outlineLvl w:val="1"/>
        <w:rPr>
          <w:sz w:val="31"/>
          <w:szCs w:val="31"/>
        </w:rPr>
      </w:pPr>
      <w:r>
        <w:rPr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第一节</w:t>
      </w:r>
      <w:r>
        <w:rPr>
          <w:spacing w:val="9"/>
          <w:sz w:val="31"/>
          <w:szCs w:val="31"/>
        </w:rPr>
        <w:t xml:space="preserve"> </w:t>
      </w:r>
      <w:r>
        <w:rPr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项目建设背景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30"/>
        <w:outlineLvl w:val="2"/>
        <w:rPr>
          <w:sz w:val="30"/>
          <w:szCs w:val="30"/>
        </w:rPr>
      </w:pPr>
      <w:r>
        <w:rPr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一、政策背景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18"/>
        <w:outlineLvl w:val="3"/>
        <w:rPr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5"/>
          <w:sz w:val="28"/>
          <w:szCs w:val="28"/>
        </w:rPr>
        <w:t>1</w:t>
      </w:r>
      <w:r>
        <w:rPr>
          <w:rFonts w:ascii="Cambria" w:eastAsia="Cambria" w:hAnsi="Cambria" w:cs="Cambria"/>
          <w:b/>
          <w:bCs/>
          <w:spacing w:val="-25"/>
          <w:sz w:val="28"/>
          <w:szCs w:val="28"/>
        </w:rPr>
        <w:t xml:space="preserve"> </w:t>
      </w:r>
      <w:r>
        <w:rPr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、国家产业结构政策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jc w:val="right"/>
      </w:pPr>
      <w:r>
        <w:rPr>
          <w:rFonts w:ascii="Times New Roman" w:eastAsia="Times New Roman" w:hAnsi="Times New Roman" w:cs="Times New Roman"/>
          <w:spacing w:val="-9"/>
          <w:position w:val="17"/>
        </w:rPr>
        <w:t xml:space="preserve">2013 </w:t>
      </w:r>
      <w:r>
        <w:rPr>
          <w:spacing w:val="-9"/>
          <w:position w:val="17"/>
        </w:rPr>
        <w:t>年</w:t>
      </w:r>
      <w:r>
        <w:rPr>
          <w:spacing w:val="-55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7"/>
        </w:rPr>
        <w:t>2</w:t>
      </w:r>
      <w:r>
        <w:rPr>
          <w:rFonts w:ascii="Times New Roman" w:eastAsia="Times New Roman" w:hAnsi="Times New Roman" w:cs="Times New Roman"/>
          <w:spacing w:val="15"/>
          <w:w w:val="101"/>
          <w:position w:val="17"/>
        </w:rPr>
        <w:t xml:space="preserve"> </w:t>
      </w:r>
      <w:r>
        <w:rPr>
          <w:spacing w:val="-9"/>
          <w:position w:val="17"/>
        </w:rPr>
        <w:t>月，国家发展改革委公布了</w:t>
      </w:r>
      <w:r>
        <w:rPr>
          <w:spacing w:val="-9"/>
          <w:position w:val="17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《产业结构调整指导目录（</w:t>
      </w:r>
      <w:r>
        <w:rPr>
          <w:rFonts w:ascii="Times New Roman" w:eastAsia="Times New Roman" w:hAnsi="Times New Roman" w:cs="Times New Roman"/>
          <w:b/>
          <w:bCs/>
          <w:spacing w:val="-9"/>
          <w:position w:val="17"/>
        </w:rPr>
        <w:t xml:space="preserve">2011 </w:t>
      </w:r>
      <w:r>
        <w:rPr>
          <w:spacing w:val="-9"/>
          <w:position w:val="17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spacing w:val="-10"/>
          <w:position w:val="17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本）》</w:t>
      </w:r>
    </w:p>
    <w:p>
      <w:pPr>
        <w:pStyle w:val="BodyText"/>
        <w:spacing w:before="1" w:line="219" w:lineRule="auto"/>
        <w:ind w:left="19"/>
      </w:pP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2013 </w:t>
      </w:r>
      <w:r>
        <w:rPr>
          <w:spacing w:val="-1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修正版</w:t>
      </w:r>
      <w:r>
        <w:rPr>
          <w:spacing w:val="-1"/>
        </w:rPr>
        <w:t>。</w:t>
      </w:r>
    </w:p>
    <w:p>
      <w:pPr>
        <w:pStyle w:val="BodyText"/>
        <w:spacing w:before="183" w:line="360" w:lineRule="auto"/>
        <w:ind w:left="22" w:right="105" w:firstLine="481"/>
      </w:pPr>
      <w:r>
        <w:rPr>
          <w:spacing w:val="-5"/>
        </w:rPr>
        <w:t>其中，在“鼓励类</w:t>
      </w:r>
      <w:r>
        <w:rPr>
          <w:spacing w:val="-88"/>
        </w:rPr>
        <w:t xml:space="preserve"> </w:t>
      </w:r>
      <w:r>
        <w:rPr>
          <w:spacing w:val="-5"/>
        </w:rPr>
        <w:t>”的第三十八项“环境保护与资源节约综合利用</w:t>
      </w:r>
      <w:r>
        <w:rPr>
          <w:spacing w:val="-86"/>
        </w:rPr>
        <w:t xml:space="preserve"> </w:t>
      </w:r>
      <w:r>
        <w:rPr>
          <w:spacing w:val="-6"/>
        </w:rPr>
        <w:t>”中，提</w:t>
      </w:r>
      <w:r>
        <w:t xml:space="preserve"> </w:t>
      </w:r>
      <w:r>
        <w:rPr>
          <w:spacing w:val="-3"/>
        </w:rPr>
        <w:t>出了“</w:t>
      </w:r>
      <w:r>
        <w:rPr>
          <w:spacing w:val="-93"/>
        </w:rPr>
        <w:t xml:space="preserve"> </w:t>
      </w:r>
      <w:r>
        <w:rPr>
          <w:spacing w:val="-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区域性废旧汽车、</w:t>
      </w:r>
      <w:r>
        <w:rPr>
          <w:spacing w:val="-3"/>
        </w:rPr>
        <w:t>废旧电器电子产品</w:t>
      </w:r>
      <w:r>
        <w:rPr>
          <w:spacing w:val="-4"/>
        </w:rPr>
        <w:t>、废旧船舶、废钢铁、废旧木材</w:t>
      </w:r>
      <w:r>
        <w:rPr>
          <w:spacing w:val="-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等资</w:t>
      </w:r>
      <w:r>
        <w:t xml:space="preserve"> </w:t>
      </w:r>
      <w:r>
        <w:rPr>
          <w:spacing w:val="-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源循环利用基地建设</w:t>
      </w:r>
      <w:r>
        <w:rPr>
          <w:spacing w:val="-72"/>
        </w:rPr>
        <w:t xml:space="preserve"> </w:t>
      </w:r>
      <w:r>
        <w:rPr>
          <w:spacing w:val="-4"/>
        </w:rPr>
        <w:t>”和“</w:t>
      </w:r>
      <w:r>
        <w:rPr>
          <w:spacing w:val="-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废旧汽车</w:t>
      </w:r>
      <w:r>
        <w:rPr>
          <w:spacing w:val="-4"/>
        </w:rPr>
        <w:t>、工程机械、矿山机械、机床产品、农业机</w:t>
      </w:r>
      <w:r>
        <w:t xml:space="preserve"> </w:t>
      </w:r>
      <w:r>
        <w:rPr>
          <w:spacing w:val="-3"/>
        </w:rPr>
        <w:t>械、船舶等废旧机电产品及零部件再利用、再制造，墨盒、有机光导鼓的再制造</w:t>
      </w:r>
      <w:r>
        <w:rPr>
          <w:spacing w:val="1"/>
        </w:rPr>
        <w:t xml:space="preserve"> </w:t>
      </w:r>
      <w:r>
        <w:rPr>
          <w:spacing w:val="-5"/>
        </w:rPr>
        <w:t>（再填充）”。在“鼓励类</w:t>
      </w:r>
      <w:r>
        <w:rPr>
          <w:spacing w:val="-78"/>
        </w:rPr>
        <w:t xml:space="preserve"> </w:t>
      </w:r>
      <w:r>
        <w:rPr>
          <w:spacing w:val="-5"/>
        </w:rPr>
        <w:t>”的第三十三项“商贸服务业</w:t>
      </w:r>
      <w:r>
        <w:rPr>
          <w:spacing w:val="-88"/>
        </w:rPr>
        <w:t xml:space="preserve"> </w:t>
      </w:r>
      <w:r>
        <w:rPr>
          <w:spacing w:val="-5"/>
        </w:rPr>
        <w:t>”中，提出了“现代化</w:t>
      </w:r>
      <w:r>
        <w:t xml:space="preserve"> </w:t>
      </w:r>
      <w:r>
        <w:rPr>
          <w:spacing w:val="-5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二手车交易</w:t>
      </w:r>
      <w:r>
        <w:rPr>
          <w:spacing w:val="-5"/>
        </w:rPr>
        <w:t>服务体系建设</w:t>
      </w:r>
      <w:r>
        <w:rPr>
          <w:spacing w:val="-88"/>
        </w:rPr>
        <w:t xml:space="preserve"> </w:t>
      </w:r>
      <w:r>
        <w:rPr>
          <w:spacing w:val="-5"/>
        </w:rPr>
        <w:t>”。在“鼓励类</w:t>
      </w:r>
      <w:r>
        <w:rPr>
          <w:spacing w:val="-88"/>
        </w:rPr>
        <w:t xml:space="preserve"> </w:t>
      </w:r>
      <w:r>
        <w:rPr>
          <w:spacing w:val="-5"/>
        </w:rPr>
        <w:t>”的</w:t>
      </w:r>
      <w:r>
        <w:rPr>
          <w:spacing w:val="-6"/>
        </w:rPr>
        <w:t>第十六项“汽车</w:t>
      </w:r>
      <w:r>
        <w:rPr>
          <w:spacing w:val="-88"/>
        </w:rPr>
        <w:t xml:space="preserve"> </w:t>
      </w:r>
      <w:r>
        <w:rPr>
          <w:spacing w:val="-6"/>
        </w:rPr>
        <w:t>”中，提出了“</w:t>
      </w:r>
      <w:r>
        <w:rPr>
          <w:spacing w:val="-6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汽</w:t>
      </w:r>
    </w:p>
    <w:p>
      <w:pPr>
        <w:pStyle w:val="BodyText"/>
        <w:spacing w:line="219" w:lineRule="auto"/>
        <w:ind w:left="25"/>
      </w:pPr>
      <w:r>
        <w:rPr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车产品开发、试验、检测设备及设施建设</w:t>
      </w:r>
      <w:r>
        <w:rPr>
          <w:spacing w:val="-83"/>
        </w:rPr>
        <w:t xml:space="preserve"> </w:t>
      </w:r>
      <w:r>
        <w:t>”。</w:t>
      </w:r>
    </w:p>
    <w:p>
      <w:pPr>
        <w:pStyle w:val="BodyText"/>
        <w:spacing w:before="183" w:line="219" w:lineRule="auto"/>
        <w:ind w:left="522"/>
      </w:pPr>
      <w:r>
        <w:rPr>
          <w:spacing w:val="-3"/>
        </w:rPr>
        <w:t>因此，本项目属于“鼓励类</w:t>
      </w:r>
      <w:r>
        <w:rPr>
          <w:spacing w:val="-75"/>
        </w:rPr>
        <w:t xml:space="preserve"> </w:t>
      </w:r>
      <w:r>
        <w:rPr>
          <w:spacing w:val="-3"/>
        </w:rPr>
        <w:t>”产业，符合国家产业政策。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11"/>
        <w:outlineLvl w:val="3"/>
        <w:rPr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2</w:t>
      </w:r>
      <w:r>
        <w:rPr>
          <w:rFonts w:ascii="Cambria" w:eastAsia="Cambria" w:hAnsi="Cambria" w:cs="Cambria"/>
          <w:b/>
          <w:bCs/>
          <w:spacing w:val="-31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、《报废机动车回收管理办法》（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715</w:t>
      </w:r>
      <w:r>
        <w:rPr>
          <w:rFonts w:ascii="Cambria" w:eastAsia="Cambria" w:hAnsi="Cambria" w:cs="Cambria"/>
          <w:b/>
          <w:bCs/>
          <w:spacing w:val="25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号</w:t>
      </w:r>
      <w:r>
        <w:rPr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令）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79" w:line="360" w:lineRule="auto"/>
        <w:ind w:left="27" w:right="117" w:firstLine="475"/>
      </w:pPr>
      <w:r>
        <w:rPr>
          <w:spacing w:val="-1"/>
        </w:rPr>
        <w:t>近日，国务院正式公布《报废机动车回收管理办法》</w:t>
      </w:r>
      <w:r>
        <w:rPr>
          <w:rFonts w:ascii="Times New Roman" w:eastAsia="Times New Roman" w:hAnsi="Times New Roman" w:cs="Times New Roman"/>
          <w:spacing w:val="-1"/>
        </w:rPr>
        <w:t>(</w:t>
      </w:r>
      <w:r>
        <w:rPr>
          <w:spacing w:val="-1"/>
        </w:rPr>
        <w:t>以下简称《办法》</w:t>
      </w:r>
      <w:r>
        <w:rPr>
          <w:rFonts w:ascii="Times New Roman" w:eastAsia="Times New Roman" w:hAnsi="Times New Roman" w:cs="Times New Roman"/>
          <w:spacing w:val="-1"/>
        </w:rPr>
        <w:t>)</w:t>
      </w:r>
      <w:r>
        <w:rPr>
          <w:spacing w:val="-1"/>
        </w:rPr>
        <w:t>，</w:t>
      </w:r>
      <w:r>
        <w:rPr>
          <w:spacing w:val="11"/>
        </w:rPr>
        <w:t xml:space="preserve"> </w:t>
      </w:r>
      <w:r>
        <w:rPr>
          <w:spacing w:val="-3"/>
        </w:rPr>
        <w:t>自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2019 </w:t>
      </w:r>
      <w:r>
        <w:rPr>
          <w:spacing w:val="-3"/>
        </w:rPr>
        <w:t>年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6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3"/>
        </w:rPr>
        <w:t>月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  </w:t>
      </w:r>
      <w:r>
        <w:rPr>
          <w:spacing w:val="-3"/>
        </w:rPr>
        <w:t>日起施行。《管理办法》允许将具备再制造条件的报废机动车</w:t>
      </w:r>
      <w:r>
        <w:t xml:space="preserve"> </w:t>
      </w:r>
      <w:r>
        <w:rPr>
          <w:spacing w:val="-4"/>
        </w:rPr>
        <w:t>发动机、变速器等“五大总成</w:t>
      </w:r>
      <w:r>
        <w:rPr>
          <w:spacing w:val="-88"/>
        </w:rPr>
        <w:t xml:space="preserve"> </w:t>
      </w:r>
      <w:r>
        <w:rPr>
          <w:spacing w:val="-4"/>
        </w:rPr>
        <w:t>”出售给再制造企业，并对回收、拆解等环节规定</w:t>
      </w:r>
    </w:p>
    <w:p>
      <w:pPr>
        <w:pStyle w:val="BodyText"/>
        <w:spacing w:line="219" w:lineRule="auto"/>
        <w:ind w:left="45"/>
      </w:pPr>
      <w:r>
        <w:rPr>
          <w:spacing w:val="-4"/>
        </w:rPr>
        <w:t>了更严格的环保要求。</w:t>
      </w:r>
    </w:p>
    <w:p>
      <w:pPr>
        <w:pStyle w:val="BodyText"/>
        <w:spacing w:before="183" w:line="360" w:lineRule="auto"/>
        <w:ind w:left="23" w:right="117" w:firstLine="468"/>
      </w:pPr>
      <w:r>
        <w:rPr>
          <w:spacing w:val="1"/>
        </w:rPr>
        <w:t>“五大总成</w:t>
      </w:r>
      <w:r>
        <w:rPr>
          <w:spacing w:val="-70"/>
        </w:rPr>
        <w:t xml:space="preserve"> </w:t>
      </w:r>
      <w:r>
        <w:rPr>
          <w:spacing w:val="1"/>
        </w:rPr>
        <w:t>”指汽车的发动机、变速器、前桥、后桥和车架。</w:t>
      </w:r>
      <w:r>
        <w:rPr>
          <w:rFonts w:ascii="Times New Roman" w:eastAsia="Times New Roman" w:hAnsi="Times New Roman" w:cs="Times New Roman"/>
          <w:spacing w:val="1"/>
        </w:rPr>
        <w:t xml:space="preserve">2001 </w:t>
      </w:r>
      <w:r>
        <w:rPr>
          <w:spacing w:val="1"/>
        </w:rPr>
        <w:t>年出台</w:t>
      </w:r>
      <w:r>
        <w:t xml:space="preserve"> </w:t>
      </w:r>
      <w:r>
        <w:rPr>
          <w:spacing w:val="-4"/>
        </w:rPr>
        <w:t>的《报废汽车回收管理办法》规定报废机动车的“五大总成</w:t>
      </w:r>
      <w:r>
        <w:rPr>
          <w:spacing w:val="-84"/>
        </w:rPr>
        <w:t xml:space="preserve"> </w:t>
      </w:r>
      <w:r>
        <w:rPr>
          <w:spacing w:val="-4"/>
        </w:rPr>
        <w:t>”只能作为废金属交</w:t>
      </w:r>
      <w:r>
        <w:t xml:space="preserve"> </w:t>
      </w:r>
      <w:r>
        <w:rPr>
          <w:spacing w:val="-3"/>
        </w:rPr>
        <w:t>售给钢铁企业用作冶炼原料。《管理办法》解禁这一规定，并删去原有“报废机</w:t>
      </w:r>
      <w:r>
        <w:rPr>
          <w:spacing w:val="1"/>
        </w:rPr>
        <w:t xml:space="preserve"> </w:t>
      </w:r>
      <w:r>
        <w:rPr>
          <w:spacing w:val="-4"/>
        </w:rPr>
        <w:t>动车收购价格参照废旧金属市场价格计价</w:t>
      </w:r>
      <w:r>
        <w:rPr>
          <w:spacing w:val="-84"/>
        </w:rPr>
        <w:t xml:space="preserve"> </w:t>
      </w:r>
      <w:r>
        <w:rPr>
          <w:spacing w:val="-4"/>
        </w:rPr>
        <w:t>”这项规定，鼓励报废机动车“五大总</w:t>
      </w:r>
      <w:r>
        <w:t xml:space="preserve"> </w:t>
      </w:r>
      <w:r>
        <w:rPr>
          <w:spacing w:val="-4"/>
        </w:rPr>
        <w:t>成</w:t>
      </w:r>
      <w:r>
        <w:rPr>
          <w:spacing w:val="-84"/>
        </w:rPr>
        <w:t xml:space="preserve"> </w:t>
      </w:r>
      <w:r>
        <w:rPr>
          <w:spacing w:val="-4"/>
        </w:rPr>
        <w:t>”再制造、再利用，由市场主体自行协商确定回收价格。也就是说，允许将报</w:t>
      </w:r>
    </w:p>
    <w:p>
      <w:pPr>
        <w:pStyle w:val="BodyText"/>
        <w:spacing w:before="1" w:line="217" w:lineRule="auto"/>
        <w:ind w:left="22"/>
        <w:sectPr>
          <w:headerReference w:type="default" r:id="rId4"/>
          <w:pgSz w:w="11906" w:h="16839"/>
          <w:pgMar w:top="1342" w:right="1681" w:bottom="0" w:left="1785" w:header="835" w:footer="0" w:gutter="0"/>
          <w:cols w:space="708"/>
        </w:sectPr>
      </w:pPr>
      <w:r>
        <w:rPr>
          <w:spacing w:val="-5"/>
        </w:rPr>
        <w:t>废机动车的“五大总成</w:t>
      </w:r>
      <w:r>
        <w:rPr>
          <w:spacing w:val="-80"/>
        </w:rPr>
        <w:t xml:space="preserve"> </w:t>
      </w:r>
      <w:r>
        <w:rPr>
          <w:spacing w:val="-5"/>
        </w:rPr>
        <w:t>”出售给再制造企业，提高回收价值。“五大总成</w:t>
      </w:r>
      <w:r>
        <w:rPr>
          <w:spacing w:val="-89"/>
        </w:rPr>
        <w:t xml:space="preserve"> </w:t>
      </w:r>
      <w:r>
        <w:rPr>
          <w:spacing w:val="-5"/>
        </w:rPr>
        <w:t>”再制</w:t>
      </w:r>
    </w:p>
    <w:p>
      <w:pPr>
        <w:pStyle w:val="BodyText"/>
        <w:spacing w:before="185" w:line="218" w:lineRule="auto"/>
        <w:ind w:left="22"/>
      </w:pPr>
      <w:r>
        <w:rPr>
          <w:spacing w:val="-3"/>
          <w:u w:val="single" w:color="auto"/>
        </w:rPr>
        <w:t>造解禁，有利于提高回收企业的回收价格，从而提升消费者进行机动车报废的意</w:t>
      </w:r>
    </w:p>
    <w:p>
      <w:pPr>
        <w:pStyle w:val="BodyText"/>
        <w:spacing w:before="129" w:line="162" w:lineRule="auto"/>
        <w:ind w:left="2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z w:val="18"/>
          <w:szCs w:val="18"/>
        </w:rPr>
        <w:t>联系电话：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010-82885739          </w:t>
      </w:r>
      <w:r>
        <w:rPr>
          <w:sz w:val="18"/>
          <w:szCs w:val="18"/>
        </w:rPr>
        <w:t>传真：</w:t>
      </w:r>
      <w:r>
        <w:rPr>
          <w:rFonts w:ascii="Times New Roman" w:eastAsia="Times New Roman" w:hAnsi="Times New Roman" w:cs="Times New Roman"/>
          <w:sz w:val="18"/>
          <w:szCs w:val="18"/>
        </w:rPr>
        <w:t>010-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82885785</w:t>
      </w:r>
    </w:p>
    <w:p>
      <w:pPr>
        <w:pStyle w:val="BodyText"/>
        <w:spacing w:line="213" w:lineRule="auto"/>
        <w:ind w:left="41"/>
        <w:rPr>
          <w:sz w:val="18"/>
          <w:szCs w:val="18"/>
        </w:rPr>
      </w:pPr>
      <w:r>
        <w:rPr>
          <w:spacing w:val="-1"/>
          <w:sz w:val="18"/>
          <w:szCs w:val="18"/>
        </w:rPr>
        <w:t>尚普咨询北京总部：北京市海淀区北四环中路</w:t>
      </w:r>
      <w:r>
        <w:rPr>
          <w:spacing w:val="-4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229</w:t>
      </w:r>
      <w:r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号海泰大厦</w:t>
      </w:r>
      <w:r>
        <w:rPr>
          <w:spacing w:val="-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11 </w:t>
      </w:r>
      <w:r>
        <w:rPr>
          <w:spacing w:val="-1"/>
          <w:sz w:val="18"/>
          <w:szCs w:val="18"/>
        </w:rPr>
        <w:t xml:space="preserve">层                     </w:t>
      </w:r>
      <w:r>
        <w:rPr>
          <w:spacing w:val="-1"/>
          <w:position w:val="8"/>
          <w:sz w:val="18"/>
          <w:szCs w:val="18"/>
        </w:rPr>
        <w:t>第</w:t>
      </w:r>
      <w:r>
        <w:rPr>
          <w:spacing w:val="-2"/>
          <w:position w:val="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8"/>
          <w:sz w:val="18"/>
          <w:szCs w:val="18"/>
        </w:rPr>
        <w:t>3</w:t>
      </w:r>
      <w:r>
        <w:rPr>
          <w:rFonts w:ascii="Times New Roman" w:eastAsia="Times New Roman" w:hAnsi="Times New Roman" w:cs="Times New Roman"/>
          <w:spacing w:val="5"/>
          <w:position w:val="8"/>
          <w:sz w:val="18"/>
          <w:szCs w:val="18"/>
        </w:rPr>
        <w:t xml:space="preserve">  </w:t>
      </w:r>
      <w:r>
        <w:rPr>
          <w:spacing w:val="-2"/>
          <w:position w:val="8"/>
          <w:sz w:val="18"/>
          <w:szCs w:val="18"/>
        </w:rPr>
        <w:t>页</w:t>
      </w:r>
    </w:p>
    <w:p>
      <w:pPr>
        <w:spacing w:line="213" w:lineRule="auto"/>
        <w:rPr>
          <w:sz w:val="18"/>
          <w:szCs w:val="18"/>
        </w:rPr>
        <w:sectPr>
          <w:headerReference w:type="default" r:id="rId5"/>
          <w:type w:val="nextPage"/>
          <w:pgSz w:w="11906" w:h="16839"/>
          <w:pgMar w:top="1342" w:right="1681" w:bottom="0" w:left="1785" w:header="835" w:footer="0" w:gutter="0"/>
          <w:pgNumType w:start="2"/>
          <w:cols w:space="708"/>
          <w:titlePg w:val="0"/>
        </w:sectPr>
      </w:pPr>
    </w:p>
    <w:p>
      <w:pPr>
        <w:pStyle w:val="BodyText"/>
        <w:spacing w:before="211" w:line="468" w:lineRule="exact"/>
        <w:ind w:left="25"/>
      </w:pPr>
      <w:r>
        <w:pict>
          <v:shape id="_x0000_s1025" style="width:415.3pt;height:0.5pt;margin-top:767.45pt;margin-left:90pt;mso-position-horizontal-relative:page;mso-position-vertical-relative:page;position:absolute;z-index:251658240" coordorigin="0,0" coordsize="8305,10" o:allowincell="f" path="m,l8305,l8305,9l,9l,xe" filled="t" fillcolor="black" stroked="f"/>
        </w:pict>
      </w:r>
      <w:r>
        <w:rPr>
          <w:spacing w:val="-3"/>
          <w:position w:val="17"/>
        </w:rPr>
        <w:t>愿，盘活整个报废机动车市场。同时，规范报废机动车市场，降低了二手机动车</w:t>
      </w:r>
    </w:p>
    <w:p>
      <w:pPr>
        <w:pStyle w:val="BodyText"/>
        <w:spacing w:line="219" w:lineRule="auto"/>
        <w:ind w:left="29"/>
      </w:pPr>
      <w:r>
        <w:rPr>
          <w:spacing w:val="-2"/>
        </w:rPr>
        <w:t>市场的潜在风险。</w:t>
      </w:r>
    </w:p>
    <w:p>
      <w:pPr>
        <w:pStyle w:val="BodyText"/>
        <w:spacing w:before="182" w:line="360" w:lineRule="auto"/>
        <w:ind w:left="23" w:right="11" w:firstLine="484"/>
        <w:jc w:val="both"/>
      </w:pPr>
      <w:r>
        <w:rPr>
          <w:spacing w:val="-4"/>
        </w:rPr>
        <w:t>与老版《管理方法》的“硬条件</w:t>
      </w:r>
      <w:r>
        <w:rPr>
          <w:spacing w:val="-88"/>
        </w:rPr>
        <w:t xml:space="preserve"> </w:t>
      </w:r>
      <w:r>
        <w:rPr>
          <w:spacing w:val="-4"/>
        </w:rPr>
        <w:t>”相比，《管理办法》不再</w:t>
      </w:r>
      <w:r>
        <w:rPr>
          <w:spacing w:val="-5"/>
        </w:rPr>
        <w:t>设立报废机动车</w:t>
      </w:r>
      <w:r>
        <w:t xml:space="preserve"> </w:t>
      </w:r>
      <w:r>
        <w:rPr>
          <w:spacing w:val="-3"/>
        </w:rPr>
        <w:t>回收企业总量控制，并对申请企业提出准入要求：具有企业法人资格；有符合国</w:t>
      </w:r>
      <w:r>
        <w:rPr>
          <w:spacing w:val="1"/>
        </w:rPr>
        <w:t xml:space="preserve"> </w:t>
      </w:r>
      <w:r>
        <w:rPr>
          <w:spacing w:val="-3"/>
        </w:rPr>
        <w:t>家标准要求的存储、拆解场地和拆解设备、设施；有符合环境保护法律、法规和</w:t>
      </w:r>
      <w:r>
        <w:rPr>
          <w:spacing w:val="1"/>
        </w:rPr>
        <w:t xml:space="preserve"> </w:t>
      </w:r>
      <w:r>
        <w:rPr>
          <w:spacing w:val="-3"/>
        </w:rPr>
        <w:t>标准要求的废弃物存储和处理设备、设施；有与报废汽车拆解活动相适应的专业</w:t>
      </w:r>
      <w:r>
        <w:rPr>
          <w:spacing w:val="1"/>
        </w:rPr>
        <w:t xml:space="preserve"> </w:t>
      </w:r>
      <w:r>
        <w:rPr>
          <w:spacing w:val="-3"/>
        </w:rPr>
        <w:t>技术人员；有健全的内部管理制度和拆解操作规范。《管理办法》还删去对报废</w:t>
      </w:r>
      <w:r>
        <w:rPr>
          <w:spacing w:val="1"/>
        </w:rPr>
        <w:t xml:space="preserve"> </w:t>
      </w:r>
      <w:r>
        <w:rPr>
          <w:spacing w:val="-3"/>
        </w:rPr>
        <w:t>汽车回收行业实行特种行业管理、由公安机关予以审批的规定。这意味着报废汽</w:t>
      </w:r>
      <w:r>
        <w:rPr>
          <w:spacing w:val="1"/>
        </w:rPr>
        <w:t xml:space="preserve"> </w:t>
      </w:r>
      <w:r>
        <w:rPr>
          <w:spacing w:val="-4"/>
        </w:rPr>
        <w:t>车回收不再是“特种行业</w:t>
      </w:r>
      <w:r>
        <w:rPr>
          <w:spacing w:val="-84"/>
        </w:rPr>
        <w:t xml:space="preserve"> </w:t>
      </w:r>
      <w:r>
        <w:rPr>
          <w:spacing w:val="-4"/>
        </w:rPr>
        <w:t>”。《管理办法》完善进入退出机制，有利于回收企业</w:t>
      </w:r>
    </w:p>
    <w:p>
      <w:pPr>
        <w:pStyle w:val="BodyText"/>
        <w:spacing w:line="219" w:lineRule="auto"/>
        <w:ind w:left="29"/>
      </w:pPr>
      <w:r>
        <w:rPr>
          <w:spacing w:val="-4"/>
        </w:rPr>
        <w:t>市场竞争。</w:t>
      </w:r>
    </w:p>
    <w:p>
      <w:pPr>
        <w:pStyle w:val="BodyText"/>
        <w:spacing w:before="183" w:line="360" w:lineRule="auto"/>
        <w:ind w:left="26" w:right="13" w:firstLine="478"/>
        <w:jc w:val="both"/>
      </w:pPr>
      <w:r>
        <w:rPr>
          <w:spacing w:val="-3"/>
        </w:rPr>
        <w:t>此外，《管理办法》创新监管方式，完善事后事中监管。为了</w:t>
      </w:r>
      <w:r>
        <w:rPr>
          <w:spacing w:val="-4"/>
        </w:rPr>
        <w:t>确保拆解的零</w:t>
      </w:r>
      <w:r>
        <w:t xml:space="preserve"> </w:t>
      </w:r>
      <w:r>
        <w:rPr>
          <w:spacing w:val="-3"/>
        </w:rPr>
        <w:t>部件流向可查、风险可控，《管理办法》规定国务院负责报废机动车回收管</w:t>
      </w:r>
      <w:r>
        <w:rPr>
          <w:spacing w:val="-4"/>
        </w:rPr>
        <w:t>理的</w:t>
      </w:r>
      <w:r>
        <w:t xml:space="preserve"> </w:t>
      </w:r>
      <w:r>
        <w:rPr>
          <w:spacing w:val="-4"/>
        </w:rPr>
        <w:t>部门应当建立回收信息系统；回收企业应当如实记录“五大总成</w:t>
      </w:r>
      <w:r>
        <w:rPr>
          <w:spacing w:val="-87"/>
        </w:rPr>
        <w:t xml:space="preserve"> </w:t>
      </w:r>
      <w:r>
        <w:rPr>
          <w:spacing w:val="-4"/>
        </w:rPr>
        <w:t>”等主要部件的</w:t>
      </w:r>
    </w:p>
    <w:p>
      <w:pPr>
        <w:pStyle w:val="BodyText"/>
        <w:spacing w:line="218" w:lineRule="auto"/>
        <w:ind w:left="25"/>
      </w:pPr>
      <w:r>
        <w:rPr>
          <w:spacing w:val="-1"/>
        </w:rPr>
        <w:t>数量、型号、流向等信息，并上传回收信息系统。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513"/>
        <w:outlineLvl w:val="3"/>
        <w:rPr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3</w:t>
      </w:r>
      <w:r>
        <w:rPr>
          <w:rFonts w:ascii="Cambria" w:eastAsia="Cambria" w:hAnsi="Cambria" w:cs="Cambria"/>
          <w:b/>
          <w:bCs/>
          <w:spacing w:val="-27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、《报废汽车回收拆解企业技术规范》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78" w:line="378" w:lineRule="exact"/>
        <w:ind w:left="518"/>
      </w:pPr>
      <w:r>
        <w:rPr>
          <w:spacing w:val="-13"/>
          <w:position w:val="3"/>
        </w:rPr>
        <w:t>……</w:t>
      </w:r>
    </w:p>
    <w:p>
      <w:pPr>
        <w:pStyle w:val="BodyText"/>
        <w:spacing w:before="260" w:line="219" w:lineRule="auto"/>
        <w:ind w:left="30"/>
        <w:outlineLvl w:val="2"/>
        <w:rPr>
          <w:sz w:val="30"/>
          <w:szCs w:val="30"/>
        </w:rPr>
      </w:pPr>
      <w:r>
        <w:rPr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二、经济背景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5"/>
        <w:outlineLvl w:val="2"/>
        <w:rPr>
          <w:sz w:val="30"/>
          <w:szCs w:val="30"/>
        </w:rPr>
      </w:pPr>
      <w:r>
        <w:rPr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三、社会背景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54"/>
        <w:outlineLvl w:val="2"/>
        <w:rPr>
          <w:sz w:val="30"/>
          <w:szCs w:val="30"/>
        </w:rPr>
      </w:pPr>
      <w:r>
        <w:rPr>
          <w:spacing w:val="-6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四、技术背景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26"/>
        <w:outlineLvl w:val="1"/>
        <w:rPr>
          <w:sz w:val="31"/>
          <w:szCs w:val="31"/>
        </w:rPr>
      </w:pPr>
      <w:r>
        <w:rPr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第二节</w:t>
      </w:r>
      <w:r>
        <w:rPr>
          <w:spacing w:val="9"/>
          <w:sz w:val="31"/>
          <w:szCs w:val="31"/>
        </w:rPr>
        <w:t xml:space="preserve"> </w:t>
      </w:r>
      <w:r>
        <w:rPr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项目建设必要性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30"/>
        <w:outlineLvl w:val="2"/>
        <w:rPr>
          <w:sz w:val="30"/>
          <w:szCs w:val="30"/>
        </w:rPr>
      </w:pPr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一、项目建设是响应国家节能环保政策，建设资源节约型社</w:t>
      </w:r>
      <w:r>
        <w:rPr>
          <w:spacing w:val="-5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会的</w:t>
      </w:r>
    </w:p>
    <w:p>
      <w:pPr>
        <w:pStyle w:val="BodyText"/>
        <w:spacing w:before="269" w:line="220" w:lineRule="auto"/>
        <w:ind w:left="42"/>
        <w:rPr>
          <w:sz w:val="30"/>
          <w:szCs w:val="30"/>
        </w:rPr>
      </w:pPr>
      <w:r>
        <w:rPr>
          <w:spacing w:val="-15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需要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9" w:line="360" w:lineRule="auto"/>
        <w:ind w:left="22" w:right="13" w:firstLine="480"/>
        <w:jc w:val="both"/>
        <w:sectPr>
          <w:headerReference w:type="default" r:id="rId6"/>
          <w:pgSz w:w="11906" w:h="16839"/>
          <w:pgMar w:top="1342" w:right="1785" w:bottom="0" w:left="1785" w:header="835" w:footer="0" w:gutter="0"/>
          <w:pgNumType w:start="3"/>
          <w:cols w:num="1" w:space="708" w:equalWidth="0">
            <w:col w:w="8335" w:space="0"/>
          </w:cols>
        </w:sectPr>
      </w:pPr>
      <w:r>
        <w:rPr>
          <w:spacing w:val="-3"/>
        </w:rPr>
        <w:t>在中国经济社会发展进入新的历史阶段，中共中央明确提出了建</w:t>
      </w:r>
      <w:r>
        <w:rPr>
          <w:spacing w:val="-4"/>
        </w:rPr>
        <w:t>设节约型社</w:t>
      </w:r>
      <w:r>
        <w:t xml:space="preserve"> </w:t>
      </w:r>
      <w:r>
        <w:rPr>
          <w:spacing w:val="-3"/>
        </w:rPr>
        <w:t>会，就是要在社会生产、建设、流通、消费的各个领域，在经济和社会发展的各</w:t>
      </w:r>
    </w:p>
    <w:p>
      <w:pPr>
        <w:pStyle w:val="BodyText"/>
        <w:spacing w:line="219" w:lineRule="auto"/>
        <w:ind w:left="23"/>
      </w:pPr>
      <w:r>
        <w:rPr>
          <w:spacing w:val="-3"/>
        </w:rPr>
        <w:t>个方面，切实保护和合理利用各种资源，提高资源利用效率，以尽可能少的资源</w:t>
      </w:r>
    </w:p>
    <w:p>
      <w:pPr>
        <w:spacing w:before="5"/>
      </w:pPr>
    </w:p>
    <w:p>
      <w:pPr>
        <w:sectPr>
          <w:headerReference w:type="default" r:id="rId7"/>
          <w:type w:val="nextPage"/>
          <w:pgSz w:w="11906" w:h="16839"/>
          <w:pgMar w:top="1342" w:right="1785" w:bottom="0" w:left="1785" w:header="835" w:footer="0" w:gutter="0"/>
          <w:pgNumType w:start="4"/>
          <w:cols w:num="1" w:space="708" w:equalWidth="0">
            <w:col w:w="8335" w:space="0"/>
          </w:cols>
          <w:titlePg w:val="0"/>
        </w:sectPr>
      </w:pPr>
    </w:p>
    <w:p>
      <w:pPr>
        <w:pStyle w:val="BodyText"/>
        <w:spacing w:before="36" w:line="219" w:lineRule="auto"/>
        <w:ind w:left="2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z w:val="18"/>
          <w:szCs w:val="18"/>
        </w:rPr>
        <w:t>联系电话：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010-82885739          </w:t>
      </w:r>
      <w:r>
        <w:rPr>
          <w:sz w:val="18"/>
          <w:szCs w:val="18"/>
        </w:rPr>
        <w:t>传真：</w:t>
      </w:r>
      <w:r>
        <w:rPr>
          <w:rFonts w:ascii="Times New Roman" w:eastAsia="Times New Roman" w:hAnsi="Times New Roman" w:cs="Times New Roman"/>
          <w:sz w:val="18"/>
          <w:szCs w:val="18"/>
        </w:rPr>
        <w:t>010-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82885785</w:t>
      </w:r>
    </w:p>
    <w:p>
      <w:pPr>
        <w:pStyle w:val="BodyText"/>
        <w:spacing w:before="20" w:line="184" w:lineRule="auto"/>
        <w:ind w:left="41"/>
        <w:rPr>
          <w:sz w:val="18"/>
          <w:szCs w:val="18"/>
        </w:rPr>
      </w:pPr>
      <w:r>
        <w:rPr>
          <w:spacing w:val="-2"/>
          <w:sz w:val="18"/>
          <w:szCs w:val="18"/>
        </w:rPr>
        <w:t>尚普咨询北京总部：北京市海淀区北四环中路</w:t>
      </w:r>
      <w:r>
        <w:rPr>
          <w:spacing w:val="-4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229</w:t>
      </w:r>
      <w:r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号海泰大厦</w:t>
      </w:r>
      <w:r>
        <w:rPr>
          <w:spacing w:val="-2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 xml:space="preserve">11 </w:t>
      </w:r>
      <w:r>
        <w:rPr>
          <w:spacing w:val="-2"/>
          <w:sz w:val="18"/>
          <w:szCs w:val="18"/>
        </w:rPr>
        <w:t>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2" w:line="219" w:lineRule="auto"/>
        <w:rPr>
          <w:sz w:val="18"/>
          <w:szCs w:val="18"/>
        </w:rPr>
      </w:pPr>
      <w:r>
        <w:rPr>
          <w:spacing w:val="-4"/>
          <w:sz w:val="18"/>
          <w:szCs w:val="18"/>
        </w:rPr>
        <w:t>第</w:t>
      </w:r>
      <w:r>
        <w:rPr>
          <w:spacing w:val="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4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</w:t>
      </w:r>
      <w:r>
        <w:rPr>
          <w:spacing w:val="-4"/>
          <w:sz w:val="18"/>
          <w:szCs w:val="18"/>
        </w:rPr>
        <w:t>页</w:t>
      </w:r>
    </w:p>
    <w:p>
      <w:pPr>
        <w:spacing w:line="219" w:lineRule="auto"/>
        <w:rPr>
          <w:sz w:val="18"/>
          <w:szCs w:val="18"/>
        </w:rPr>
        <w:sectPr>
          <w:headerReference w:type="default" r:id="rId8"/>
          <w:type w:val="continuous"/>
          <w:pgSz w:w="11906" w:h="16839"/>
          <w:pgMar w:top="1342" w:right="1785" w:bottom="0" w:left="1785" w:header="835" w:footer="0" w:gutter="0"/>
          <w:pgNumType w:start="5"/>
          <w:cols w:num="2" w:space="708" w:equalWidth="0">
            <w:col w:w="7126" w:space="100"/>
            <w:col w:w="1109" w:space="0"/>
          </w:cols>
        </w:sectPr>
      </w:pPr>
    </w:p>
    <w:p>
      <w:pPr>
        <w:pStyle w:val="BodyText"/>
        <w:spacing w:before="211" w:line="468" w:lineRule="exact"/>
        <w:ind w:left="28"/>
      </w:pPr>
      <w:r>
        <w:pict>
          <v:shape id="_x0000_s1026" style="width:415.3pt;height:0.5pt;margin-top:767.45pt;margin-left:90pt;mso-position-horizontal-relative:page;mso-position-vertical-relative:page;position:absolute;z-index:251659264" coordorigin="0,0" coordsize="8305,10" o:allowincell="f" path="m,l8305,l8305,9l,9l,xe" filled="t" fillcolor="black" stroked="f"/>
        </w:pict>
      </w:r>
      <w:r>
        <w:rPr>
          <w:spacing w:val="-3"/>
          <w:position w:val="17"/>
        </w:rPr>
        <w:t>消耗获得最大的经济效益和社会效益。同时，要大力开展再生资源回收利用，实</w:t>
      </w:r>
    </w:p>
    <w:p>
      <w:pPr>
        <w:pStyle w:val="BodyText"/>
        <w:spacing w:line="219" w:lineRule="auto"/>
        <w:ind w:left="22"/>
      </w:pPr>
      <w:r>
        <w:rPr>
          <w:spacing w:val="-1"/>
        </w:rPr>
        <w:t>施可持续发展战略。</w:t>
      </w:r>
    </w:p>
    <w:p>
      <w:pPr>
        <w:pStyle w:val="BodyText"/>
        <w:spacing w:before="182" w:line="468" w:lineRule="exact"/>
        <w:ind w:left="510"/>
      </w:pPr>
      <w:r>
        <w:rPr>
          <w:spacing w:val="-3"/>
          <w:position w:val="17"/>
        </w:rPr>
        <w:t>公司建设汽车拆解产业园项目，在运营期间，</w:t>
      </w:r>
      <w:r>
        <w:rPr>
          <w:spacing w:val="-4"/>
          <w:position w:val="17"/>
        </w:rPr>
        <w:t>每年可通过回收、拆解、再加</w:t>
      </w:r>
    </w:p>
    <w:p>
      <w:pPr>
        <w:pStyle w:val="BodyText"/>
        <w:spacing w:line="218" w:lineRule="auto"/>
        <w:jc w:val="right"/>
      </w:pPr>
      <w:r>
        <w:rPr>
          <w:spacing w:val="-7"/>
        </w:rPr>
        <w:t>工增加大量可再生资源，是响应国家节能环保政</w:t>
      </w:r>
      <w:r>
        <w:rPr>
          <w:spacing w:val="-8"/>
        </w:rPr>
        <w:t>策，建设资源节约型社会的需要。</w:t>
      </w:r>
    </w:p>
    <w:p>
      <w:pPr>
        <w:pStyle w:val="BodyText"/>
        <w:spacing w:before="184" w:line="378" w:lineRule="exact"/>
        <w:ind w:left="518"/>
      </w:pPr>
      <w:r>
        <w:rPr>
          <w:spacing w:val="-13"/>
          <w:position w:val="3"/>
        </w:rPr>
        <w:t>……</w:t>
      </w:r>
    </w:p>
    <w:p>
      <w:pPr>
        <w:pStyle w:val="BodyText"/>
        <w:spacing w:before="260" w:line="219" w:lineRule="auto"/>
        <w:ind w:left="30"/>
        <w:outlineLvl w:val="2"/>
        <w:rPr>
          <w:sz w:val="30"/>
          <w:szCs w:val="30"/>
        </w:rPr>
      </w:pPr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二、项目建设是规范</w:t>
      </w:r>
      <w:r>
        <w:rPr>
          <w:rFonts w:ascii="Calibri" w:eastAsia="Calibri" w:hAnsi="Calibri" w:cs="Calibri"/>
          <w:b/>
          <w:bCs/>
          <w:spacing w:val="-4"/>
          <w:sz w:val="30"/>
          <w:szCs w:val="30"/>
        </w:rPr>
        <w:t>**</w:t>
      </w:r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市及</w:t>
      </w:r>
      <w:r>
        <w:rPr>
          <w:rFonts w:ascii="Calibri" w:eastAsia="Calibri" w:hAnsi="Calibri" w:cs="Calibri"/>
          <w:b/>
          <w:bCs/>
          <w:spacing w:val="-4"/>
          <w:sz w:val="30"/>
          <w:szCs w:val="30"/>
        </w:rPr>
        <w:t>**</w:t>
      </w:r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地区废旧汽车回收处理渠道的需要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5"/>
        <w:outlineLvl w:val="2"/>
        <w:rPr>
          <w:sz w:val="30"/>
          <w:szCs w:val="30"/>
        </w:rPr>
      </w:pPr>
      <w:r>
        <w:rPr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三、项目建设是促进我国汽车再制造产业发展的必要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54"/>
        <w:outlineLvl w:val="2"/>
        <w:rPr>
          <w:sz w:val="30"/>
          <w:szCs w:val="30"/>
        </w:rPr>
      </w:pPr>
      <w:r>
        <w:rPr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四、项目建设是保护环境，可持续发展之必要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30"/>
        <w:outlineLvl w:val="2"/>
        <w:rPr>
          <w:sz w:val="30"/>
          <w:szCs w:val="30"/>
        </w:rPr>
      </w:pPr>
      <w:r>
        <w:rPr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五、项目建设是响应政府号召的需要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headerReference w:type="default" r:id="rId9"/>
          <w:pgSz w:w="11906" w:h="16839"/>
          <w:pgMar w:top="1342" w:right="1719" w:bottom="0" w:left="1785" w:header="835" w:footer="0" w:gutter="0"/>
          <w:pgNumType w:start="6"/>
          <w:cols w:num="1" w:space="708" w:equalWidth="0">
            <w:col w:w="8401" w:space="0"/>
          </w:cols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headerReference w:type="default" r:id="rId10"/>
          <w:type w:val="nextPage"/>
          <w:pgSz w:w="11906" w:h="16839"/>
          <w:pgMar w:top="1342" w:right="1719" w:bottom="0" w:left="1785" w:header="835" w:footer="0" w:gutter="0"/>
          <w:pgNumType w:start="7"/>
          <w:cols w:num="1" w:space="708" w:equalWidth="0">
            <w:col w:w="8401" w:space="0"/>
          </w:cols>
          <w:titlePg w:val="0"/>
        </w:sectPr>
      </w:pPr>
    </w:p>
    <w:p>
      <w:pPr>
        <w:pStyle w:val="BodyText"/>
        <w:spacing w:before="36" w:line="219" w:lineRule="auto"/>
        <w:ind w:left="2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z w:val="18"/>
          <w:szCs w:val="18"/>
        </w:rPr>
        <w:t>联系电话：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010-82885739          </w:t>
      </w:r>
      <w:r>
        <w:rPr>
          <w:sz w:val="18"/>
          <w:szCs w:val="18"/>
        </w:rPr>
        <w:t>传真：</w:t>
      </w:r>
      <w:r>
        <w:rPr>
          <w:rFonts w:ascii="Times New Roman" w:eastAsia="Times New Roman" w:hAnsi="Times New Roman" w:cs="Times New Roman"/>
          <w:sz w:val="18"/>
          <w:szCs w:val="18"/>
        </w:rPr>
        <w:t>010-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82885785</w:t>
      </w:r>
    </w:p>
    <w:p>
      <w:pPr>
        <w:pStyle w:val="BodyText"/>
        <w:spacing w:before="20" w:line="184" w:lineRule="auto"/>
        <w:ind w:left="41"/>
        <w:rPr>
          <w:sz w:val="18"/>
          <w:szCs w:val="18"/>
        </w:rPr>
      </w:pPr>
      <w:r>
        <w:rPr>
          <w:spacing w:val="-2"/>
          <w:sz w:val="18"/>
          <w:szCs w:val="18"/>
        </w:rPr>
        <w:t>尚普咨询北京总部：北京市海淀区北四环中路</w:t>
      </w:r>
      <w:r>
        <w:rPr>
          <w:spacing w:val="-4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229</w:t>
      </w:r>
      <w:r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号海泰大厦</w:t>
      </w:r>
      <w:r>
        <w:rPr>
          <w:spacing w:val="-2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 xml:space="preserve">11 </w:t>
      </w:r>
      <w:r>
        <w:rPr>
          <w:spacing w:val="-2"/>
          <w:sz w:val="18"/>
          <w:szCs w:val="18"/>
        </w:rPr>
        <w:t>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2" w:line="219" w:lineRule="auto"/>
        <w:rPr>
          <w:sz w:val="18"/>
          <w:szCs w:val="18"/>
        </w:rPr>
      </w:pPr>
      <w:r>
        <w:rPr>
          <w:spacing w:val="-6"/>
          <w:sz w:val="18"/>
          <w:szCs w:val="18"/>
        </w:rPr>
        <w:t>第</w:t>
      </w:r>
      <w:r>
        <w:rPr>
          <w:spacing w:val="1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8"/>
          <w:szCs w:val="18"/>
        </w:rPr>
        <w:t>5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</w:t>
      </w:r>
      <w:r>
        <w:rPr>
          <w:spacing w:val="-6"/>
          <w:sz w:val="18"/>
          <w:szCs w:val="18"/>
        </w:rPr>
        <w:t>页</w:t>
      </w:r>
    </w:p>
    <w:p>
      <w:pPr>
        <w:spacing w:line="219" w:lineRule="auto"/>
        <w:rPr>
          <w:sz w:val="18"/>
          <w:szCs w:val="18"/>
        </w:rPr>
      </w:pPr>
      <w:r>
        <w:rPr>
          <w:sz w:val="18"/>
          <w:szCs w:val="18"/>
        </w:rPr>
        <w:br/>
      </w:r>
      <w:r>
        <w:rPr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https://d.book118.com/915344001004011124</w:t>
        </w:r>
      </w:hyperlink>
    </w:p>
    <w:p>
      <w:pPr>
        <w:spacing w:line="219" w:lineRule="auto"/>
        <w:rPr>
          <w:sz w:val="18"/>
          <w:szCs w:val="18"/>
        </w:rPr>
      </w:pPr>
    </w:p>
    <w:sectPr>
      <w:headerReference w:type="default" r:id="rId12"/>
      <w:type w:val="continuous"/>
      <w:pgSz w:w="11906" w:h="16839"/>
      <w:pgMar w:top="1342" w:right="1719" w:bottom="0" w:left="1785" w:header="835" w:footer="0" w:gutter="0"/>
      <w:pgNumType w:start="8"/>
      <w:cols w:num="2" w:space="708" w:equalWidth="0">
        <w:col w:w="7126" w:space="100"/>
        <w:col w:w="11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81" w:lineRule="exact"/>
      <w:ind w:firstLine="53"/>
    </w:pPr>
    <w:r>
      <w:pict>
        <v:rect id="_x0000_s2049" style="width:415.3pt;height:0.5pt;margin-top:66.65pt;margin-left:90pt;mso-position-horizontal-relative:page;mso-position-vertical-relative:page;position:absolute;z-index:251658240" o:allowincell="f" filled="t" fillcolor="black" stroked="f"/>
      </w:pict>
    </w:r>
    <w:r>
      <w:rPr>
        <w:position w:val="-7"/>
      </w:rPr>
      <w:drawing>
        <wp:inline distT="0" distB="0" distL="0" distR="0">
          <wp:extent cx="1100043" cy="242454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043" cy="242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81" w:lineRule="exact"/>
      <w:ind w:firstLine="53"/>
    </w:pPr>
    <w:r>
      <w:pict>
        <v:rect id="_x0000_s2050" style="width:415.3pt;height:0.5pt;margin-top:66.65pt;margin-left:90pt;mso-position-horizontal-relative:page;mso-position-vertical-relative:page;position:absolute;z-index:251659264" o:allowincell="f" filled="t" fillcolor="black" stroked="f"/>
      </w:pict>
    </w:r>
    <w:r>
      <w:rPr>
        <w:position w:val="-7"/>
      </w:rPr>
      <w:drawing>
        <wp:inline distT="0" distB="0" distL="0" distR="0">
          <wp:extent cx="1100043" cy="242454"/>
          <wp:effectExtent l="0" t="0" r="0" b="0"/>
          <wp:docPr id="28064351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064351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043" cy="242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81" w:lineRule="exact"/>
      <w:ind w:firstLine="53"/>
    </w:pPr>
    <w:r>
      <w:pict>
        <v:rect id="_x0000_s2051" style="width:415.3pt;height:0.5pt;margin-top:66.65pt;margin-left:90pt;mso-position-horizontal-relative:page;mso-position-vertical-relative:page;position:absolute;z-index:251660288" o:allowincell="f" filled="t" fillcolor="black" stroked="f"/>
      </w:pict>
    </w:r>
    <w:r>
      <w:rPr>
        <w:position w:val="-7"/>
      </w:rPr>
      <w:drawing>
        <wp:inline distT="0" distB="0" distL="0" distR="0">
          <wp:extent cx="1100043" cy="242454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043" cy="242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81" w:lineRule="exact"/>
      <w:ind w:firstLine="53"/>
    </w:pPr>
    <w:r>
      <w:pict>
        <v:rect id="_x0000_s2052" style="width:415.3pt;height:0.5pt;margin-top:66.65pt;margin-left:90pt;mso-position-horizontal-relative:page;mso-position-vertical-relative:page;position:absolute;z-index:251661312" o:allowincell="f" filled="t" fillcolor="black" stroked="f"/>
      </w:pict>
    </w:r>
    <w:r>
      <w:rPr>
        <w:position w:val="-7"/>
      </w:rPr>
      <w:drawing>
        <wp:inline distT="0" distB="0" distL="0" distR="0">
          <wp:extent cx="1100043" cy="242454"/>
          <wp:effectExtent l="0" t="0" r="0" b="0"/>
          <wp:docPr id="168978597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978597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043" cy="242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81" w:lineRule="exact"/>
      <w:ind w:firstLine="53"/>
    </w:pPr>
    <w:r>
      <w:pict>
        <v:rect id="_x0000_s2053" style="width:415.3pt;height:0.5pt;margin-top:66.65pt;margin-left:90pt;mso-position-horizontal-relative:page;mso-position-vertical-relative:page;position:absolute;z-index:251662336" o:allowincell="f" filled="t" fillcolor="black" stroked="f"/>
      </w:pict>
    </w:r>
    <w:r>
      <w:rPr>
        <w:position w:val="-7"/>
      </w:rPr>
      <w:drawing>
        <wp:inline distT="0" distB="0" distL="0" distR="0">
          <wp:extent cx="1100043" cy="242454"/>
          <wp:effectExtent l="0" t="0" r="0" b="0"/>
          <wp:docPr id="146094253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094253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043" cy="242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81" w:lineRule="exact"/>
      <w:ind w:firstLine="53"/>
    </w:pPr>
    <w:r>
      <w:pict>
        <v:rect id="_x0000_s2054" style="width:415.3pt;height:0.5pt;margin-top:66.65pt;margin-left:90pt;mso-position-horizontal-relative:page;mso-position-vertical-relative:page;position:absolute;z-index:251663360" o:allowincell="f" filled="t" fillcolor="black" stroked="f"/>
      </w:pict>
    </w:r>
    <w:r>
      <w:rPr>
        <w:position w:val="-7"/>
      </w:rPr>
      <w:drawing>
        <wp:inline distT="0" distB="0" distL="0" distR="0">
          <wp:extent cx="1100043" cy="242454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043" cy="242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81" w:lineRule="exact"/>
      <w:ind w:firstLine="53"/>
    </w:pPr>
    <w:r>
      <w:pict>
        <v:rect id="_x0000_s2055" style="width:415.3pt;height:0.5pt;margin-top:66.65pt;margin-left:90pt;mso-position-horizontal-relative:page;mso-position-vertical-relative:page;position:absolute;z-index:251664384" o:allowincell="f" filled="t" fillcolor="black" stroked="f"/>
      </w:pict>
    </w:r>
    <w:r>
      <w:rPr>
        <w:position w:val="-7"/>
      </w:rPr>
      <w:drawing>
        <wp:inline distT="0" distB="0" distL="0" distR="0">
          <wp:extent cx="1100043" cy="242454"/>
          <wp:effectExtent l="0" t="0" r="0" b="0"/>
          <wp:docPr id="27768922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7689223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043" cy="242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81" w:lineRule="exact"/>
      <w:ind w:firstLine="53"/>
    </w:pPr>
    <w:r>
      <w:pict>
        <v:rect id="_x0000_s2056" style="width:415.3pt;height:0.5pt;margin-top:66.65pt;margin-left:90pt;mso-position-horizontal-relative:page;mso-position-vertical-relative:page;position:absolute;z-index:251665408" o:allowincell="f" filled="t" fillcolor="black" stroked="f"/>
      </w:pict>
    </w:r>
    <w:r>
      <w:rPr>
        <w:position w:val="-7"/>
      </w:rPr>
      <w:drawing>
        <wp:inline distT="0" distB="0" distL="0" distR="0">
          <wp:extent cx="1100043" cy="242454"/>
          <wp:effectExtent l="0" t="0" r="0" b="0"/>
          <wp:docPr id="154636599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636599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043" cy="242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yperlink" Target="https://d.book118.com/915344001004011124" TargetMode="External" /><Relationship Id="rId12" Type="http://schemas.openxmlformats.org/officeDocument/2006/relationships/header" Target="header8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shangpu</dc:creator>
  <cp:revision>0</cp:revision>
  <dcterms:created xsi:type="dcterms:W3CDTF">2024-03-18T21:24:19Z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2024-03-18T22:07:10Z</vt:filetime>
  </property>
  <property fmtid="{D5CDD505-2E9C-101B-9397-08002B2CF9AE}" pid="3" name="CRO">
    <vt:lpwstr>wqlLaW5nc29mdCBQREYgdG8gV1BTIDkw</vt:lpwstr>
  </property>
</Properties>
</file>