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page">
                  <wp:posOffset>586740</wp:posOffset>
                </wp:positionH>
                <wp:positionV relativeFrom="paragraph">
                  <wp:posOffset>12700</wp:posOffset>
                </wp:positionV>
                <wp:extent cx="1348740" cy="557530"/>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348740" cy="557530"/>
                        </a:xfrm>
                        <a:prstGeom prst="rect">
                          <a:avLst/>
                        </a:prstGeom>
                        <a:noFill/>
                      </wps:spPr>
                      <wps:txbx>
                        <w:txbxContent>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ICS 93.080.99</w:t>
                            </w: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R18</w:t>
                            </w: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rPr>
                              <w:t>备案号:</w:t>
                            </w:r>
                            <w:r>
                              <w:rPr>
                                <w:color w:val="000000"/>
                                <w:spacing w:val="0"/>
                                <w:w w:val="100"/>
                                <w:position w:val="0"/>
                                <w:lang w:val="en-US" w:eastAsia="en-US" w:bidi="en-US"/>
                              </w:rPr>
                              <w:t>43454-2014</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06.2pt;height:43.9pt;margin-top:1pt;margin-left:46.2pt;mso-position-horizontal-relative:page;mso-wrap-distance-bottom:0;mso-wrap-distance-left:9pt;mso-wrap-distance-right:9pt;mso-wrap-distance-top:0;position:absolute;v-text-anchor:top;z-index:251658240" filled="f" fillcolor="this">
                <v:textbox inset="0,0,0,0">
                  <w:txbxContent>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ICS 93.080.99</w:t>
                      </w: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R18</w:t>
                      </w: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rPr>
                        <w:t>备案号:</w:t>
                      </w:r>
                      <w:r>
                        <w:rPr>
                          <w:color w:val="000000"/>
                          <w:spacing w:val="0"/>
                          <w:w w:val="100"/>
                          <w:position w:val="0"/>
                          <w:lang w:val="en-US" w:eastAsia="en-US" w:bidi="en-US"/>
                        </w:rPr>
                        <w:t>43454-2014</w:t>
                      </w:r>
                    </w:p>
                  </w:txbxContent>
                </v:textbox>
                <w10:wrap type="square"/>
              </v:shape>
            </w:pict>
          </mc:Fallback>
        </mc:AlternateConten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DB15</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内蒙占自治区地方标准</w:t>
      </w:r>
      <w:bookmarkEnd w:id="3"/>
      <w:bookmarkEnd w:id="4"/>
      <w:bookmarkEnd w:id="5"/>
    </w:p>
    <w:p>
      <w:pPr>
        <w:pStyle w:val="Bodytext30"/>
        <w:keepNext w:val="0"/>
        <w:keepLines w:val="0"/>
        <w:widowControl w:val="0"/>
        <w:shd w:val="clear" w:color="auto" w:fill="auto"/>
        <w:bidi w:val="0"/>
        <w:spacing w:before="0" w:after="2860" w:line="240" w:lineRule="auto"/>
        <w:ind w:left="0" w:right="420" w:firstLine="0"/>
        <w:jc w:val="right"/>
      </w:pPr>
      <w:r>
        <w:rPr>
          <w:rFonts w:ascii="Times New Roman" w:eastAsia="Times New Roman" w:hAnsi="Times New Roman" w:cs="Times New Roman"/>
          <w:color w:val="000000"/>
          <w:spacing w:val="0"/>
          <w:w w:val="100"/>
          <w:position w:val="0"/>
          <w:lang w:val="en-US" w:eastAsia="en-US" w:bidi="en-US"/>
        </w:rPr>
        <w:t>DB15/T 713—2014</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盐渍土地区公路养护维修技术规范</w:t>
      </w:r>
      <w:bookmarkEnd w:id="6"/>
      <w:bookmarkEnd w:id="7"/>
      <w:bookmarkEnd w:id="8"/>
    </w:p>
    <w:p>
      <w:pPr>
        <w:pStyle w:val="Bodytext30"/>
        <w:keepNext w:val="0"/>
        <w:keepLines w:val="0"/>
        <w:widowControl w:val="0"/>
        <w:shd w:val="clear" w:color="auto" w:fill="auto"/>
        <w:bidi w:val="0"/>
        <w:spacing w:before="0" w:after="6360" w:line="240" w:lineRule="auto"/>
        <w:ind w:left="0" w:right="0" w:firstLine="400"/>
        <w:jc w:val="left"/>
      </w:pPr>
      <w:r>
        <w:rPr>
          <w:rFonts w:ascii="Times New Roman" w:eastAsia="Times New Roman" w:hAnsi="Times New Roman" w:cs="Times New Roman"/>
          <w:color w:val="000000"/>
          <w:spacing w:val="0"/>
          <w:w w:val="100"/>
          <w:position w:val="0"/>
          <w:lang w:val="en-US" w:eastAsia="en-US" w:bidi="en-US"/>
        </w:rPr>
        <w:t>Technical Standard of Highway Maintenance in Saline Land Region</w:t>
      </w:r>
    </w:p>
    <w:p>
      <w:pPr>
        <w:pStyle w:val="Bodytext30"/>
        <w:keepNext w:val="0"/>
        <w:keepLines w:val="0"/>
        <w:widowControl w:val="0"/>
        <w:shd w:val="clear" w:color="auto" w:fill="auto"/>
        <w:bidi w:val="0"/>
        <w:spacing w:before="0" w:after="1000" w:line="240" w:lineRule="auto"/>
        <w:ind w:left="0" w:right="0" w:firstLine="0"/>
        <w:jc w:val="right"/>
        <w:sectPr>
          <w:pgSz w:w="11900" w:h="16840"/>
          <w:pgMar w:top="420" w:right="1130" w:bottom="776" w:left="827" w:header="0" w:footer="348" w:gutter="0"/>
          <w:pgNumType w:start="1"/>
          <w:cols w:space="720"/>
          <w:noEndnote/>
          <w:rtlGutter w:val="0"/>
          <w:docGrid w:linePitch="360"/>
        </w:sectPr>
      </w:pPr>
      <w:r>
        <mc:AlternateContent>
          <mc:Choice Requires="wps">
            <w:drawing>
              <wp:anchor distT="0" distB="0" distL="114300" distR="114300" simplePos="0" relativeHeight="251661312" behindDoc="0" locked="0" layoutInCell="1" allowOverlap="1">
                <wp:simplePos x="0" y="0"/>
                <wp:positionH relativeFrom="page">
                  <wp:posOffset>605155</wp:posOffset>
                </wp:positionH>
                <wp:positionV relativeFrom="paragraph">
                  <wp:posOffset>12700</wp:posOffset>
                </wp:positionV>
                <wp:extent cx="1376045" cy="233045"/>
                <wp:wrapSquare wrapText="right"/>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376045" cy="233045"/>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en-US" w:eastAsia="en-US" w:bidi="en-US"/>
                              </w:rPr>
                              <w:t xml:space="preserve">2014-11-05 </w:t>
                            </w:r>
                            <w:r>
                              <w:rPr>
                                <w:rFonts w:ascii="SimSun" w:eastAsia="SimSun" w:hAnsi="SimSun" w:cs="SimSun"/>
                                <w:color w:val="000000"/>
                                <w:spacing w:val="0"/>
                                <w:w w:val="100"/>
                                <w:position w:val="0"/>
                                <w:lang w:val="zh-TW" w:eastAsia="zh-TW" w:bidi="zh-TW"/>
                              </w:rPr>
                              <w:t>发布</w:t>
                            </w:r>
                          </w:p>
                        </w:txbxContent>
                      </wps:txbx>
                      <wps:bodyPr wrap="none" lIns="0" tIns="0" rIns="0" bIns="0"/>
                    </wps:wsp>
                  </a:graphicData>
                </a:graphic>
              </wp:anchor>
            </w:drawing>
          </mc:Choice>
          <mc:Fallback>
            <w:pict>
              <v:shape id="Shape 3" o:spid="_x0000_s1026" type="#_x0000_t202" style="width:108.35pt;height:18.35pt;margin-top:1pt;margin-left:47.65pt;mso-position-horizontal-relative:page;mso-wrap-distance-bottom:0;mso-wrap-distance-left:9pt;mso-wrap-distance-right:9pt;mso-wrap-distance-top:0;mso-wrap-style:none;position:absolute;v-text-anchor:top;z-index:251660288" filled="f" fillcolor="this">
                <v:textbox inset="0,0,0,0">
                  <w:txbxContent>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en-US" w:eastAsia="en-US" w:bidi="en-US"/>
                        </w:rPr>
                        <w:t xml:space="preserve">2014-11-05 </w:t>
                      </w:r>
                      <w:r>
                        <w:rPr>
                          <w:rFonts w:ascii="SimSun" w:eastAsia="SimSun" w:hAnsi="SimSun" w:cs="SimSun"/>
                          <w:color w:val="000000"/>
                          <w:spacing w:val="0"/>
                          <w:w w:val="100"/>
                          <w:position w:val="0"/>
                          <w:lang w:val="zh-TW" w:eastAsia="zh-TW" w:bidi="zh-TW"/>
                        </w:rPr>
                        <w:t>发布</w:t>
                      </w:r>
                    </w:p>
                  </w:txbxContent>
                </v:textbox>
                <w10:wrap type="square" side="right"/>
              </v:shape>
            </w:pict>
          </mc:Fallback>
        </mc:AlternateContent>
      </w:r>
      <w:r>
        <w:rPr>
          <w:rFonts w:ascii="Times New Roman" w:eastAsia="Times New Roman" w:hAnsi="Times New Roman" w:cs="Times New Roman"/>
          <w:color w:val="000000"/>
          <w:spacing w:val="0"/>
          <w:w w:val="100"/>
          <w:position w:val="0"/>
          <w:sz w:val="30"/>
          <w:szCs w:val="30"/>
          <w:lang w:val="en-US" w:eastAsia="en-US" w:bidi="en-US"/>
        </w:rPr>
        <w:t xml:space="preserve">2015-02-05 </w:t>
      </w:r>
      <w:r>
        <w:rPr>
          <w:rFonts w:ascii="SimSun" w:eastAsia="SimSun" w:hAnsi="SimSun" w:cs="SimSun"/>
          <w:color w:val="000000"/>
          <w:spacing w:val="0"/>
          <w:w w:val="100"/>
          <w:position w:val="0"/>
          <w:lang w:val="zh-TW" w:eastAsia="zh-TW" w:bidi="zh-TW"/>
        </w:rPr>
        <w:t>实施</w:t>
      </w:r>
    </w:p>
    <w:p>
      <w:pPr>
        <w:pStyle w:val="Heading510"/>
        <w:keepNext/>
        <w:keepLines/>
        <w:widowControl w:val="0"/>
        <w:shd w:val="clear" w:color="auto" w:fill="auto"/>
        <w:bidi w:val="0"/>
        <w:spacing w:before="0" w:line="240" w:lineRule="auto"/>
        <w:ind w:left="0" w:right="0" w:firstLine="0"/>
        <w:jc w:val="center"/>
        <w:rPr>
          <w:sz w:val="28"/>
          <w:szCs w:val="28"/>
        </w:rPr>
      </w:pPr>
      <w:bookmarkStart w:id="9" w:name="bookmark10"/>
      <w:bookmarkStart w:id="10" w:name="bookmark11"/>
      <w:bookmarkStart w:id="11" w:name="bookmark9"/>
      <w:r>
        <w:rPr>
          <w:color w:val="000000"/>
          <w:spacing w:val="0"/>
          <w:w w:val="100"/>
          <w:position w:val="0"/>
          <w:sz w:val="36"/>
          <w:szCs w:val="36"/>
        </w:rPr>
        <w:t xml:space="preserve">内蒙古自治区质量技术监督局 </w:t>
      </w:r>
      <w:r>
        <w:rPr>
          <w:color w:val="000000"/>
          <w:spacing w:val="0"/>
          <w:w w:val="100"/>
          <w:position w:val="0"/>
          <w:sz w:val="28"/>
          <w:szCs w:val="28"/>
        </w:rPr>
        <w:t>发布</w:t>
      </w:r>
      <w:bookmarkEnd w:id="9"/>
      <w:bookmarkEnd w:id="10"/>
      <w:bookmarkEnd w:id="11"/>
    </w:p>
    <w:p>
      <w:pPr>
        <w:pStyle w:val="Bodytext60"/>
        <w:keepNext w:val="0"/>
        <w:keepLines w:val="0"/>
        <w:widowControl w:val="0"/>
        <w:shd w:val="clear" w:color="auto" w:fill="auto"/>
        <w:bidi w:val="0"/>
        <w:spacing w:before="0" w:line="240" w:lineRule="auto"/>
        <w:ind w:left="0" w:right="0" w:firstLine="0"/>
        <w:jc w:val="center"/>
      </w:pPr>
      <w:r>
        <w:rPr>
          <w:color w:val="000000"/>
          <w:spacing w:val="0"/>
          <w:w w:val="100"/>
          <w:position w:val="0"/>
        </w:rPr>
        <w:t>内蒙古自治区地方标准</w:t>
      </w:r>
    </w:p>
    <w:p>
      <w:pPr>
        <w:pStyle w:val="Heading410"/>
        <w:keepNext/>
        <w:keepLines/>
        <w:widowControl w:val="0"/>
        <w:shd w:val="clear" w:color="auto" w:fill="auto"/>
        <w:bidi w:val="0"/>
        <w:spacing w:before="0" w:line="240" w:lineRule="auto"/>
        <w:ind w:left="0" w:right="0" w:firstLine="0"/>
        <w:jc w:val="center"/>
      </w:pPr>
      <w:bookmarkStart w:id="12" w:name="bookmark12"/>
      <w:bookmarkStart w:id="13" w:name="bookmark13"/>
      <w:bookmarkStart w:id="14" w:name="bookmark14"/>
      <w:r>
        <w:rPr>
          <w:color w:val="000000"/>
          <w:spacing w:val="0"/>
          <w:w w:val="100"/>
          <w:position w:val="0"/>
        </w:rPr>
        <w:t>盐渍土地区公路养护维修技术规范</w:t>
      </w:r>
      <w:bookmarkEnd w:id="12"/>
      <w:bookmarkEnd w:id="13"/>
      <w:bookmarkEnd w:id="14"/>
    </w:p>
    <w:p>
      <w:pPr>
        <w:pStyle w:val="Bodytext30"/>
        <w:keepNext w:val="0"/>
        <w:keepLines w:val="0"/>
        <w:widowControl w:val="0"/>
        <w:shd w:val="clear" w:color="auto" w:fill="auto"/>
        <w:bidi w:val="0"/>
        <w:spacing w:before="0" w:after="64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Technical Standard of Highway Maintenance in Saline Land Region</w:t>
      </w:r>
    </w:p>
    <w:p>
      <w:pPr>
        <w:pStyle w:val="Bodytext30"/>
        <w:keepNext w:val="0"/>
        <w:keepLines w:val="0"/>
        <w:widowControl w:val="0"/>
        <w:shd w:val="clear" w:color="auto" w:fill="auto"/>
        <w:bidi w:val="0"/>
        <w:spacing w:before="0" w:after="174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DB15/T 713—2014</w:t>
      </w:r>
    </w:p>
    <w:p>
      <w:pPr>
        <w:pStyle w:val="Bodytext40"/>
        <w:keepNext w:val="0"/>
        <w:keepLines w:val="0"/>
        <w:widowControl w:val="0"/>
        <w:shd w:val="clear" w:color="auto" w:fill="auto"/>
        <w:bidi w:val="0"/>
        <w:spacing w:before="0" w:after="0"/>
        <w:ind w:left="0" w:right="0" w:firstLine="0"/>
        <w:jc w:val="center"/>
      </w:pPr>
      <w:r>
        <w:rPr>
          <w:color w:val="000000"/>
          <w:spacing w:val="0"/>
          <w:w w:val="100"/>
          <w:position w:val="0"/>
          <w:sz w:val="24"/>
          <w:szCs w:val="24"/>
        </w:rPr>
        <w:t>主编单位：巴彦淖尔市公路管理局</w:t>
        <w:br/>
        <w:t>批准部门：内蒙古自治区质量技术监督局</w:t>
      </w:r>
    </w:p>
    <w:p>
      <w:pPr>
        <w:pStyle w:val="Bodytext40"/>
        <w:keepNext w:val="0"/>
        <w:keepLines w:val="0"/>
        <w:widowControl w:val="0"/>
        <w:shd w:val="clear" w:color="auto" w:fill="auto"/>
        <w:bidi w:val="0"/>
        <w:spacing w:before="0" w:after="4520"/>
        <w:ind w:left="0" w:right="0" w:firstLine="0"/>
        <w:jc w:val="center"/>
        <w:rPr>
          <w:sz w:val="22"/>
          <w:szCs w:val="22"/>
        </w:rPr>
      </w:pPr>
      <w:r>
        <w:rPr>
          <w:color w:val="000000"/>
          <w:spacing w:val="0"/>
          <w:w w:val="100"/>
          <w:position w:val="0"/>
          <w:sz w:val="22"/>
          <w:szCs w:val="22"/>
        </w:rPr>
        <w:t>实施日期：</w:t>
      </w:r>
      <w:r>
        <w:rPr>
          <w:rFonts w:ascii="Times New Roman" w:eastAsia="Times New Roman" w:hAnsi="Times New Roman" w:cs="Times New Roman"/>
          <w:color w:val="000000"/>
          <w:spacing w:val="0"/>
          <w:w w:val="100"/>
          <w:position w:val="0"/>
          <w:sz w:val="22"/>
          <w:szCs w:val="22"/>
        </w:rPr>
        <w:t>2015</w:t>
      </w:r>
      <w:r>
        <w:rPr>
          <w:color w:val="000000"/>
          <w:spacing w:val="0"/>
          <w:w w:val="100"/>
          <w:position w:val="0"/>
          <w:sz w:val="22"/>
          <w:szCs w:val="22"/>
        </w:rPr>
        <w:t>年</w:t>
      </w:r>
      <w:r>
        <w:rPr>
          <w:rFonts w:ascii="Times New Roman" w:eastAsia="Times New Roman" w:hAnsi="Times New Roman" w:cs="Times New Roman"/>
          <w:color w:val="000000"/>
          <w:spacing w:val="0"/>
          <w:w w:val="100"/>
          <w:position w:val="0"/>
          <w:sz w:val="22"/>
          <w:szCs w:val="22"/>
        </w:rPr>
        <w:t>02</w:t>
      </w:r>
      <w:r>
        <w:rPr>
          <w:color w:val="000000"/>
          <w:spacing w:val="0"/>
          <w:w w:val="100"/>
          <w:position w:val="0"/>
          <w:sz w:val="22"/>
          <w:szCs w:val="22"/>
        </w:rPr>
        <w:t>月</w:t>
      </w:r>
      <w:r>
        <w:rPr>
          <w:rFonts w:ascii="Times New Roman" w:eastAsia="Times New Roman" w:hAnsi="Times New Roman" w:cs="Times New Roman"/>
          <w:color w:val="000000"/>
          <w:spacing w:val="0"/>
          <w:w w:val="100"/>
          <w:position w:val="0"/>
          <w:sz w:val="22"/>
          <w:szCs w:val="22"/>
        </w:rPr>
        <w:t>05</w:t>
      </w:r>
      <w:r>
        <w:rPr>
          <w:color w:val="000000"/>
          <w:spacing w:val="0"/>
          <w:w w:val="100"/>
          <w:position w:val="0"/>
          <w:sz w:val="22"/>
          <w:szCs w:val="22"/>
        </w:rPr>
        <w:t>日</w:t>
      </w:r>
    </w:p>
    <w:p>
      <w:pPr>
        <w:pStyle w:val="Bodytext40"/>
        <w:keepNext w:val="0"/>
        <w:keepLines w:val="0"/>
        <w:widowControl w:val="0"/>
        <w:shd w:val="clear" w:color="auto" w:fill="auto"/>
        <w:bidi w:val="0"/>
        <w:spacing w:before="0" w:after="0" w:line="240" w:lineRule="auto"/>
        <w:ind w:left="0" w:right="0" w:firstLine="0"/>
        <w:jc w:val="center"/>
      </w:pPr>
      <w:r>
        <w:rPr>
          <w:color w:val="000000"/>
          <w:spacing w:val="0"/>
          <w:w w:val="100"/>
          <w:position w:val="0"/>
          <w:sz w:val="24"/>
          <w:szCs w:val="24"/>
          <w:lang w:val="en-US" w:eastAsia="en-US" w:bidi="en-US"/>
        </w:rPr>
        <w:t>'</w:t>
      </w:r>
      <w:r>
        <w:rPr>
          <w:color w:val="000000"/>
          <w:spacing w:val="0"/>
          <w:w w:val="100"/>
          <w:position w:val="0"/>
          <w:sz w:val="24"/>
          <w:szCs w:val="24"/>
        </w:rPr>
        <w:t>笊交通滋楓积股份有限公司</w:t>
      </w:r>
    </w:p>
    <w:p>
      <w:pPr>
        <w:pStyle w:val="Bodytext10"/>
        <w:keepNext w:val="0"/>
        <w:keepLines w:val="0"/>
        <w:widowControl w:val="0"/>
        <w:shd w:val="clear" w:color="auto" w:fill="auto"/>
        <w:bidi w:val="0"/>
        <w:spacing w:before="0" w:after="80"/>
        <w:ind w:left="2920" w:right="0" w:firstLine="0"/>
        <w:jc w:val="left"/>
      </w:pPr>
      <w:r>
        <w:rPr>
          <w:color w:val="000000"/>
          <w:spacing w:val="0"/>
          <w:w w:val="100"/>
          <w:position w:val="0"/>
        </w:rPr>
        <w:t>图书在版编目</w:t>
      </w:r>
      <w:r>
        <w:rPr>
          <w:b/>
          <w:bCs/>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CIP）</w:t>
      </w:r>
      <w:r>
        <w:rPr>
          <w:color w:val="000000"/>
          <w:spacing w:val="0"/>
          <w:w w:val="100"/>
          <w:position w:val="0"/>
        </w:rPr>
        <w:t>数据</w:t>
      </w:r>
    </w:p>
    <w:p>
      <w:pPr>
        <w:pStyle w:val="Bodytext10"/>
        <w:keepNext w:val="0"/>
        <w:keepLines w:val="0"/>
        <w:widowControl w:val="0"/>
        <w:shd w:val="clear" w:color="auto" w:fill="auto"/>
        <w:bidi w:val="0"/>
        <w:spacing w:before="0" w:after="0"/>
        <w:ind w:right="0" w:firstLine="420"/>
        <w:jc w:val="left"/>
      </w:pPr>
      <w:r>
        <w:rPr>
          <w:color w:val="000000"/>
          <w:spacing w:val="0"/>
          <w:w w:val="100"/>
          <w:position w:val="0"/>
        </w:rPr>
        <w:t>盐渍土地区公路养护维修技术规范：</w:t>
      </w:r>
      <w:r>
        <w:rPr>
          <w:color w:val="000000"/>
          <w:spacing w:val="0"/>
          <w:w w:val="100"/>
          <w:position w:val="0"/>
          <w:lang w:val="en-US" w:eastAsia="en-US" w:bidi="en-US"/>
        </w:rPr>
        <w:t xml:space="preserve">DB15/T713- </w:t>
      </w:r>
      <w:r>
        <w:rPr>
          <w:color w:val="000000"/>
          <w:spacing w:val="0"/>
          <w:w w:val="100"/>
          <w:position w:val="0"/>
        </w:rPr>
        <w:t>2014 / .巴彦淖尔市公路管理局主编</w:t>
      </w:r>
      <w:r>
        <w:rPr>
          <w:color w:val="000000"/>
          <w:spacing w:val="0"/>
          <w:w w:val="100"/>
          <w:position w:val="0"/>
          <w:lang w:val="en-US" w:eastAsia="en-US" w:bidi="en-US"/>
        </w:rPr>
        <w:t>.一</w:t>
      </w:r>
      <w:r>
        <w:rPr>
          <w:color w:val="000000"/>
          <w:spacing w:val="0"/>
          <w:w w:val="100"/>
          <w:position w:val="0"/>
        </w:rPr>
        <w:t>北京：人民交 通出版社股份有限公司，</w:t>
      </w:r>
      <w:r>
        <w:rPr>
          <w:color w:val="000000"/>
          <w:spacing w:val="0"/>
          <w:w w:val="100"/>
          <w:position w:val="0"/>
          <w:lang w:val="en-US" w:eastAsia="en-US" w:bidi="en-US"/>
        </w:rPr>
        <w:t xml:space="preserve">2015. </w:t>
      </w:r>
      <w:r>
        <w:rPr>
          <w:color w:val="000000"/>
          <w:spacing w:val="0"/>
          <w:w w:val="100"/>
          <w:position w:val="0"/>
        </w:rPr>
        <w:t>2</w:t>
      </w:r>
    </w:p>
    <w:p>
      <w:pPr>
        <w:pStyle w:val="Bodytext10"/>
        <w:keepNext w:val="0"/>
        <w:keepLines w:val="0"/>
        <w:widowControl w:val="0"/>
        <w:shd w:val="clear" w:color="auto" w:fill="auto"/>
        <w:bidi w:val="0"/>
        <w:spacing w:before="0" w:after="80"/>
        <w:ind w:left="2920" w:right="0" w:firstLine="0"/>
        <w:jc w:val="left"/>
      </w:pPr>
      <w:r>
        <w:rPr>
          <w:color w:val="000000"/>
          <w:spacing w:val="0"/>
          <w:w w:val="100"/>
          <w:position w:val="0"/>
          <w:lang w:val="en-US" w:eastAsia="en-US" w:bidi="en-US"/>
        </w:rPr>
        <w:t>ISBN 978-7-114-12058-9</w:t>
      </w:r>
    </w:p>
    <w:p>
      <w:pPr>
        <w:pStyle w:val="Bodytext10"/>
        <w:keepNext w:val="0"/>
        <w:keepLines w:val="0"/>
        <w:widowControl w:val="0"/>
        <w:shd w:val="clear" w:color="auto" w:fill="auto"/>
        <w:bidi w:val="0"/>
        <w:spacing w:before="0" w:after="80" w:line="310" w:lineRule="exact"/>
        <w:ind w:right="0" w:firstLine="420"/>
        <w:jc w:val="left"/>
      </w:pPr>
      <w:r>
        <w:rPr>
          <w:color w:val="000000"/>
          <w:spacing w:val="0"/>
          <w:w w:val="100"/>
          <w:position w:val="0"/>
          <w:lang w:val="en-US" w:eastAsia="en-US" w:bidi="en-US"/>
        </w:rPr>
        <w:t>i.</w:t>
      </w:r>
      <w:r>
        <w:rPr>
          <w:color w:val="000000"/>
          <w:spacing w:val="0"/>
          <w:w w:val="100"/>
          <w:position w:val="0"/>
        </w:rPr>
        <w:t>①盐</w:t>
      </w:r>
      <w:r>
        <w:rPr>
          <w:color w:val="000000"/>
          <w:spacing w:val="0"/>
          <w:w w:val="100"/>
          <w:position w:val="0"/>
          <w:lang w:val="en-US" w:eastAsia="en-US" w:bidi="en-US"/>
        </w:rPr>
        <w:t>••• n.</w:t>
      </w:r>
      <w:r>
        <w:rPr>
          <w:color w:val="000000"/>
          <w:spacing w:val="0"/>
          <w:w w:val="100"/>
          <w:position w:val="0"/>
          <w:lang w:val="zh-CN" w:eastAsia="zh-CN" w:bidi="zh-CN"/>
        </w:rPr>
        <w:t>①巴…</w:t>
      </w:r>
      <w:r>
        <w:rPr>
          <w:color w:val="000000"/>
          <w:spacing w:val="0"/>
          <w:w w:val="100"/>
          <w:position w:val="0"/>
          <w:lang w:val="en-US" w:eastAsia="en-US" w:bidi="en-US"/>
        </w:rPr>
        <w:t>n.</w:t>
      </w:r>
      <w:r>
        <w:rPr>
          <w:color w:val="000000"/>
          <w:spacing w:val="0"/>
          <w:w w:val="100"/>
          <w:position w:val="0"/>
        </w:rPr>
        <w:t>①盐渍土地区一公路养护 —技术规范</w:t>
      </w:r>
      <w:r>
        <w:rPr>
          <w:color w:val="000000"/>
          <w:spacing w:val="0"/>
          <w:w w:val="100"/>
          <w:position w:val="0"/>
          <w:lang w:val="en-US" w:eastAsia="en-US" w:bidi="en-US"/>
        </w:rPr>
        <w:t>IV.</w:t>
      </w:r>
      <w:r>
        <w:rPr>
          <w:color w:val="000000"/>
          <w:spacing w:val="0"/>
          <w:w w:val="100"/>
          <w:position w:val="0"/>
        </w:rPr>
        <w:t>①</w:t>
      </w:r>
      <w:r>
        <w:rPr>
          <w:color w:val="000000"/>
          <w:spacing w:val="0"/>
          <w:w w:val="100"/>
          <w:position w:val="0"/>
          <w:lang w:val="en-US" w:eastAsia="en-US" w:bidi="en-US"/>
        </w:rPr>
        <w:t>U418-65</w:t>
      </w:r>
    </w:p>
    <w:p>
      <w:pPr>
        <w:pStyle w:val="Bodytext10"/>
        <w:keepNext w:val="0"/>
        <w:keepLines w:val="0"/>
        <w:widowControl w:val="0"/>
        <w:shd w:val="clear" w:color="auto" w:fill="auto"/>
        <w:bidi w:val="0"/>
        <w:spacing w:before="0" w:after="2620"/>
        <w:ind w:left="2920" w:right="0" w:firstLine="0"/>
        <w:jc w:val="left"/>
        <w:sectPr>
          <w:type w:val="nextPage"/>
          <w:pgSz w:w="11900" w:h="16840"/>
          <w:pgMar w:top="420" w:right="1130" w:bottom="776" w:left="827" w:header="0" w:footer="348" w:gutter="0"/>
          <w:pgNumType w:start="2"/>
          <w:cols w:space="720"/>
          <w:noEndnote/>
          <w:titlePg w:val="0"/>
          <w:rtlGutter w:val="0"/>
          <w:docGrid w:linePitch="360"/>
        </w:sectPr>
      </w:pPr>
      <w:r>
        <w:rPr>
          <w:color w:val="000000"/>
          <w:spacing w:val="0"/>
          <w:w w:val="100"/>
          <w:position w:val="0"/>
        </w:rPr>
        <w:t>中国版本图书馆</w:t>
      </w:r>
      <w:r>
        <w:rPr>
          <w:color w:val="000000"/>
          <w:spacing w:val="0"/>
          <w:w w:val="100"/>
          <w:position w:val="0"/>
          <w:lang w:val="en-US" w:eastAsia="en-US" w:bidi="en-US"/>
        </w:rPr>
        <w:t>CIP</w:t>
      </w:r>
      <w:r>
        <w:rPr>
          <w:color w:val="000000"/>
          <w:spacing w:val="0"/>
          <w:w w:val="100"/>
          <w:position w:val="0"/>
        </w:rPr>
        <w:t>数据核字（2015）第027921号</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标准类型：内蒙古自治区地方标准</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标准名称：盐渍土地区公路养护维修技术规范</w:t>
      </w:r>
    </w:p>
    <w:p>
      <w:pPr>
        <w:pStyle w:val="Bodytext20"/>
        <w:keepNext w:val="0"/>
        <w:keepLines w:val="0"/>
        <w:widowControl w:val="0"/>
        <w:shd w:val="clear" w:color="auto" w:fill="auto"/>
        <w:bidi w:val="0"/>
        <w:spacing w:before="0" w:after="80" w:line="281" w:lineRule="exact"/>
        <w:ind w:left="0" w:right="0" w:firstLine="500"/>
        <w:jc w:val="left"/>
        <w:rPr>
          <w:sz w:val="16"/>
          <w:szCs w:val="16"/>
        </w:rPr>
      </w:pPr>
      <w:r>
        <w:rPr>
          <w:color w:val="000000"/>
          <w:spacing w:val="0"/>
          <w:w w:val="100"/>
          <w:position w:val="0"/>
          <w:sz w:val="17"/>
          <w:szCs w:val="17"/>
        </w:rPr>
        <w:t>标准编号：</w:t>
      </w:r>
      <w:r>
        <w:rPr>
          <w:color w:val="000000"/>
          <w:spacing w:val="0"/>
          <w:w w:val="100"/>
          <w:position w:val="0"/>
          <w:sz w:val="16"/>
          <w:szCs w:val="16"/>
          <w:lang w:val="en-US" w:eastAsia="en-US" w:bidi="en-US"/>
        </w:rPr>
        <w:t>DB15/T 713—2014</w:t>
      </w:r>
    </w:p>
    <w:p>
      <w:pPr>
        <w:pStyle w:val="Bodytext20"/>
        <w:keepNext w:val="0"/>
        <w:keepLines w:val="0"/>
        <w:widowControl w:val="0"/>
        <w:shd w:val="clear" w:color="auto" w:fill="auto"/>
        <w:bidi w:val="0"/>
        <w:spacing w:before="0" w:after="80" w:line="240" w:lineRule="auto"/>
        <w:ind w:left="0" w:right="0" w:firstLine="500"/>
        <w:jc w:val="left"/>
      </w:pPr>
      <w:r>
        <w:rPr>
          <w:color w:val="000000"/>
          <w:spacing w:val="0"/>
          <w:w w:val="100"/>
          <w:position w:val="0"/>
        </w:rPr>
        <w:t>主编单位：巴彦淖尔市公％管理局</w:t>
      </w:r>
    </w:p>
    <w:p>
      <w:pPr>
        <w:pStyle w:val="Bodytext20"/>
        <w:keepNext w:val="0"/>
        <w:keepLines w:val="0"/>
        <w:widowControl w:val="0"/>
        <w:shd w:val="clear" w:color="auto" w:fill="auto"/>
        <w:bidi w:val="0"/>
        <w:spacing w:before="0" w:after="0" w:line="240" w:lineRule="auto"/>
        <w:ind w:left="0" w:right="0" w:firstLine="500"/>
        <w:jc w:val="left"/>
      </w:pPr>
      <w:r>
        <w:rPr>
          <w:color w:val="000000"/>
          <w:spacing w:val="0"/>
          <w:w w:val="100"/>
          <w:position w:val="0"/>
        </w:rPr>
        <w:t>责任编辑：李农</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出版发行：人民交通出版社股份有限公司</w:t>
      </w:r>
    </w:p>
    <w:p>
      <w:pPr>
        <w:pStyle w:val="Bodytext20"/>
        <w:keepNext w:val="0"/>
        <w:keepLines w:val="0"/>
        <w:widowControl w:val="0"/>
        <w:shd w:val="clear" w:color="auto" w:fill="auto"/>
        <w:bidi w:val="0"/>
        <w:spacing w:before="0" w:after="0" w:line="281" w:lineRule="exact"/>
        <w:ind w:left="500" w:right="0" w:firstLine="20"/>
        <w:jc w:val="left"/>
        <w:rPr>
          <w:sz w:val="16"/>
          <w:szCs w:val="16"/>
        </w:rPr>
      </w:pPr>
      <w:r>
        <w:rPr>
          <w:color w:val="000000"/>
          <w:spacing w:val="0"/>
          <w:w w:val="100"/>
          <w:position w:val="0"/>
          <w:sz w:val="17"/>
          <w:szCs w:val="17"/>
        </w:rPr>
        <w:t xml:space="preserve">地 </w:t>
      </w:r>
      <w:r>
        <w:rPr>
          <w:color w:val="000000"/>
          <w:spacing w:val="0"/>
          <w:w w:val="100"/>
          <w:position w:val="0"/>
          <w:sz w:val="16"/>
          <w:szCs w:val="16"/>
          <w:lang w:val="en-US" w:eastAsia="en-US" w:bidi="en-US"/>
        </w:rPr>
        <w:t xml:space="preserve">±lt： </w:t>
      </w:r>
      <w:r>
        <w:rPr>
          <w:color w:val="000000"/>
          <w:spacing w:val="0"/>
          <w:w w:val="100"/>
          <w:position w:val="0"/>
          <w:sz w:val="16"/>
          <w:szCs w:val="16"/>
        </w:rPr>
        <w:t>（100011）</w:t>
      </w:r>
      <w:r>
        <w:rPr>
          <w:color w:val="000000"/>
          <w:spacing w:val="0"/>
          <w:w w:val="100"/>
          <w:position w:val="0"/>
          <w:sz w:val="17"/>
          <w:szCs w:val="17"/>
        </w:rPr>
        <w:t>北京市朝阳区安定门外外馆斜街</w:t>
      </w:r>
      <w:r>
        <w:rPr>
          <w:color w:val="000000"/>
          <w:spacing w:val="0"/>
          <w:w w:val="100"/>
          <w:position w:val="0"/>
          <w:sz w:val="16"/>
          <w:szCs w:val="16"/>
        </w:rPr>
        <w:t>3</w:t>
      </w:r>
      <w:r>
        <w:rPr>
          <w:color w:val="000000"/>
          <w:spacing w:val="0"/>
          <w:w w:val="100"/>
          <w:position w:val="0"/>
          <w:sz w:val="17"/>
          <w:szCs w:val="17"/>
        </w:rPr>
        <w:t>号 网 址:</w:t>
      </w:r>
      <w:r>
        <w:rPr>
          <w:color w:val="000000"/>
          <w:spacing w:val="0"/>
          <w:w w:val="100"/>
          <w:position w:val="0"/>
          <w:sz w:val="16"/>
          <w:szCs w:val="16"/>
          <w:lang w:val="en-US" w:eastAsia="en-US" w:bidi="en-US"/>
        </w:rPr>
        <w:t>http</w:t>
      </w:r>
      <w:r>
        <w:rPr>
          <w:color w:val="000000"/>
          <w:spacing w:val="0"/>
          <w:w w:val="100"/>
          <w:position w:val="0"/>
          <w:sz w:val="16"/>
          <w:szCs w:val="16"/>
        </w:rPr>
        <w:t>: //</w:t>
      </w:r>
      <w:r>
        <w:rPr>
          <w:color w:val="000000"/>
          <w:spacing w:val="0"/>
          <w:w w:val="100"/>
          <w:position w:val="0"/>
          <w:sz w:val="16"/>
          <w:szCs w:val="16"/>
          <w:lang w:val="en-US" w:eastAsia="en-US" w:bidi="en-US"/>
        </w:rPr>
        <w:t>www. ccpress. com. cn</w:t>
      </w:r>
    </w:p>
    <w:p>
      <w:pPr>
        <w:pStyle w:val="Bodytext20"/>
        <w:keepNext w:val="0"/>
        <w:keepLines w:val="0"/>
        <w:widowControl w:val="0"/>
        <w:shd w:val="clear" w:color="auto" w:fill="auto"/>
        <w:bidi w:val="0"/>
        <w:spacing w:before="0" w:after="0" w:line="281" w:lineRule="exact"/>
        <w:ind w:left="0" w:right="0" w:firstLine="500"/>
        <w:jc w:val="left"/>
        <w:rPr>
          <w:sz w:val="16"/>
          <w:szCs w:val="16"/>
        </w:rPr>
      </w:pPr>
      <w:r>
        <w:rPr>
          <w:color w:val="000000"/>
          <w:spacing w:val="0"/>
          <w:w w:val="100"/>
          <w:position w:val="0"/>
          <w:sz w:val="17"/>
          <w:szCs w:val="17"/>
        </w:rPr>
        <w:t>销售电话：</w:t>
      </w:r>
      <w:r>
        <w:rPr>
          <w:color w:val="000000"/>
          <w:spacing w:val="0"/>
          <w:w w:val="100"/>
          <w:position w:val="0"/>
          <w:sz w:val="16"/>
          <w:szCs w:val="16"/>
        </w:rPr>
        <w:t>（010） 59757973</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总经销：人民交通出版社股份有限公司发行部</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经 销：各地新华书店</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印 刷：北京市密东印刷有限公司</w:t>
      </w:r>
    </w:p>
    <w:p>
      <w:pPr>
        <w:pStyle w:val="Bodytext20"/>
        <w:keepNext w:val="0"/>
        <w:keepLines w:val="0"/>
        <w:widowControl w:val="0"/>
        <w:shd w:val="clear" w:color="auto" w:fill="auto"/>
        <w:bidi w:val="0"/>
        <w:spacing w:before="0" w:after="0" w:line="281" w:lineRule="exact"/>
        <w:ind w:left="0" w:right="0" w:firstLine="500"/>
        <w:jc w:val="left"/>
        <w:rPr>
          <w:sz w:val="16"/>
          <w:szCs w:val="16"/>
        </w:rPr>
      </w:pPr>
      <w:r>
        <w:rPr>
          <w:color w:val="000000"/>
          <w:spacing w:val="0"/>
          <w:w w:val="100"/>
          <w:position w:val="0"/>
          <w:sz w:val="17"/>
          <w:szCs w:val="17"/>
        </w:rPr>
        <w:t>开 本：</w:t>
      </w:r>
      <w:r>
        <w:rPr>
          <w:color w:val="000000"/>
          <w:spacing w:val="0"/>
          <w:w w:val="100"/>
          <w:position w:val="0"/>
          <w:sz w:val="16"/>
          <w:szCs w:val="16"/>
          <w:lang w:val="en-US" w:eastAsia="en-US" w:bidi="en-US"/>
        </w:rPr>
        <w:t xml:space="preserve">880x1230 </w:t>
      </w:r>
      <w:r>
        <w:rPr>
          <w:color w:val="000000"/>
          <w:spacing w:val="0"/>
          <w:w w:val="100"/>
          <w:position w:val="0"/>
          <w:sz w:val="16"/>
          <w:szCs w:val="16"/>
        </w:rPr>
        <w:t>1/16</w:t>
      </w:r>
    </w:p>
    <w:p>
      <w:pPr>
        <w:pStyle w:val="Bodytext20"/>
        <w:keepNext w:val="0"/>
        <w:keepLines w:val="0"/>
        <w:widowControl w:val="0"/>
        <w:shd w:val="clear" w:color="auto" w:fill="auto"/>
        <w:bidi w:val="0"/>
        <w:spacing w:before="0" w:after="0" w:line="281" w:lineRule="exact"/>
        <w:ind w:left="0" w:right="0" w:firstLine="500"/>
        <w:jc w:val="both"/>
        <w:rPr>
          <w:sz w:val="16"/>
          <w:szCs w:val="16"/>
        </w:rPr>
      </w:pPr>
      <w:r>
        <w:rPr>
          <w:color w:val="000000"/>
          <w:spacing w:val="0"/>
          <w:w w:val="100"/>
          <w:position w:val="0"/>
          <w:sz w:val="17"/>
          <w:szCs w:val="17"/>
        </w:rPr>
        <w:t>印 张</w:t>
      </w:r>
      <w:r>
        <w:rPr>
          <w:color w:val="000000"/>
          <w:spacing w:val="0"/>
          <w:w w:val="100"/>
          <w:position w:val="0"/>
          <w:sz w:val="16"/>
          <w:szCs w:val="16"/>
        </w:rPr>
        <w:t>：1.5</w:t>
      </w:r>
    </w:p>
    <w:p>
      <w:pPr>
        <w:pStyle w:val="Bodytext20"/>
        <w:keepNext w:val="0"/>
        <w:keepLines w:val="0"/>
        <w:widowControl w:val="0"/>
        <w:shd w:val="clear" w:color="auto" w:fill="auto"/>
        <w:bidi w:val="0"/>
        <w:spacing w:before="0" w:after="0" w:line="281" w:lineRule="exact"/>
        <w:ind w:left="0" w:right="0" w:firstLine="500"/>
        <w:jc w:val="both"/>
      </w:pPr>
      <w:r>
        <w:rPr>
          <w:color w:val="000000"/>
          <w:spacing w:val="0"/>
          <w:w w:val="100"/>
          <w:position w:val="0"/>
        </w:rPr>
        <w:t>字 数</w:t>
      </w:r>
      <w:r>
        <w:rPr>
          <w:color w:val="000000"/>
          <w:spacing w:val="0"/>
          <w:w w:val="100"/>
          <w:position w:val="0"/>
          <w:sz w:val="16"/>
          <w:szCs w:val="16"/>
        </w:rPr>
        <w:t>：43</w:t>
      </w:r>
      <w:r>
        <w:rPr>
          <w:color w:val="000000"/>
          <w:spacing w:val="0"/>
          <w:w w:val="100"/>
          <w:position w:val="0"/>
        </w:rPr>
        <w:t>千</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版 次</w:t>
      </w:r>
      <w:r>
        <w:rPr>
          <w:color w:val="000000"/>
          <w:spacing w:val="0"/>
          <w:w w:val="100"/>
          <w:position w:val="0"/>
          <w:sz w:val="16"/>
          <w:szCs w:val="16"/>
        </w:rPr>
        <w:t>：2015</w:t>
      </w:r>
      <w:r>
        <w:rPr>
          <w:color w:val="000000"/>
          <w:spacing w:val="0"/>
          <w:w w:val="100"/>
          <w:position w:val="0"/>
        </w:rPr>
        <w:t>年</w:t>
      </w:r>
      <w:r>
        <w:rPr>
          <w:color w:val="000000"/>
          <w:spacing w:val="0"/>
          <w:w w:val="100"/>
          <w:position w:val="0"/>
          <w:sz w:val="16"/>
          <w:szCs w:val="16"/>
        </w:rPr>
        <w:t>2</w:t>
      </w:r>
      <w:r>
        <w:rPr>
          <w:color w:val="000000"/>
          <w:spacing w:val="0"/>
          <w:w w:val="100"/>
          <w:position w:val="0"/>
        </w:rPr>
        <w:t>月第</w:t>
      </w:r>
      <w:r>
        <w:rPr>
          <w:color w:val="000000"/>
          <w:spacing w:val="0"/>
          <w:w w:val="100"/>
          <w:position w:val="0"/>
          <w:sz w:val="16"/>
          <w:szCs w:val="16"/>
        </w:rPr>
        <w:t>1</w:t>
      </w:r>
      <w:r>
        <w:rPr>
          <w:color w:val="000000"/>
          <w:spacing w:val="0"/>
          <w:w w:val="100"/>
          <w:position w:val="0"/>
        </w:rPr>
        <w:t>版</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印 次</w:t>
      </w:r>
      <w:r>
        <w:rPr>
          <w:color w:val="000000"/>
          <w:spacing w:val="0"/>
          <w:w w:val="100"/>
          <w:position w:val="0"/>
          <w:sz w:val="16"/>
          <w:szCs w:val="16"/>
        </w:rPr>
        <w:t>：2015</w:t>
      </w:r>
      <w:r>
        <w:rPr>
          <w:color w:val="000000"/>
          <w:spacing w:val="0"/>
          <w:w w:val="100"/>
          <w:position w:val="0"/>
        </w:rPr>
        <w:t>年</w:t>
      </w:r>
      <w:r>
        <w:rPr>
          <w:color w:val="000000"/>
          <w:spacing w:val="0"/>
          <w:w w:val="100"/>
          <w:position w:val="0"/>
          <w:sz w:val="16"/>
          <w:szCs w:val="16"/>
        </w:rPr>
        <w:t>2</w:t>
      </w:r>
      <w:r>
        <w:rPr>
          <w:color w:val="000000"/>
          <w:spacing w:val="0"/>
          <w:w w:val="100"/>
          <w:position w:val="0"/>
        </w:rPr>
        <w:t>月第</w:t>
      </w:r>
      <w:r>
        <w:rPr>
          <w:color w:val="000000"/>
          <w:spacing w:val="0"/>
          <w:w w:val="100"/>
          <w:position w:val="0"/>
          <w:sz w:val="16"/>
          <w:szCs w:val="16"/>
        </w:rPr>
        <w:t>1</w:t>
      </w:r>
      <w:r>
        <w:rPr>
          <w:color w:val="000000"/>
          <w:spacing w:val="0"/>
          <w:w w:val="100"/>
          <w:position w:val="0"/>
        </w:rPr>
        <w:t>次印刷</w:t>
      </w:r>
    </w:p>
    <w:p>
      <w:pPr>
        <w:pStyle w:val="Bodytext20"/>
        <w:keepNext w:val="0"/>
        <w:keepLines w:val="0"/>
        <w:widowControl w:val="0"/>
        <w:shd w:val="clear" w:color="auto" w:fill="auto"/>
        <w:bidi w:val="0"/>
        <w:spacing w:before="0" w:after="0" w:line="281" w:lineRule="exact"/>
        <w:ind w:left="0" w:right="0" w:firstLine="500"/>
        <w:jc w:val="left"/>
        <w:rPr>
          <w:sz w:val="16"/>
          <w:szCs w:val="16"/>
        </w:rPr>
      </w:pPr>
      <w:r>
        <w:rPr>
          <w:color w:val="000000"/>
          <w:spacing w:val="0"/>
          <w:w w:val="100"/>
          <w:position w:val="0"/>
          <w:sz w:val="17"/>
          <w:szCs w:val="17"/>
        </w:rPr>
        <w:t>书 号：</w:t>
      </w:r>
      <w:r>
        <w:rPr>
          <w:color w:val="000000"/>
          <w:spacing w:val="0"/>
          <w:w w:val="100"/>
          <w:position w:val="0"/>
          <w:sz w:val="16"/>
          <w:szCs w:val="16"/>
          <w:lang w:val="en-US" w:eastAsia="en-US" w:bidi="en-US"/>
        </w:rPr>
        <w:t>ISBN 978-7-114-12058-9</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定 价：</w:t>
      </w:r>
      <w:r>
        <w:rPr>
          <w:color w:val="000000"/>
          <w:spacing w:val="0"/>
          <w:w w:val="100"/>
          <w:position w:val="0"/>
          <w:sz w:val="16"/>
          <w:szCs w:val="16"/>
          <w:lang w:val="en-US" w:eastAsia="en-US" w:bidi="en-US"/>
        </w:rPr>
        <w:t xml:space="preserve">20. </w:t>
      </w:r>
      <w:r>
        <w:rPr>
          <w:color w:val="000000"/>
          <w:spacing w:val="0"/>
          <w:w w:val="100"/>
          <w:position w:val="0"/>
          <w:sz w:val="16"/>
          <w:szCs w:val="16"/>
        </w:rPr>
        <w:t>00</w:t>
      </w:r>
      <w:r>
        <w:rPr>
          <w:color w:val="000000"/>
          <w:spacing w:val="0"/>
          <w:w w:val="100"/>
          <w:position w:val="0"/>
        </w:rPr>
        <w:t>元</w:t>
      </w:r>
    </w:p>
    <w:p>
      <w:pPr>
        <w:pStyle w:val="Bodytext20"/>
        <w:keepNext w:val="0"/>
        <w:keepLines w:val="0"/>
        <w:widowControl w:val="0"/>
        <w:shd w:val="clear" w:color="auto" w:fill="auto"/>
        <w:bidi w:val="0"/>
        <w:spacing w:before="0" w:after="0" w:line="281" w:lineRule="exact"/>
        <w:ind w:left="0" w:right="0" w:firstLine="500"/>
        <w:jc w:val="left"/>
      </w:pPr>
      <w:r>
        <w:rPr>
          <w:color w:val="000000"/>
          <w:spacing w:val="0"/>
          <w:w w:val="100"/>
          <w:position w:val="0"/>
        </w:rPr>
        <w:t>（有印刷、装订质量问题的图书，由本公司负责调换）</w:t>
      </w:r>
    </w:p>
    <w:p>
      <w:pPr>
        <w:pStyle w:val="Bodytext50"/>
        <w:keepNext w:val="0"/>
        <w:keepLines w:val="0"/>
        <w:widowControl w:val="0"/>
        <w:shd w:val="clear" w:color="auto" w:fill="auto"/>
        <w:bidi w:val="0"/>
        <w:spacing w:before="0" w:line="240" w:lineRule="auto"/>
        <w:ind w:left="0" w:firstLine="0"/>
        <w:jc w:val="right"/>
      </w:pPr>
      <w:r>
        <w:rPr>
          <w:rFonts w:ascii="Times New Roman" w:eastAsia="Times New Roman" w:hAnsi="Times New Roman" w:cs="Times New Roman"/>
          <w:color w:val="000000"/>
          <w:spacing w:val="0"/>
          <w:w w:val="100"/>
          <w:position w:val="0"/>
          <w:lang w:val="en-US" w:eastAsia="en-US" w:bidi="en-US"/>
        </w:rPr>
        <w:t>DB15/T 713—2014</w:t>
      </w:r>
    </w:p>
    <w:p>
      <w:pPr>
        <w:pStyle w:val="Heading610"/>
        <w:keepNext/>
        <w:keepLines/>
        <w:widowControl w:val="0"/>
        <w:shd w:val="clear" w:color="auto" w:fill="auto"/>
        <w:bidi w:val="0"/>
        <w:spacing w:before="0" w:line="240" w:lineRule="auto"/>
        <w:ind w:left="0" w:right="0" w:firstLine="0"/>
        <w:jc w:val="center"/>
      </w:pPr>
      <w:bookmarkStart w:id="15" w:name="bookmark15"/>
      <w:bookmarkStart w:id="16" w:name="bookmark16"/>
      <w:bookmarkStart w:id="17" w:name="bookmark17"/>
      <w:r>
        <w:rPr>
          <w:color w:val="000000"/>
          <w:spacing w:val="0"/>
          <w:w w:val="100"/>
          <w:position w:val="0"/>
        </w:rPr>
        <w:t>目 次</w:t>
      </w:r>
      <w:bookmarkEnd w:id="15"/>
      <w:bookmarkEnd w:id="16"/>
      <w:bookmarkEnd w:id="17"/>
    </w:p>
    <w:p>
      <w:pPr>
        <w:pStyle w:val="Tableofcontents10"/>
        <w:keepNext w:val="0"/>
        <w:keepLines w:val="0"/>
        <w:widowControl w:val="0"/>
        <w:shd w:val="clear" w:color="auto" w:fill="auto"/>
        <w:tabs>
          <w:tab w:val="right" w:leader="dot" w:pos="9467"/>
        </w:tabs>
        <w:bidi w:val="0"/>
        <w:spacing w:before="0" w:after="0" w:line="240" w:lineRule="auto"/>
        <w:ind w:left="0" w:right="0"/>
        <w:jc w:val="both"/>
        <w:rPr>
          <w:sz w:val="38"/>
          <w:szCs w:val="38"/>
        </w:rPr>
      </w:pPr>
      <w:r>
        <w:fldChar w:fldCharType="begin"/>
      </w:r>
      <w:r>
        <w:instrText xml:space="preserve"> TOC \o "1-5" \h \z </w:instrText>
      </w:r>
      <w:r>
        <w:fldChar w:fldCharType="separate"/>
      </w:r>
      <w:bookmarkStart w:id="18" w:name="bookmark18"/>
      <w:r>
        <w:rPr>
          <w:color w:val="000000"/>
          <w:spacing w:val="0"/>
          <w:w w:val="100"/>
          <w:position w:val="0"/>
          <w:sz w:val="20"/>
          <w:szCs w:val="20"/>
        </w:rPr>
        <w:t>前言</w:t>
      </w:r>
      <w:r>
        <w:rPr>
          <w:color w:val="000000"/>
          <w:spacing w:val="0"/>
          <w:w w:val="100"/>
          <w:position w:val="0"/>
          <w:sz w:val="20"/>
          <w:szCs w:val="20"/>
          <w:lang w:val="en-US" w:eastAsia="en-US" w:bidi="en-US"/>
        </w:rPr>
        <w:tab/>
      </w:r>
      <w:r>
        <w:rPr>
          <w:rFonts w:ascii="Times New Roman" w:eastAsia="Times New Roman" w:hAnsi="Times New Roman" w:cs="Times New Roman"/>
          <w:color w:val="000000"/>
          <w:spacing w:val="0"/>
          <w:w w:val="100"/>
          <w:position w:val="0"/>
          <w:sz w:val="38"/>
          <w:szCs w:val="38"/>
          <w:lang w:val="en-US" w:eastAsia="en-US" w:bidi="en-US"/>
        </w:rPr>
        <w:t>m</w:t>
      </w:r>
      <w:bookmarkEnd w:id="18"/>
    </w:p>
    <w:p>
      <w:pPr>
        <w:pStyle w:val="Tableofcontents10"/>
        <w:keepNext w:val="0"/>
        <w:keepLines w:val="0"/>
        <w:widowControl w:val="0"/>
        <w:shd w:val="clear" w:color="auto" w:fill="auto"/>
        <w:tabs>
          <w:tab w:val="right" w:leader="dot" w:pos="9467"/>
        </w:tabs>
        <w:bidi w:val="0"/>
        <w:spacing w:before="0" w:line="240" w:lineRule="auto"/>
        <w:ind w:left="0" w:right="0"/>
        <w:jc w:val="both"/>
        <w:rPr>
          <w:sz w:val="38"/>
          <w:szCs w:val="38"/>
        </w:rPr>
      </w:pPr>
      <w:bookmarkStart w:id="19" w:name="bookmark19"/>
      <w:r>
        <w:rPr>
          <w:color w:val="000000"/>
          <w:spacing w:val="0"/>
          <w:w w:val="100"/>
          <w:position w:val="0"/>
          <w:sz w:val="20"/>
          <w:szCs w:val="20"/>
        </w:rPr>
        <w:t>引言</w:t>
      </w:r>
      <w:r>
        <w:rPr>
          <w:color w:val="000000"/>
          <w:spacing w:val="0"/>
          <w:w w:val="100"/>
          <w:position w:val="0"/>
          <w:sz w:val="20"/>
          <w:szCs w:val="20"/>
          <w:lang w:val="en-US" w:eastAsia="en-US" w:bidi="en-US"/>
        </w:rPr>
        <w:tab/>
      </w:r>
      <w:r>
        <w:rPr>
          <w:rFonts w:ascii="Times New Roman" w:eastAsia="Times New Roman" w:hAnsi="Times New Roman" w:cs="Times New Roman"/>
          <w:color w:val="000000"/>
          <w:spacing w:val="0"/>
          <w:w w:val="100"/>
          <w:position w:val="0"/>
          <w:sz w:val="38"/>
          <w:szCs w:val="38"/>
          <w:lang w:val="en-US" w:eastAsia="en-US" w:bidi="en-US"/>
        </w:rPr>
        <w:t>w</w:t>
      </w:r>
      <w:bookmarkEnd w:id="19"/>
    </w:p>
    <w:p>
      <w:pPr>
        <w:pStyle w:val="Tableofcontents10"/>
        <w:keepNext w:val="0"/>
        <w:keepLines w:val="0"/>
        <w:widowControl w:val="0"/>
        <w:shd w:val="clear" w:color="auto" w:fill="auto"/>
        <w:tabs>
          <w:tab w:val="left" w:leader="dot" w:pos="1341"/>
          <w:tab w:val="right" w:leader="dot" w:pos="9467"/>
        </w:tabs>
        <w:bidi w:val="0"/>
        <w:spacing w:before="0" w:line="240" w:lineRule="auto"/>
        <w:ind w:left="0" w:right="0"/>
        <w:jc w:val="both"/>
      </w:pPr>
      <w:r>
        <w:rPr>
          <w:color w:val="000000"/>
          <w:spacing w:val="0"/>
          <w:w w:val="100"/>
          <w:position w:val="0"/>
        </w:rPr>
        <w:t>1范围</w:t>
        <w:tab/>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2规范性引用文件</w:t>
      </w:r>
      <w:r>
        <w:rPr>
          <w:color w:val="000000"/>
          <w:spacing w:val="0"/>
          <w:w w:val="100"/>
          <w:position w:val="0"/>
          <w:lang w:val="en-US" w:eastAsia="en-US" w:bidi="en-US"/>
        </w:rPr>
        <w:tab/>
      </w:r>
      <w:r>
        <w:rPr>
          <w:color w:val="000000"/>
          <w:spacing w:val="0"/>
          <w:w w:val="100"/>
          <w:position w:val="0"/>
        </w:rPr>
        <w:t xml:space="preserve"> 1</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3术语和定义</w:t>
      </w:r>
      <w:r>
        <w:rPr>
          <w:color w:val="000000"/>
          <w:spacing w:val="0"/>
          <w:w w:val="100"/>
          <w:position w:val="0"/>
          <w:lang w:val="en-US" w:eastAsia="en-US" w:bidi="en-US"/>
        </w:rPr>
        <w:tab/>
        <w:t xml:space="preserve"> </w:t>
      </w:r>
      <w:r>
        <w:rPr>
          <w:color w:val="000000"/>
          <w:spacing w:val="0"/>
          <w:w w:val="100"/>
          <w:position w:val="0"/>
        </w:rPr>
        <w:t>1</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4盐渍土分类</w:t>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 xml:space="preserve">5公路主要病害 </w:t>
      </w:r>
      <w:r>
        <w:rPr>
          <w:color w:val="000000"/>
          <w:spacing w:val="0"/>
          <w:w w:val="100"/>
          <w:position w:val="0"/>
          <w:lang w:val="en-US" w:eastAsia="en-US" w:bidi="en-US"/>
        </w:rPr>
        <w:tab/>
      </w:r>
      <w:r>
        <w:rPr>
          <w:color w:val="000000"/>
          <w:spacing w:val="0"/>
          <w:w w:val="100"/>
          <w:position w:val="0"/>
        </w:rPr>
        <w:t>3</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6公路勘察</w:t>
      </w:r>
      <w:r>
        <w:rPr>
          <w:color w:val="000000"/>
          <w:spacing w:val="0"/>
          <w:w w:val="100"/>
          <w:position w:val="0"/>
          <w:lang w:val="en-US" w:eastAsia="en-US" w:bidi="en-US"/>
        </w:rPr>
        <w:tab/>
        <w:t xml:space="preserve">    </w:t>
      </w:r>
      <w:r>
        <w:rPr>
          <w:color w:val="000000"/>
          <w:spacing w:val="0"/>
          <w:w w:val="100"/>
          <w:position w:val="0"/>
        </w:rPr>
        <w:t>3</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 xml:space="preserve">7公路路基养护维修 </w:t>
      </w:r>
      <w:r>
        <w:rPr>
          <w:color w:val="000000"/>
          <w:spacing w:val="0"/>
          <w:w w:val="100"/>
          <w:position w:val="0"/>
          <w:lang w:val="en-US" w:eastAsia="en-US" w:bidi="en-US"/>
        </w:rPr>
        <w:tab/>
      </w:r>
      <w:r>
        <w:rPr>
          <w:color w:val="000000"/>
          <w:spacing w:val="0"/>
          <w:w w:val="100"/>
          <w:position w:val="0"/>
        </w:rPr>
        <w:t>4</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8公路路面养护维修</w:t>
      </w:r>
      <w:r>
        <w:rPr>
          <w:color w:val="000000"/>
          <w:spacing w:val="0"/>
          <w:w w:val="100"/>
          <w:position w:val="0"/>
          <w:lang w:val="en-US" w:eastAsia="en-US" w:bidi="en-US"/>
        </w:rPr>
        <w:tab/>
      </w:r>
      <w:r>
        <w:rPr>
          <w:color w:val="000000"/>
          <w:spacing w:val="0"/>
          <w:w w:val="100"/>
          <w:position w:val="0"/>
        </w:rPr>
        <w:t>5</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 xml:space="preserve">9 公路构造物养护维修 </w:t>
      </w:r>
      <w:r>
        <w:rPr>
          <w:color w:val="000000"/>
          <w:spacing w:val="0"/>
          <w:w w:val="100"/>
          <w:position w:val="0"/>
          <w:lang w:val="en-US" w:eastAsia="en-US" w:bidi="en-US"/>
        </w:rPr>
        <w:tab/>
      </w:r>
      <w:r>
        <w:rPr>
          <w:color w:val="000000"/>
          <w:spacing w:val="0"/>
          <w:w w:val="100"/>
          <w:position w:val="0"/>
        </w:rPr>
        <w:t>6</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10公路环境保护</w:t>
      </w:r>
      <w:r>
        <w:rPr>
          <w:color w:val="000000"/>
          <w:spacing w:val="0"/>
          <w:w w:val="100"/>
          <w:position w:val="0"/>
          <w:lang w:val="en-US" w:eastAsia="en-US" w:bidi="en-US"/>
        </w:rPr>
        <w:tab/>
      </w:r>
      <w:r>
        <w:rPr>
          <w:color w:val="000000"/>
          <w:spacing w:val="0"/>
          <w:w w:val="100"/>
          <w:position w:val="0"/>
        </w:rPr>
        <w:t>7</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附录</w:t>
      </w:r>
      <w:r>
        <w:rPr>
          <w:color w:val="000000"/>
          <w:spacing w:val="0"/>
          <w:w w:val="100"/>
          <w:position w:val="0"/>
          <w:lang w:val="en-US" w:eastAsia="en-US" w:bidi="en-US"/>
        </w:rPr>
        <w:t>A</w:t>
      </w:r>
      <w:r>
        <w:rPr>
          <w:color w:val="000000"/>
          <w:spacing w:val="0"/>
          <w:w w:val="100"/>
          <w:position w:val="0"/>
        </w:rPr>
        <w:t>（规范性附录）盐渍土地区土 （水）样检测表</w:t>
      </w:r>
      <w:r>
        <w:rPr>
          <w:color w:val="000000"/>
          <w:spacing w:val="0"/>
          <w:w w:val="100"/>
          <w:position w:val="0"/>
          <w:lang w:val="en-US" w:eastAsia="en-US" w:bidi="en-US"/>
        </w:rPr>
        <w:tab/>
        <w:t xml:space="preserve"> </w:t>
      </w:r>
      <w:r>
        <w:rPr>
          <w:color w:val="000000"/>
          <w:spacing w:val="0"/>
          <w:w w:val="100"/>
          <w:position w:val="0"/>
        </w:rPr>
        <w:t>10</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附录</w:t>
      </w:r>
      <w:r>
        <w:rPr>
          <w:color w:val="000000"/>
          <w:spacing w:val="0"/>
          <w:w w:val="100"/>
          <w:position w:val="0"/>
          <w:lang w:val="en-US" w:eastAsia="en-US" w:bidi="en-US"/>
        </w:rPr>
        <w:t xml:space="preserve">B </w:t>
      </w:r>
      <w:r>
        <w:rPr>
          <w:color w:val="000000"/>
          <w:spacing w:val="0"/>
          <w:w w:val="100"/>
          <w:position w:val="0"/>
        </w:rPr>
        <w:t>（规范性附录）盐渍土地区公路病害路段现场勘察表</w:t>
      </w:r>
      <w:r>
        <w:rPr>
          <w:color w:val="000000"/>
          <w:spacing w:val="0"/>
          <w:w w:val="100"/>
          <w:position w:val="0"/>
          <w:lang w:val="en-US" w:eastAsia="en-US" w:bidi="en-US"/>
        </w:rPr>
        <w:tab/>
      </w:r>
      <w:r>
        <w:rPr>
          <w:color w:val="000000"/>
          <w:spacing w:val="0"/>
          <w:w w:val="100"/>
          <w:position w:val="0"/>
        </w:rPr>
        <w:t>11</w:t>
      </w:r>
    </w:p>
    <w:p>
      <w:pPr>
        <w:pStyle w:val="Tableofcontents10"/>
        <w:keepNext w:val="0"/>
        <w:keepLines w:val="0"/>
        <w:widowControl w:val="0"/>
        <w:shd w:val="clear" w:color="auto" w:fill="auto"/>
        <w:tabs>
          <w:tab w:val="right" w:leader="dot" w:pos="9467"/>
        </w:tabs>
        <w:bidi w:val="0"/>
        <w:spacing w:before="0" w:line="240" w:lineRule="auto"/>
        <w:ind w:left="0" w:right="0"/>
        <w:jc w:val="both"/>
      </w:pPr>
      <w:r>
        <w:rPr>
          <w:color w:val="000000"/>
          <w:spacing w:val="0"/>
          <w:w w:val="100"/>
          <w:position w:val="0"/>
        </w:rPr>
        <w:t>附录</w:t>
      </w:r>
      <w:r>
        <w:rPr>
          <w:color w:val="000000"/>
          <w:spacing w:val="0"/>
          <w:w w:val="100"/>
          <w:position w:val="0"/>
          <w:lang w:val="en-US" w:eastAsia="en-US" w:bidi="en-US"/>
        </w:rPr>
        <w:t>C</w:t>
      </w:r>
      <w:r>
        <w:rPr>
          <w:color w:val="000000"/>
          <w:spacing w:val="0"/>
          <w:w w:val="100"/>
          <w:position w:val="0"/>
        </w:rPr>
        <w:t>（规范性附录）不同区划绿化物种选择范围表</w:t>
      </w:r>
      <w:r>
        <w:rPr>
          <w:color w:val="000000"/>
          <w:spacing w:val="0"/>
          <w:w w:val="100"/>
          <w:position w:val="0"/>
          <w:lang w:val="en-US" w:eastAsia="en-US" w:bidi="en-US"/>
        </w:rPr>
        <w:tab/>
      </w:r>
      <w:r>
        <w:rPr>
          <w:color w:val="000000"/>
          <w:spacing w:val="0"/>
          <w:w w:val="100"/>
          <w:position w:val="0"/>
        </w:rPr>
        <w:t>12</w:t>
      </w:r>
    </w:p>
    <w:p>
      <w:pPr>
        <w:pStyle w:val="Tableofcontents10"/>
        <w:keepNext w:val="0"/>
        <w:keepLines w:val="0"/>
        <w:widowControl w:val="0"/>
        <w:shd w:val="clear" w:color="auto" w:fill="auto"/>
        <w:tabs>
          <w:tab w:val="right" w:leader="dot" w:pos="9467"/>
        </w:tabs>
        <w:bidi w:val="0"/>
        <w:spacing w:before="0" w:line="240" w:lineRule="auto"/>
        <w:ind w:left="0" w:right="0"/>
        <w:jc w:val="both"/>
        <w:sectPr>
          <w:type w:val="nextPage"/>
          <w:pgSz w:w="11900" w:h="16840"/>
          <w:pgMar w:top="420" w:right="1130" w:bottom="776" w:left="827" w:header="0" w:footer="348" w:gutter="0"/>
          <w:pgNumType w:start="3"/>
          <w:cols w:space="720"/>
          <w:noEndnote/>
          <w:titlePg w:val="0"/>
          <w:rtlGutter w:val="0"/>
          <w:docGrid w:linePitch="360"/>
        </w:sectPr>
      </w:pPr>
      <w:r>
        <w:rPr>
          <w:color w:val="000000"/>
          <w:spacing w:val="0"/>
          <w:w w:val="100"/>
          <w:position w:val="0"/>
        </w:rPr>
        <w:t>附录</w:t>
      </w:r>
      <w:r>
        <w:rPr>
          <w:color w:val="000000"/>
          <w:spacing w:val="0"/>
          <w:w w:val="100"/>
          <w:position w:val="0"/>
          <w:lang w:val="en-US" w:eastAsia="en-US" w:bidi="en-US"/>
        </w:rPr>
        <w:t xml:space="preserve">D </w:t>
      </w:r>
      <w:r>
        <w:rPr>
          <w:color w:val="000000"/>
          <w:spacing w:val="0"/>
          <w:w w:val="100"/>
          <w:position w:val="0"/>
        </w:rPr>
        <w:t xml:space="preserve">（资料性附录）条文说明 </w:t>
      </w:r>
      <w:r>
        <w:rPr>
          <w:color w:val="000000"/>
          <w:spacing w:val="0"/>
          <w:w w:val="100"/>
          <w:position w:val="0"/>
          <w:lang w:val="en-US" w:eastAsia="en-US" w:bidi="en-US"/>
        </w:rPr>
        <w:tab/>
        <w:t xml:space="preserve"> </w:t>
      </w:r>
      <w:r>
        <w:rPr>
          <w:color w:val="000000"/>
          <w:spacing w:val="0"/>
          <w:w w:val="100"/>
          <w:position w:val="0"/>
        </w:rPr>
        <w:t>13</w:t>
      </w:r>
      <w:r>
        <w:fldChar w:fldCharType="end"/>
      </w:r>
    </w:p>
    <w:p>
      <w:pPr>
        <w:pStyle w:val="Bodytext10"/>
        <w:keepNext w:val="0"/>
        <w:keepLines w:val="0"/>
        <w:widowControl w:val="0"/>
        <w:shd w:val="clear" w:color="auto" w:fill="auto"/>
        <w:bidi w:val="0"/>
        <w:spacing w:before="0" w:after="80" w:line="240" w:lineRule="auto"/>
        <w:ind w:left="0" w:right="0" w:firstLine="800"/>
        <w:jc w:val="left"/>
      </w:pPr>
      <w:r>
        <w:rPr>
          <w:color w:val="000000"/>
          <w:spacing w:val="0"/>
          <w:w w:val="100"/>
          <w:position w:val="0"/>
        </w:rPr>
        <w:t>本标准按照</w:t>
      </w:r>
      <w:r>
        <w:rPr>
          <w:color w:val="000000"/>
          <w:spacing w:val="0"/>
          <w:w w:val="100"/>
          <w:position w:val="0"/>
          <w:lang w:val="en-US" w:eastAsia="en-US" w:bidi="en-US"/>
        </w:rPr>
        <w:t>GB/T 1.1—2009</w:t>
      </w:r>
      <w:r>
        <w:rPr>
          <w:color w:val="000000"/>
          <w:spacing w:val="0"/>
          <w:w w:val="100"/>
          <w:position w:val="0"/>
        </w:rPr>
        <w:t>给出的规则起草。</w:t>
      </w:r>
    </w:p>
    <w:p>
      <w:pPr>
        <w:pStyle w:val="Bodytext10"/>
        <w:keepNext w:val="0"/>
        <w:keepLines w:val="0"/>
        <w:widowControl w:val="0"/>
        <w:shd w:val="clear" w:color="auto" w:fill="auto"/>
        <w:bidi w:val="0"/>
        <w:spacing w:before="0" w:after="80" w:line="240" w:lineRule="auto"/>
        <w:ind w:left="0" w:right="0" w:firstLine="800"/>
        <w:jc w:val="left"/>
      </w:pPr>
      <w:r>
        <w:rPr>
          <w:color w:val="000000"/>
          <w:spacing w:val="0"/>
          <w:w w:val="100"/>
          <w:position w:val="0"/>
        </w:rPr>
        <w:t>本标准由内蒙古自治区交通运输厅提出并归口。</w:t>
      </w:r>
    </w:p>
    <w:p>
      <w:pPr>
        <w:pStyle w:val="Bodytext10"/>
        <w:keepNext w:val="0"/>
        <w:keepLines w:val="0"/>
        <w:widowControl w:val="0"/>
        <w:shd w:val="clear" w:color="auto" w:fill="auto"/>
        <w:bidi w:val="0"/>
        <w:spacing w:before="0" w:after="80" w:line="240" w:lineRule="auto"/>
        <w:ind w:left="0" w:right="0" w:firstLine="800"/>
        <w:jc w:val="left"/>
      </w:pPr>
      <w:r>
        <w:rPr>
          <w:color w:val="000000"/>
          <w:spacing w:val="0"/>
          <w:w w:val="100"/>
          <w:position w:val="0"/>
        </w:rPr>
        <w:t>本标准由巴彦淖尔市公路管理局起草。</w:t>
      </w:r>
    </w:p>
    <w:p>
      <w:pPr>
        <w:pStyle w:val="Bodytext10"/>
        <w:keepNext w:val="0"/>
        <w:keepLines w:val="0"/>
        <w:widowControl w:val="0"/>
        <w:shd w:val="clear" w:color="auto" w:fill="auto"/>
        <w:bidi w:val="0"/>
        <w:spacing w:before="0" w:after="80" w:line="240" w:lineRule="auto"/>
        <w:ind w:left="0" w:right="0" w:firstLine="800"/>
        <w:jc w:val="left"/>
        <w:sectPr>
          <w:headerReference w:type="even" r:id="rId4"/>
          <w:headerReference w:type="default" r:id="rId5"/>
          <w:pgSz w:w="11900" w:h="16840"/>
          <w:pgMar w:top="3010" w:right="1219" w:bottom="3010" w:left="932" w:header="0" w:footer="2582" w:gutter="0"/>
          <w:pgNumType w:start="4"/>
          <w:cols w:space="720"/>
          <w:noEndnote/>
          <w:rtlGutter w:val="0"/>
          <w:docGrid w:linePitch="360"/>
        </w:sectPr>
      </w:pPr>
      <w:r>
        <w:rPr>
          <w:color w:val="000000"/>
          <w:spacing w:val="0"/>
          <w:w w:val="100"/>
          <w:position w:val="0"/>
        </w:rPr>
        <w:t>本标准主要起草人:秦建明、李勇、赵昌捷、李建忠、宋效军、刘博、刘勇、郝达巍。</w:t>
      </w:r>
    </w:p>
    <w:p>
      <w:pPr>
        <w:pStyle w:val="Bodytext10"/>
        <w:keepNext w:val="0"/>
        <w:keepLines w:val="0"/>
        <w:widowControl w:val="0"/>
        <w:shd w:val="clear" w:color="auto" w:fill="auto"/>
        <w:bidi w:val="0"/>
        <w:spacing w:before="0" w:after="0"/>
        <w:ind w:left="300" w:right="0" w:firstLine="420"/>
        <w:jc w:val="both"/>
      </w:pPr>
      <w:r>
        <w:rPr>
          <w:color w:val="000000"/>
          <w:spacing w:val="0"/>
          <w:w w:val="100"/>
          <w:position w:val="0"/>
        </w:rPr>
        <w:t>随着公路事业的不断发展，盐渍土地区的公路里程不断增加，盐渍土对公路工程的危害日益突显， 需要对盐渍土地区公路养护维修内容进行补充,以更好地满足盐渍土地区公路养护维修的需要。编制 单位在交通部西部交通建设科技项目</w:t>
      </w:r>
      <w:r>
        <w:rPr>
          <w:color w:val="000000"/>
          <w:spacing w:val="0"/>
          <w:w w:val="100"/>
          <w:position w:val="0"/>
          <w:lang w:val="zh-CN" w:eastAsia="zh-CN" w:bidi="zh-CN"/>
        </w:rPr>
        <w:t>“盐渍</w:t>
      </w:r>
      <w:r>
        <w:rPr>
          <w:color w:val="000000"/>
          <w:spacing w:val="0"/>
          <w:w w:val="100"/>
          <w:position w:val="0"/>
        </w:rPr>
        <w:t>土地区公路养护维修及环境保护技术研究</w:t>
      </w:r>
      <w:r>
        <w:rPr>
          <w:color w:val="000000"/>
          <w:spacing w:val="0"/>
          <w:w w:val="100"/>
          <w:position w:val="0"/>
          <w:lang w:val="zh-CN" w:eastAsia="zh-CN" w:bidi="zh-CN"/>
        </w:rPr>
        <w:t>”成果</w:t>
      </w:r>
      <w:r>
        <w:rPr>
          <w:color w:val="000000"/>
          <w:spacing w:val="0"/>
          <w:w w:val="100"/>
          <w:position w:val="0"/>
        </w:rPr>
        <w:t>基础上，对 盐渍土地区公路路基、路面、构造物的养护维修以及环境保护技术进行了较全面的研究总结,编制了 《盐渍土地区公路养护维修技术规范》0</w:t>
      </w:r>
    </w:p>
    <w:p>
      <w:pPr>
        <w:pStyle w:val="Bodytext10"/>
        <w:keepNext w:val="0"/>
        <w:keepLines w:val="0"/>
        <w:widowControl w:val="0"/>
        <w:shd w:val="clear" w:color="auto" w:fill="auto"/>
        <w:bidi w:val="0"/>
        <w:spacing w:before="0" w:after="0"/>
        <w:ind w:left="300" w:right="0" w:firstLine="420"/>
        <w:jc w:val="both"/>
        <w:sectPr>
          <w:headerReference w:type="even" r:id="rId6"/>
          <w:headerReference w:type="default" r:id="rId7"/>
          <w:footerReference w:type="even" r:id="rId8"/>
          <w:footerReference w:type="default" r:id="rId9"/>
          <w:pgSz w:w="11900" w:h="16840"/>
          <w:pgMar w:top="2916" w:right="1271" w:bottom="2916" w:left="879" w:header="0" w:footer="3" w:gutter="0"/>
          <w:pgNumType w:fmt="upperRoman" w:start="4"/>
          <w:cols w:space="720"/>
          <w:noEndnote/>
          <w:rtlGutter w:val="0"/>
          <w:docGrid w:linePitch="360"/>
        </w:sectPr>
      </w:pPr>
      <w:r>
        <w:rPr>
          <w:color w:val="000000"/>
          <w:spacing w:val="0"/>
          <w:w w:val="100"/>
          <w:position w:val="0"/>
        </w:rPr>
        <w:t>《盐渍土地区公路养护维修技术规范》由范围、规范性引用文件、术语和定义、盐渍土分类、盐渍土 地区公路主要病害、公路勘察、路基养护维修、路面养护维修、构造物养护维修及盐渍土地区公路环境保 护等10章和4个附录组成。</w:t>
      </w:r>
    </w:p>
    <w:p>
      <w:pPr>
        <w:pStyle w:val="Heading610"/>
        <w:keepNext/>
        <w:keepLines/>
        <w:widowControl w:val="0"/>
        <w:shd w:val="clear" w:color="auto" w:fill="auto"/>
        <w:bidi w:val="0"/>
        <w:spacing w:before="560" w:after="500" w:line="240" w:lineRule="auto"/>
        <w:ind w:left="0" w:right="0" w:firstLine="0"/>
        <w:jc w:val="center"/>
      </w:pPr>
      <w:bookmarkStart w:id="20" w:name="bookmark20"/>
      <w:bookmarkStart w:id="21" w:name="bookmark21"/>
      <w:bookmarkStart w:id="22" w:name="bookmark22"/>
      <w:r>
        <w:rPr>
          <w:color w:val="000000"/>
          <w:spacing w:val="0"/>
          <w:w w:val="100"/>
          <w:position w:val="0"/>
        </w:rPr>
        <w:t>盐渍土地区公路养护维修技术规范</w:t>
      </w:r>
      <w:bookmarkEnd w:id="20"/>
      <w:bookmarkEnd w:id="21"/>
      <w:bookmarkEnd w:id="22"/>
    </w:p>
    <w:p>
      <w:pPr>
        <w:pStyle w:val="Bodytext10"/>
        <w:keepNext w:val="0"/>
        <w:keepLines w:val="0"/>
        <w:widowControl w:val="0"/>
        <w:shd w:val="clear" w:color="auto" w:fill="auto"/>
        <w:bidi w:val="0"/>
        <w:spacing w:before="0" w:after="300" w:line="310" w:lineRule="exact"/>
        <w:ind w:left="0" w:right="0" w:firstLine="300"/>
        <w:jc w:val="left"/>
      </w:pPr>
      <w:r>
        <w:rPr>
          <w:color w:val="000000"/>
          <w:spacing w:val="0"/>
          <w:w w:val="100"/>
          <w:position w:val="0"/>
        </w:rPr>
        <w:t>1范围</w:t>
      </w:r>
    </w:p>
    <w:p>
      <w:pPr>
        <w:pStyle w:val="Bodytext10"/>
        <w:keepNext w:val="0"/>
        <w:keepLines w:val="0"/>
        <w:widowControl w:val="0"/>
        <w:shd w:val="clear" w:color="auto" w:fill="auto"/>
        <w:bidi w:val="0"/>
        <w:spacing w:before="0" w:after="0" w:line="310" w:lineRule="exact"/>
        <w:ind w:left="300" w:right="0" w:firstLine="440"/>
        <w:jc w:val="both"/>
      </w:pPr>
      <w:r>
        <w:rPr>
          <w:color w:val="000000"/>
          <w:spacing w:val="0"/>
          <w:w w:val="100"/>
          <w:position w:val="0"/>
        </w:rPr>
        <w:t>本标准规定了盐渍土地区公路特殊病害（包括翻浆、淋溶、盐胀、构造物腐蚀）的养护维修技术，以 及因公路的修筑和运营引起环境盐渍化病害的治理和环保技术。</w:t>
      </w:r>
    </w:p>
    <w:p>
      <w:pPr>
        <w:pStyle w:val="Bodytext10"/>
        <w:keepNext w:val="0"/>
        <w:keepLines w:val="0"/>
        <w:widowControl w:val="0"/>
        <w:shd w:val="clear" w:color="auto" w:fill="auto"/>
        <w:bidi w:val="0"/>
        <w:spacing w:before="0" w:after="300" w:line="310" w:lineRule="exact"/>
        <w:ind w:left="0" w:right="0" w:firstLine="720"/>
        <w:jc w:val="left"/>
      </w:pPr>
      <w:r>
        <w:rPr>
          <w:color w:val="000000"/>
          <w:spacing w:val="0"/>
          <w:w w:val="100"/>
          <w:position w:val="0"/>
        </w:rPr>
        <w:t>本标准适用于内蒙古自治区盐渍土地区各等级公路养护维修工程。</w:t>
      </w:r>
    </w:p>
    <w:p>
      <w:pPr>
        <w:pStyle w:val="Bodytext10"/>
        <w:keepNext w:val="0"/>
        <w:keepLines w:val="0"/>
        <w:widowControl w:val="0"/>
        <w:shd w:val="clear" w:color="auto" w:fill="auto"/>
        <w:bidi w:val="0"/>
        <w:spacing w:before="0" w:after="300" w:line="310" w:lineRule="exact"/>
        <w:ind w:left="0" w:right="0" w:firstLine="300"/>
        <w:jc w:val="left"/>
      </w:pPr>
      <w:r>
        <w:rPr>
          <w:color w:val="000000"/>
          <w:spacing w:val="0"/>
          <w:w w:val="100"/>
          <w:position w:val="0"/>
        </w:rPr>
        <w:t>2规范性引用文件</w:t>
      </w:r>
    </w:p>
    <w:p>
      <w:pPr>
        <w:pStyle w:val="Bodytext10"/>
        <w:keepNext w:val="0"/>
        <w:keepLines w:val="0"/>
        <w:widowControl w:val="0"/>
        <w:shd w:val="clear" w:color="auto" w:fill="auto"/>
        <w:bidi w:val="0"/>
        <w:spacing w:before="0" w:after="0" w:line="310" w:lineRule="exact"/>
        <w:ind w:left="300" w:right="0" w:firstLine="440"/>
        <w:jc w:val="both"/>
      </w:pPr>
      <w:r>
        <w:rPr>
          <w:color w:val="000000"/>
          <w:spacing w:val="0"/>
          <w:w w:val="100"/>
          <w:position w:val="0"/>
        </w:rPr>
        <w:t>下列文件对于本文件的应用是必不可少的。凡是注日期的引用文件,仅注日期的版本适用于本文 件。凡是不注日期的引用文件，其最新版本（包括所有的修改单）适用于本文件。</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lang w:val="en-US" w:eastAsia="en-US" w:bidi="en-US"/>
        </w:rPr>
        <w:t>JTG F10</w:t>
      </w:r>
      <w:r>
        <w:rPr>
          <w:color w:val="000000"/>
          <w:spacing w:val="0"/>
          <w:w w:val="100"/>
          <w:position w:val="0"/>
        </w:rPr>
        <w:t>公路路基施工技术规范</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lang w:val="en-US" w:eastAsia="en-US" w:bidi="en-US"/>
        </w:rPr>
        <w:t xml:space="preserve">TB </w:t>
      </w:r>
      <w:r>
        <w:rPr>
          <w:color w:val="000000"/>
          <w:spacing w:val="0"/>
          <w:w w:val="100"/>
          <w:position w:val="0"/>
        </w:rPr>
        <w:t>10017铁路工程水文勘测设计规范</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lang w:val="en-US" w:eastAsia="en-US" w:bidi="en-US"/>
        </w:rPr>
        <w:t>JTG C20</w:t>
      </w:r>
      <w:r>
        <w:rPr>
          <w:color w:val="000000"/>
          <w:spacing w:val="0"/>
          <w:w w:val="100"/>
          <w:position w:val="0"/>
        </w:rPr>
        <w:t>公路.工程地质勘察规范</w:t>
      </w:r>
    </w:p>
    <w:p>
      <w:pPr>
        <w:pStyle w:val="Bodytext10"/>
        <w:keepNext w:val="0"/>
        <w:keepLines w:val="0"/>
        <w:widowControl w:val="0"/>
        <w:shd w:val="clear" w:color="auto" w:fill="auto"/>
        <w:bidi w:val="0"/>
        <w:spacing w:before="0" w:after="300" w:line="310" w:lineRule="exact"/>
        <w:ind w:left="0" w:right="0" w:firstLine="720"/>
        <w:jc w:val="left"/>
      </w:pPr>
      <w:r>
        <w:rPr>
          <w:color w:val="000000"/>
          <w:spacing w:val="0"/>
          <w:w w:val="100"/>
          <w:position w:val="0"/>
          <w:lang w:val="en-US" w:eastAsia="en-US" w:bidi="en-US"/>
        </w:rPr>
        <w:t>JTG D30</w:t>
      </w:r>
      <w:r>
        <w:rPr>
          <w:color w:val="000000"/>
          <w:spacing w:val="0"/>
          <w:w w:val="100"/>
          <w:position w:val="0"/>
        </w:rPr>
        <w:t>公路路基设计规范</w:t>
      </w:r>
    </w:p>
    <w:p>
      <w:pPr>
        <w:pStyle w:val="Bodytext10"/>
        <w:keepNext w:val="0"/>
        <w:keepLines w:val="0"/>
        <w:widowControl w:val="0"/>
        <w:shd w:val="clear" w:color="auto" w:fill="auto"/>
        <w:bidi w:val="0"/>
        <w:spacing w:before="0" w:after="300" w:line="310" w:lineRule="exact"/>
        <w:ind w:left="0" w:right="0" w:firstLine="300"/>
        <w:jc w:val="left"/>
      </w:pPr>
      <w:r>
        <w:rPr>
          <w:color w:val="000000"/>
          <w:spacing w:val="0"/>
          <w:w w:val="100"/>
          <w:position w:val="0"/>
        </w:rPr>
        <w:t>3术语和定义</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rPr>
        <w:t>下列术语和定义适用于本文件。</w:t>
      </w:r>
    </w:p>
    <w:p>
      <w:pPr>
        <w:pStyle w:val="Bodytext10"/>
        <w:keepNext w:val="0"/>
        <w:keepLines w:val="0"/>
        <w:widowControl w:val="0"/>
        <w:shd w:val="clear" w:color="auto" w:fill="auto"/>
        <w:bidi w:val="0"/>
        <w:spacing w:before="0" w:after="0" w:line="324" w:lineRule="exact"/>
        <w:ind w:left="0" w:right="0" w:firstLine="300"/>
        <w:jc w:val="left"/>
      </w:pPr>
      <w:bookmarkStart w:id="23" w:name="bookmark23"/>
      <w:r>
        <w:rPr>
          <w:color w:val="000000"/>
          <w:spacing w:val="0"/>
          <w:w w:val="100"/>
          <w:position w:val="0"/>
          <w:lang w:val="en-US" w:eastAsia="en-US" w:bidi="en-US"/>
        </w:rPr>
        <w:t>3</w:t>
      </w:r>
      <w:bookmarkEnd w:id="23"/>
      <w:r>
        <w:rPr>
          <w:color w:val="000000"/>
          <w:spacing w:val="0"/>
          <w:w w:val="100"/>
          <w:position w:val="0"/>
          <w:lang w:val="en-US" w:eastAsia="en-US" w:bidi="en-US"/>
        </w:rPr>
        <w:t>.1</w:t>
      </w:r>
    </w:p>
    <w:p>
      <w:pPr>
        <w:pStyle w:val="Bodytext10"/>
        <w:keepNext w:val="0"/>
        <w:keepLines w:val="0"/>
        <w:widowControl w:val="0"/>
        <w:shd w:val="clear" w:color="auto" w:fill="auto"/>
        <w:bidi w:val="0"/>
        <w:spacing w:before="0" w:after="0" w:line="324" w:lineRule="exact"/>
        <w:ind w:left="0" w:right="0" w:firstLine="720"/>
        <w:jc w:val="left"/>
      </w:pPr>
      <w:r>
        <w:rPr>
          <w:color w:val="000000"/>
          <w:spacing w:val="0"/>
          <w:w w:val="100"/>
          <w:position w:val="0"/>
        </w:rPr>
        <w:t xml:space="preserve">盐渍土 </w:t>
      </w:r>
      <w:r>
        <w:rPr>
          <w:color w:val="000000"/>
          <w:spacing w:val="0"/>
          <w:w w:val="100"/>
          <w:position w:val="0"/>
          <w:lang w:val="en-US" w:eastAsia="en-US" w:bidi="en-US"/>
        </w:rPr>
        <w:t>saline soil</w:t>
      </w:r>
    </w:p>
    <w:p>
      <w:pPr>
        <w:pStyle w:val="Bodytext10"/>
        <w:keepNext w:val="0"/>
        <w:keepLines w:val="0"/>
        <w:widowControl w:val="0"/>
        <w:shd w:val="clear" w:color="auto" w:fill="auto"/>
        <w:bidi w:val="0"/>
        <w:spacing w:before="0" w:after="0" w:line="324" w:lineRule="exact"/>
        <w:ind w:left="300" w:right="0" w:firstLine="440"/>
        <w:jc w:val="both"/>
      </w:pPr>
      <w:r>
        <w:rPr>
          <w:color w:val="000000"/>
          <w:spacing w:val="0"/>
          <w:w w:val="100"/>
          <w:position w:val="0"/>
        </w:rPr>
        <w:t>不同程度盐碱化土的总称。在公路工程中，一般指地表下</w:t>
      </w:r>
      <w:r>
        <w:rPr>
          <w:color w:val="000000"/>
          <w:spacing w:val="0"/>
          <w:w w:val="100"/>
          <w:position w:val="0"/>
          <w:lang w:val="en-US" w:eastAsia="en-US" w:bidi="en-US"/>
        </w:rPr>
        <w:t>1.0m</w:t>
      </w:r>
      <w:r>
        <w:rPr>
          <w:color w:val="000000"/>
          <w:spacing w:val="0"/>
          <w:w w:val="100"/>
          <w:position w:val="0"/>
        </w:rPr>
        <w:t>内土中易溶盐含量平均大于0.3% 的土。</w:t>
      </w:r>
    </w:p>
    <w:p>
      <w:pPr>
        <w:pStyle w:val="Bodytext10"/>
        <w:keepNext w:val="0"/>
        <w:keepLines w:val="0"/>
        <w:widowControl w:val="0"/>
        <w:shd w:val="clear" w:color="auto" w:fill="auto"/>
        <w:bidi w:val="0"/>
        <w:spacing w:before="0" w:after="0" w:line="310" w:lineRule="exact"/>
        <w:ind w:left="0" w:right="0" w:firstLine="300"/>
        <w:jc w:val="left"/>
      </w:pPr>
      <w:bookmarkStart w:id="24" w:name="bookmark24"/>
      <w:r>
        <w:rPr>
          <w:color w:val="000000"/>
          <w:spacing w:val="0"/>
          <w:w w:val="100"/>
          <w:position w:val="0"/>
          <w:lang w:val="en-US" w:eastAsia="en-US" w:bidi="en-US"/>
        </w:rPr>
        <w:t>3</w:t>
      </w:r>
      <w:bookmarkEnd w:id="24"/>
      <w:r>
        <w:rPr>
          <w:color w:val="000000"/>
          <w:spacing w:val="0"/>
          <w:w w:val="100"/>
          <w:position w:val="0"/>
          <w:lang w:val="en-US" w:eastAsia="en-US" w:bidi="en-US"/>
        </w:rPr>
        <w:t>.2</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rPr>
        <w:t xml:space="preserve">盐胀 </w:t>
      </w:r>
      <w:r>
        <w:rPr>
          <w:color w:val="000000"/>
          <w:spacing w:val="0"/>
          <w:w w:val="100"/>
          <w:position w:val="0"/>
          <w:lang w:val="en-US" w:eastAsia="en-US" w:bidi="en-US"/>
        </w:rPr>
        <w:t>salt heaving</w:t>
      </w:r>
    </w:p>
    <w:p>
      <w:pPr>
        <w:pStyle w:val="Bodytext10"/>
        <w:keepNext w:val="0"/>
        <w:keepLines w:val="0"/>
        <w:widowControl w:val="0"/>
        <w:shd w:val="clear" w:color="auto" w:fill="auto"/>
        <w:bidi w:val="0"/>
        <w:spacing w:before="0" w:after="0" w:line="310" w:lineRule="exact"/>
        <w:ind w:left="300" w:right="0" w:firstLine="440"/>
        <w:jc w:val="both"/>
      </w:pPr>
      <w:r>
        <w:rPr>
          <w:color w:val="000000"/>
          <w:spacing w:val="0"/>
          <w:w w:val="100"/>
          <w:position w:val="0"/>
        </w:rPr>
        <w:t>因土壤中盐分结晶或吸附水分而使土体膨胀,从而导致路基土疏松、多孔，承载能力下降，路表开裂 松散、边坡松胀崩塌的病害现象。</w:t>
      </w:r>
    </w:p>
    <w:p>
      <w:pPr>
        <w:pStyle w:val="Bodytext10"/>
        <w:keepNext w:val="0"/>
        <w:keepLines w:val="0"/>
        <w:widowControl w:val="0"/>
        <w:shd w:val="clear" w:color="auto" w:fill="auto"/>
        <w:bidi w:val="0"/>
        <w:spacing w:before="0" w:after="0" w:line="310" w:lineRule="exact"/>
        <w:ind w:left="0" w:right="0" w:firstLine="300"/>
        <w:jc w:val="left"/>
      </w:pPr>
      <w:bookmarkStart w:id="25" w:name="bookmark25"/>
      <w:r>
        <w:rPr>
          <w:color w:val="000000"/>
          <w:spacing w:val="0"/>
          <w:w w:val="100"/>
          <w:position w:val="0"/>
          <w:lang w:val="en-US" w:eastAsia="en-US" w:bidi="en-US"/>
        </w:rPr>
        <w:t>3</w:t>
      </w:r>
      <w:bookmarkEnd w:id="25"/>
      <w:r>
        <w:rPr>
          <w:color w:val="000000"/>
          <w:spacing w:val="0"/>
          <w:w w:val="100"/>
          <w:position w:val="0"/>
          <w:lang w:val="en-US" w:eastAsia="en-US" w:bidi="en-US"/>
        </w:rPr>
        <w:t>.3</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rPr>
        <w:t>淋溶（溶蚀）</w:t>
      </w:r>
      <w:r>
        <w:rPr>
          <w:color w:val="000000"/>
          <w:spacing w:val="0"/>
          <w:w w:val="100"/>
          <w:position w:val="0"/>
          <w:lang w:val="en-US" w:eastAsia="en-US" w:bidi="en-US"/>
        </w:rPr>
        <w:t xml:space="preserve">leaching </w:t>
      </w:r>
      <w:r>
        <w:rPr>
          <w:color w:val="000000"/>
          <w:spacing w:val="0"/>
          <w:w w:val="100"/>
          <w:position w:val="0"/>
        </w:rPr>
        <w:t>（</w:t>
      </w:r>
      <w:r>
        <w:rPr>
          <w:color w:val="000000"/>
          <w:spacing w:val="0"/>
          <w:w w:val="100"/>
          <w:position w:val="0"/>
          <w:lang w:val="en-US" w:eastAsia="en-US" w:bidi="en-US"/>
        </w:rPr>
        <w:t>corrosion）</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rPr>
        <w:t>地表或地下水溶解盐渍土中的可溶盐，使土体结构疏松、搬移,路表产生坑洞、沟槽、裂缝的现象。</w:t>
      </w:r>
    </w:p>
    <w:p>
      <w:pPr>
        <w:pStyle w:val="Bodytext10"/>
        <w:keepNext w:val="0"/>
        <w:keepLines w:val="0"/>
        <w:widowControl w:val="0"/>
        <w:shd w:val="clear" w:color="auto" w:fill="auto"/>
        <w:bidi w:val="0"/>
        <w:spacing w:before="0" w:after="0" w:line="310" w:lineRule="exact"/>
        <w:ind w:left="0" w:right="0" w:firstLine="300"/>
        <w:jc w:val="left"/>
      </w:pPr>
      <w:bookmarkStart w:id="26" w:name="bookmark26"/>
      <w:r>
        <w:rPr>
          <w:color w:val="000000"/>
          <w:spacing w:val="0"/>
          <w:w w:val="100"/>
          <w:position w:val="0"/>
          <w:lang w:val="en-US" w:eastAsia="en-US" w:bidi="en-US"/>
        </w:rPr>
        <w:t>3</w:t>
      </w:r>
      <w:bookmarkEnd w:id="26"/>
      <w:r>
        <w:rPr>
          <w:color w:val="000000"/>
          <w:spacing w:val="0"/>
          <w:w w:val="100"/>
          <w:position w:val="0"/>
          <w:lang w:val="en-US" w:eastAsia="en-US" w:bidi="en-US"/>
        </w:rPr>
        <w:t>.4</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rPr>
        <w:t xml:space="preserve">溶陷 </w:t>
      </w:r>
      <w:r>
        <w:rPr>
          <w:color w:val="000000"/>
          <w:spacing w:val="0"/>
          <w:w w:val="100"/>
          <w:position w:val="0"/>
          <w:lang w:val="en-US" w:eastAsia="en-US" w:bidi="en-US"/>
        </w:rPr>
        <w:t>melt sinking</w:t>
      </w:r>
    </w:p>
    <w:p>
      <w:pPr>
        <w:pStyle w:val="Bodytext10"/>
        <w:keepNext w:val="0"/>
        <w:keepLines w:val="0"/>
        <w:widowControl w:val="0"/>
        <w:shd w:val="clear" w:color="auto" w:fill="auto"/>
        <w:bidi w:val="0"/>
        <w:spacing w:before="0" w:after="0" w:line="310" w:lineRule="exact"/>
        <w:ind w:left="300" w:right="0" w:firstLine="440"/>
        <w:jc w:val="both"/>
      </w:pPr>
      <w:r>
        <w:rPr>
          <w:color w:val="000000"/>
          <w:spacing w:val="0"/>
          <w:w w:val="100"/>
          <w:position w:val="0"/>
        </w:rPr>
        <w:t>地表或地下水溶解盐渍土中的可溶盐，盐类随水流转移他处，引起路基疏松下沉和路面塌陷的 病害。</w:t>
      </w:r>
    </w:p>
    <w:p>
      <w:pPr>
        <w:pStyle w:val="Bodytext10"/>
        <w:keepNext w:val="0"/>
        <w:keepLines w:val="0"/>
        <w:widowControl w:val="0"/>
        <w:shd w:val="clear" w:color="auto" w:fill="auto"/>
        <w:bidi w:val="0"/>
        <w:spacing w:before="0" w:after="0" w:line="310" w:lineRule="exact"/>
        <w:ind w:left="0" w:right="0" w:firstLine="300"/>
        <w:jc w:val="left"/>
      </w:pPr>
      <w:bookmarkStart w:id="27" w:name="bookmark27"/>
      <w:r>
        <w:rPr>
          <w:color w:val="000000"/>
          <w:spacing w:val="0"/>
          <w:w w:val="100"/>
          <w:position w:val="0"/>
          <w:lang w:val="en-US" w:eastAsia="en-US" w:bidi="en-US"/>
        </w:rPr>
        <w:t>3</w:t>
      </w:r>
      <w:bookmarkEnd w:id="27"/>
      <w:r>
        <w:rPr>
          <w:color w:val="000000"/>
          <w:spacing w:val="0"/>
          <w:w w:val="100"/>
          <w:position w:val="0"/>
          <w:lang w:val="en-US" w:eastAsia="en-US" w:bidi="en-US"/>
        </w:rPr>
        <w:t>.5</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rPr>
        <w:t xml:space="preserve">盐蚀 </w:t>
      </w:r>
      <w:r>
        <w:rPr>
          <w:color w:val="000000"/>
          <w:spacing w:val="0"/>
          <w:w w:val="100"/>
          <w:position w:val="0"/>
          <w:lang w:val="en-US" w:eastAsia="en-US" w:bidi="en-US"/>
        </w:rPr>
        <w:t>salt corrosion</w:t>
      </w:r>
    </w:p>
    <w:p>
      <w:pPr>
        <w:pStyle w:val="Bodytext10"/>
        <w:keepNext w:val="0"/>
        <w:keepLines w:val="0"/>
        <w:widowControl w:val="0"/>
        <w:shd w:val="clear" w:color="auto" w:fill="auto"/>
        <w:bidi w:val="0"/>
        <w:spacing w:before="0" w:after="0" w:line="310" w:lineRule="exact"/>
        <w:ind w:left="0" w:right="0" w:firstLine="720"/>
        <w:jc w:val="left"/>
      </w:pPr>
      <w:r>
        <w:rPr>
          <w:color w:val="000000"/>
          <w:spacing w:val="0"/>
          <w:w w:val="100"/>
          <w:position w:val="0"/>
        </w:rPr>
        <w:t>土体中的易溶盐对组成公路构造物的水泥混凝土制品、黏土制品和金属制品等产生腐蚀的现象。</w:t>
      </w:r>
    </w:p>
    <w:p>
      <w:pPr>
        <w:pStyle w:val="Bodytext10"/>
        <w:keepNext w:val="0"/>
        <w:keepLines w:val="0"/>
        <w:widowControl w:val="0"/>
        <w:shd w:val="clear" w:color="auto" w:fill="auto"/>
        <w:bidi w:val="0"/>
        <w:spacing w:before="0" w:after="80" w:line="310" w:lineRule="exact"/>
        <w:ind w:left="0" w:right="0" w:firstLine="300"/>
        <w:jc w:val="left"/>
      </w:pPr>
      <w:bookmarkStart w:id="28" w:name="bookmark28"/>
      <w:r>
        <w:rPr>
          <w:color w:val="000000"/>
          <w:spacing w:val="0"/>
          <w:w w:val="100"/>
          <w:position w:val="0"/>
          <w:lang w:val="en-US" w:eastAsia="en-US" w:bidi="en-US"/>
        </w:rPr>
        <w:t>3</w:t>
      </w:r>
      <w:bookmarkEnd w:id="28"/>
      <w:r>
        <w:rPr>
          <w:color w:val="000000"/>
          <w:spacing w:val="0"/>
          <w:w w:val="100"/>
          <w:position w:val="0"/>
          <w:lang w:val="en-US" w:eastAsia="en-US" w:bidi="en-US"/>
        </w:rPr>
        <w:t>.6</w:t>
      </w:r>
    </w:p>
    <w:p>
      <w:pPr>
        <w:pStyle w:val="Bodytext10"/>
        <w:keepNext w:val="0"/>
        <w:keepLines w:val="0"/>
        <w:widowControl w:val="0"/>
        <w:shd w:val="clear" w:color="auto" w:fill="auto"/>
        <w:bidi w:val="0"/>
        <w:spacing w:before="0" w:after="80" w:line="240" w:lineRule="auto"/>
        <w:ind w:left="0" w:right="0" w:firstLine="720"/>
        <w:jc w:val="left"/>
      </w:pPr>
      <w:r>
        <w:rPr>
          <w:color w:val="000000"/>
          <w:spacing w:val="0"/>
          <w:w w:val="100"/>
          <w:position w:val="0"/>
        </w:rPr>
        <w:t xml:space="preserve">泛盐（积盐）指数 </w:t>
      </w:r>
      <w:r>
        <w:rPr>
          <w:color w:val="000000"/>
          <w:spacing w:val="0"/>
          <w:w w:val="100"/>
          <w:position w:val="0"/>
          <w:lang w:val="en-US" w:eastAsia="en-US" w:bidi="en-US"/>
        </w:rPr>
        <w:t xml:space="preserve">pan salt </w:t>
      </w:r>
      <w:r>
        <w:rPr>
          <w:color w:val="000000"/>
          <w:spacing w:val="0"/>
          <w:w w:val="100"/>
          <w:position w:val="0"/>
        </w:rPr>
        <w:t>（</w:t>
      </w:r>
      <w:r>
        <w:rPr>
          <w:color w:val="000000"/>
          <w:spacing w:val="0"/>
          <w:w w:val="100"/>
          <w:position w:val="0"/>
          <w:lang w:val="en-US" w:eastAsia="en-US" w:bidi="en-US"/>
        </w:rPr>
        <w:t>salt accumulation） index</w:t>
      </w:r>
    </w:p>
    <w:p>
      <w:pPr>
        <w:pStyle w:val="Bodytext10"/>
        <w:keepNext w:val="0"/>
        <w:keepLines w:val="0"/>
        <w:widowControl w:val="0"/>
        <w:shd w:val="clear" w:color="auto" w:fill="auto"/>
        <w:bidi w:val="0"/>
        <w:spacing w:before="0" w:after="200" w:line="240" w:lineRule="auto"/>
        <w:ind w:left="0" w:right="0" w:firstLine="720"/>
        <w:jc w:val="left"/>
      </w:pPr>
      <w:r>
        <w:rPr>
          <w:color w:val="000000"/>
          <w:spacing w:val="0"/>
          <w:w w:val="100"/>
          <w:position w:val="0"/>
        </w:rPr>
        <w:t>评价积盐对环境影响程度的指标，指泛盐区域面积与总面积的百分比。</w:t>
      </w:r>
    </w:p>
    <w:p>
      <w:pPr>
        <w:pStyle w:val="Bodytext10"/>
        <w:keepNext w:val="0"/>
        <w:keepLines w:val="0"/>
        <w:widowControl w:val="0"/>
        <w:shd w:val="clear" w:color="auto" w:fill="auto"/>
        <w:bidi w:val="0"/>
        <w:spacing w:before="0" w:after="0" w:line="338" w:lineRule="exact"/>
        <w:ind w:left="0" w:right="0" w:firstLine="320"/>
        <w:jc w:val="left"/>
        <w:sectPr>
          <w:headerReference w:type="even" r:id="rId10"/>
          <w:headerReference w:type="default" r:id="rId11"/>
          <w:footerReference w:type="even" r:id="rId12"/>
          <w:footerReference w:type="default" r:id="rId13"/>
          <w:headerReference w:type="first" r:id="rId14"/>
          <w:footerReference w:type="first" r:id="rId15"/>
          <w:pgSz w:w="11900" w:h="16840"/>
          <w:pgMar w:top="1555" w:right="1135" w:bottom="1678" w:left="1017" w:header="0" w:footer="3" w:gutter="0"/>
          <w:pgNumType w:start="1"/>
          <w:cols w:space="720"/>
          <w:noEndnote/>
          <w:titlePg/>
          <w:rtlGutter w:val="0"/>
          <w:docGrid w:linePitch="360"/>
        </w:sectPr>
      </w:pPr>
      <w:r>
        <w:rPr>
          <w:color w:val="000000"/>
          <w:spacing w:val="0"/>
          <w:w w:val="100"/>
          <w:position w:val="0"/>
          <w:lang w:val="en-US" w:eastAsia="en-US" w:bidi="en-US"/>
        </w:rPr>
        <w:t>3.7</w:t>
      </w:r>
    </w:p>
    <w:p>
      <w:pPr>
        <w:pStyle w:val="Bodytext10"/>
        <w:keepNext w:val="0"/>
        <w:keepLines w:val="0"/>
        <w:widowControl w:val="0"/>
        <w:shd w:val="clear" w:color="auto" w:fill="auto"/>
        <w:bidi w:val="0"/>
        <w:spacing w:before="0" w:after="0" w:line="338" w:lineRule="exact"/>
        <w:ind w:left="0" w:right="0" w:firstLine="740"/>
        <w:jc w:val="left"/>
      </w:pPr>
      <w:r>
        <w:rPr>
          <w:color w:val="000000"/>
          <w:spacing w:val="0"/>
          <w:w w:val="100"/>
          <w:position w:val="0"/>
        </w:rPr>
        <w:t xml:space="preserve">纯盐道路 </w:t>
      </w:r>
      <w:r>
        <w:rPr>
          <w:color w:val="000000"/>
          <w:spacing w:val="0"/>
          <w:w w:val="100"/>
          <w:position w:val="0"/>
          <w:lang w:val="en-US" w:eastAsia="en-US" w:bidi="en-US"/>
        </w:rPr>
        <w:t>pure salt road</w:t>
      </w:r>
    </w:p>
    <w:p>
      <w:pPr>
        <w:pStyle w:val="Bodytext10"/>
        <w:keepNext w:val="0"/>
        <w:keepLines w:val="0"/>
        <w:widowControl w:val="0"/>
        <w:shd w:val="clear" w:color="auto" w:fill="auto"/>
        <w:bidi w:val="0"/>
        <w:spacing w:before="0" w:after="280" w:line="338" w:lineRule="exact"/>
        <w:ind w:left="0" w:right="0" w:firstLine="740"/>
        <w:jc w:val="left"/>
      </w:pPr>
      <w:r>
        <w:rPr>
          <w:color w:val="000000"/>
          <w:spacing w:val="0"/>
          <w:w w:val="100"/>
          <w:position w:val="0"/>
        </w:rPr>
        <w:t>各结构层的填筑材料均为盐壳或含盐量大于</w:t>
      </w:r>
      <w:r>
        <w:rPr>
          <w:color w:val="000000"/>
          <w:spacing w:val="0"/>
          <w:w w:val="100"/>
          <w:position w:val="0"/>
          <w:lang w:val="zh-CN" w:eastAsia="zh-CN" w:bidi="zh-CN"/>
        </w:rPr>
        <w:t>50%</w:t>
      </w:r>
      <w:r>
        <w:rPr>
          <w:color w:val="000000"/>
          <w:spacing w:val="0"/>
          <w:w w:val="100"/>
          <w:position w:val="0"/>
        </w:rPr>
        <w:t>的土,经拌和、摊铺、压实而形成的道路。</w:t>
      </w:r>
    </w:p>
    <w:p>
      <w:pPr>
        <w:pStyle w:val="Bodytext10"/>
        <w:keepNext w:val="0"/>
        <w:keepLines w:val="0"/>
        <w:widowControl w:val="0"/>
        <w:shd w:val="clear" w:color="auto" w:fill="auto"/>
        <w:bidi w:val="0"/>
        <w:spacing w:before="0" w:after="280" w:line="338" w:lineRule="exact"/>
        <w:ind w:left="0" w:right="0" w:firstLine="320"/>
        <w:jc w:val="left"/>
      </w:pPr>
      <w:r>
        <w:rPr>
          <w:color w:val="000000"/>
          <w:spacing w:val="0"/>
          <w:w w:val="100"/>
          <w:position w:val="0"/>
        </w:rPr>
        <w:t>4盐渍土分类</w:t>
      </w:r>
    </w:p>
    <w:p>
      <w:pPr>
        <w:pStyle w:val="Bodytext10"/>
        <w:keepNext w:val="0"/>
        <w:keepLines w:val="0"/>
        <w:widowControl w:val="0"/>
        <w:shd w:val="clear" w:color="auto" w:fill="auto"/>
        <w:bidi w:val="0"/>
        <w:spacing w:before="0" w:after="40" w:line="338" w:lineRule="exact"/>
        <w:ind w:left="320" w:right="0" w:firstLine="0"/>
        <w:jc w:val="both"/>
      </w:pPr>
      <w:r>
        <w:rPr>
          <w:color w:val="000000"/>
          <w:spacing w:val="0"/>
          <w:w w:val="100"/>
          <w:position w:val="0"/>
          <w:lang w:val="en-US" w:eastAsia="en-US" w:bidi="en-US"/>
        </w:rPr>
        <w:t>4.1</w:t>
      </w:r>
      <w:r>
        <w:rPr>
          <w:color w:val="000000"/>
          <w:spacing w:val="0"/>
          <w:w w:val="100"/>
          <w:position w:val="0"/>
        </w:rPr>
        <w:t>盐渍土按所含盐分种类的不同，分为氯化物盐渍土、硫酸盐渍土、硫酸盐氯化物盐渍土和碳酸盐 渍土。</w:t>
      </w:r>
    </w:p>
    <w:p>
      <w:pPr>
        <w:pStyle w:val="Bodytext10"/>
        <w:keepNext w:val="0"/>
        <w:keepLines w:val="0"/>
        <w:widowControl w:val="0"/>
        <w:shd w:val="clear" w:color="auto" w:fill="auto"/>
        <w:bidi w:val="0"/>
        <w:spacing w:before="0" w:after="140" w:line="240" w:lineRule="auto"/>
        <w:ind w:left="0" w:right="0" w:firstLine="320"/>
        <w:jc w:val="left"/>
      </w:pPr>
      <w:r>
        <w:rPr>
          <w:color w:val="000000"/>
          <w:spacing w:val="0"/>
          <w:w w:val="100"/>
          <w:position w:val="0"/>
          <w:lang w:val="en-US" w:eastAsia="en-US" w:bidi="en-US"/>
        </w:rPr>
        <w:t>4.2</w:t>
      </w:r>
      <w:r>
        <w:rPr>
          <w:color w:val="000000"/>
          <w:spacing w:val="0"/>
          <w:w w:val="100"/>
          <w:position w:val="0"/>
        </w:rPr>
        <w:t>盐渍土按含盐性质分类见表1。</w:t>
      </w:r>
    </w:p>
    <w:p>
      <w:pPr>
        <w:pStyle w:val="Bodytext10"/>
        <w:keepNext w:val="0"/>
        <w:keepLines w:val="0"/>
        <w:widowControl w:val="0"/>
        <w:shd w:val="clear" w:color="auto" w:fill="auto"/>
        <w:bidi w:val="0"/>
        <w:spacing w:before="0" w:after="220" w:line="338" w:lineRule="exact"/>
        <w:ind w:left="0" w:right="0" w:firstLine="0"/>
        <w:jc w:val="center"/>
      </w:pPr>
      <w:r>
        <w:rPr>
          <w:color w:val="000000"/>
          <w:spacing w:val="0"/>
          <w:w w:val="100"/>
          <w:position w:val="0"/>
        </w:rPr>
        <w:t>表1盐渍土按含盐性质分类</w:t>
      </w:r>
    </w:p>
    <w:tbl>
      <w:tblPr>
        <w:tblStyle w:val="TableNormal"/>
        <w:tblOverlap w:val="never"/>
        <w:jc w:val="center"/>
        <w:tblLayout w:type="fixed"/>
        <w:tblCellMar>
          <w:top w:w="0" w:type="dxa"/>
          <w:left w:w="10" w:type="dxa"/>
          <w:bottom w:w="0" w:type="dxa"/>
          <w:right w:w="10" w:type="dxa"/>
        </w:tblCellMar>
      </w:tblPr>
      <w:tblGrid>
        <w:gridCol w:w="3240"/>
        <w:gridCol w:w="3053"/>
        <w:gridCol w:w="2916"/>
      </w:tblGrid>
      <w:tr>
        <w:tblPrEx>
          <w:jc w:val="center"/>
          <w:tblLayout w:type="fixed"/>
          <w:tblCellMar>
            <w:top w:w="0" w:type="dxa"/>
            <w:left w:w="10" w:type="dxa"/>
            <w:bottom w:w="0" w:type="dxa"/>
            <w:right w:w="10" w:type="dxa"/>
          </w:tblCellMar>
        </w:tblPrEx>
        <w:trPr>
          <w:trHeight w:hRule="exact" w:val="374"/>
          <w:jc w:val="center"/>
        </w:trPr>
        <w:tc>
          <w:tcPr>
            <w:tcW w:w="3240"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盐渍土名称</w:t>
            </w:r>
          </w:p>
        </w:tc>
        <w:tc>
          <w:tcPr>
            <w:tcW w:w="5969" w:type="dxa"/>
            <w:gridSpan w:val="2"/>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center"/>
            </w:pPr>
            <w:r>
              <w:rPr>
                <w:color w:val="000000"/>
                <w:spacing w:val="0"/>
                <w:w w:val="100"/>
                <w:position w:val="0"/>
              </w:rPr>
              <w:t>离子含量比值</w:t>
            </w:r>
          </w:p>
        </w:tc>
      </w:tr>
      <w:tr>
        <w:tblPrEx>
          <w:jc w:val="center"/>
          <w:tblLayout w:type="fixed"/>
          <w:tblCellMar>
            <w:top w:w="0" w:type="dxa"/>
            <w:left w:w="10" w:type="dxa"/>
            <w:bottom w:w="0" w:type="dxa"/>
            <w:right w:w="10" w:type="dxa"/>
          </w:tblCellMar>
        </w:tblPrEx>
        <w:trPr>
          <w:trHeight w:hRule="exact" w:val="367"/>
          <w:jc w:val="center"/>
        </w:trPr>
        <w:tc>
          <w:tcPr>
            <w:tcW w:w="3240" w:type="dxa"/>
            <w:vMerge/>
            <w:tcBorders>
              <w:left w:val="single" w:sz="4" w:space="0" w:color="auto"/>
            </w:tcBorders>
            <w:shd w:val="clear" w:color="auto" w:fill="FFFFFF"/>
            <w:vAlign w:val="center"/>
          </w:tcPr>
          <w:p/>
        </w:tc>
        <w:tc>
          <w:tcPr>
            <w:tcW w:w="305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C17SO；</w:t>
            </w:r>
          </w:p>
        </w:tc>
        <w:tc>
          <w:tcPr>
            <w:tcW w:w="291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CO；+HCO；/ C</w:t>
            </w:r>
            <w:r>
              <w:rPr>
                <w:color w:val="000000"/>
                <w:spacing w:val="0"/>
                <w:w w:val="100"/>
                <w:position w:val="0"/>
                <w:sz w:val="17"/>
                <w:szCs w:val="17"/>
                <w:lang w:val="en-US" w:eastAsia="en-US" w:bidi="en-US"/>
              </w:rPr>
              <w:t>「+</w:t>
            </w:r>
            <w:r>
              <w:rPr>
                <w:color w:val="000000"/>
                <w:spacing w:val="0"/>
                <w:w w:val="100"/>
                <w:position w:val="0"/>
                <w:sz w:val="16"/>
                <w:szCs w:val="16"/>
                <w:lang w:val="en-US" w:eastAsia="en-US" w:bidi="en-US"/>
              </w:rPr>
              <w:t>SO；</w:t>
            </w:r>
          </w:p>
        </w:tc>
      </w:tr>
      <w:tr>
        <w:tblPrEx>
          <w:jc w:val="center"/>
          <w:tblLayout w:type="fixed"/>
          <w:tblCellMar>
            <w:top w:w="0" w:type="dxa"/>
            <w:left w:w="10" w:type="dxa"/>
            <w:bottom w:w="0" w:type="dxa"/>
            <w:right w:w="10" w:type="dxa"/>
          </w:tblCellMar>
        </w:tblPrEx>
        <w:trPr>
          <w:trHeight w:hRule="exact" w:val="360"/>
          <w:jc w:val="center"/>
        </w:trPr>
        <w:tc>
          <w:tcPr>
            <w:tcW w:w="324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氯盐渍土</w:t>
            </w:r>
          </w:p>
        </w:tc>
        <w:tc>
          <w:tcPr>
            <w:tcW w:w="30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rPr>
              <w:t>&gt;2</w:t>
            </w:r>
          </w:p>
        </w:tc>
        <w:tc>
          <w:tcPr>
            <w:tcW w:w="291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center"/>
          <w:tblLayout w:type="fixed"/>
          <w:tblCellMar>
            <w:top w:w="0" w:type="dxa"/>
            <w:left w:w="10" w:type="dxa"/>
            <w:bottom w:w="0" w:type="dxa"/>
            <w:right w:w="10" w:type="dxa"/>
          </w:tblCellMar>
        </w:tblPrEx>
        <w:trPr>
          <w:trHeight w:hRule="exact" w:val="360"/>
          <w:jc w:val="center"/>
        </w:trPr>
        <w:tc>
          <w:tcPr>
            <w:tcW w:w="324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亚氯盐溃土</w:t>
            </w:r>
          </w:p>
        </w:tc>
        <w:tc>
          <w:tcPr>
            <w:tcW w:w="30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rPr>
              <w:t>1~2</w:t>
            </w:r>
          </w:p>
        </w:tc>
        <w:tc>
          <w:tcPr>
            <w:tcW w:w="291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一</w:t>
            </w:r>
          </w:p>
        </w:tc>
      </w:tr>
      <w:tr>
        <w:tblPrEx>
          <w:jc w:val="center"/>
          <w:tblLayout w:type="fixed"/>
          <w:tblCellMar>
            <w:top w:w="0" w:type="dxa"/>
            <w:left w:w="10" w:type="dxa"/>
            <w:bottom w:w="0" w:type="dxa"/>
            <w:right w:w="10" w:type="dxa"/>
          </w:tblCellMar>
        </w:tblPrEx>
        <w:trPr>
          <w:trHeight w:hRule="exact" w:val="360"/>
          <w:jc w:val="center"/>
        </w:trPr>
        <w:tc>
          <w:tcPr>
            <w:tcW w:w="324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亚硫酸盐渍土</w:t>
            </w:r>
          </w:p>
        </w:tc>
        <w:tc>
          <w:tcPr>
            <w:tcW w:w="30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0.3</w:t>
            </w:r>
            <w:r>
              <w:rPr>
                <w:color w:val="000000"/>
                <w:spacing w:val="0"/>
                <w:w w:val="100"/>
                <w:position w:val="0"/>
                <w:sz w:val="16"/>
                <w:szCs w:val="16"/>
                <w:lang w:val="zh-CN" w:eastAsia="zh-CN" w:bidi="zh-CN"/>
              </w:rPr>
              <w:t>-</w:t>
            </w:r>
            <w:r>
              <w:rPr>
                <w:color w:val="000000"/>
                <w:spacing w:val="0"/>
                <w:w w:val="100"/>
                <w:position w:val="0"/>
                <w:sz w:val="16"/>
                <w:szCs w:val="16"/>
                <w:lang w:val="en-US" w:eastAsia="en-US" w:bidi="en-US"/>
              </w:rPr>
              <w:t>&lt;1.0</w:t>
            </w:r>
          </w:p>
        </w:tc>
        <w:tc>
          <w:tcPr>
            <w:tcW w:w="291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center"/>
          <w:tblLayout w:type="fixed"/>
          <w:tblCellMar>
            <w:top w:w="0" w:type="dxa"/>
            <w:left w:w="10" w:type="dxa"/>
            <w:bottom w:w="0" w:type="dxa"/>
            <w:right w:w="10" w:type="dxa"/>
          </w:tblCellMar>
        </w:tblPrEx>
        <w:trPr>
          <w:trHeight w:hRule="exact" w:val="360"/>
          <w:jc w:val="center"/>
        </w:trPr>
        <w:tc>
          <w:tcPr>
            <w:tcW w:w="324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硫酸盐渍土</w:t>
            </w:r>
          </w:p>
        </w:tc>
        <w:tc>
          <w:tcPr>
            <w:tcW w:w="30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&lt;0.3</w:t>
            </w:r>
          </w:p>
        </w:tc>
        <w:tc>
          <w:tcPr>
            <w:tcW w:w="291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center"/>
          <w:tblLayout w:type="fixed"/>
          <w:tblCellMar>
            <w:top w:w="0" w:type="dxa"/>
            <w:left w:w="10" w:type="dxa"/>
            <w:bottom w:w="0" w:type="dxa"/>
            <w:right w:w="10" w:type="dxa"/>
          </w:tblCellMar>
        </w:tblPrEx>
        <w:trPr>
          <w:trHeight w:hRule="exact" w:val="360"/>
          <w:jc w:val="center"/>
        </w:trPr>
        <w:tc>
          <w:tcPr>
            <w:tcW w:w="324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碳酸盐渍土</w:t>
            </w:r>
          </w:p>
        </w:tc>
        <w:tc>
          <w:tcPr>
            <w:tcW w:w="30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一</w:t>
            </w:r>
          </w:p>
        </w:tc>
        <w:tc>
          <w:tcPr>
            <w:tcW w:w="291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&gt;0.3</w:t>
            </w:r>
          </w:p>
        </w:tc>
      </w:tr>
      <w:tr>
        <w:tblPrEx>
          <w:jc w:val="center"/>
          <w:tblLayout w:type="fixed"/>
          <w:tblCellMar>
            <w:top w:w="0" w:type="dxa"/>
            <w:left w:w="10" w:type="dxa"/>
            <w:bottom w:w="0" w:type="dxa"/>
            <w:right w:w="10" w:type="dxa"/>
          </w:tblCellMar>
        </w:tblPrEx>
        <w:trPr>
          <w:trHeight w:hRule="exact" w:val="382"/>
          <w:jc w:val="center"/>
        </w:trPr>
        <w:tc>
          <w:tcPr>
            <w:tcW w:w="920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pPr>
            <w:r>
              <w:rPr>
                <w:color w:val="000000"/>
                <w:spacing w:val="0"/>
                <w:w w:val="100"/>
                <w:position w:val="0"/>
              </w:rPr>
              <w:t>注:离子含量以</w:t>
            </w:r>
            <w:r>
              <w:rPr>
                <w:color w:val="000000"/>
                <w:spacing w:val="0"/>
                <w:w w:val="100"/>
                <w:position w:val="0"/>
                <w:sz w:val="16"/>
                <w:szCs w:val="16"/>
                <w:lang w:val="en-US" w:eastAsia="en-US" w:bidi="en-US"/>
              </w:rPr>
              <w:t xml:space="preserve">1kg </w:t>
            </w:r>
            <w:r>
              <w:rPr>
                <w:color w:val="000000"/>
                <w:spacing w:val="0"/>
                <w:w w:val="100"/>
                <w:position w:val="0"/>
              </w:rPr>
              <w:t>土中离子的毫摩尔数计</w:t>
            </w:r>
            <w:r>
              <w:rPr>
                <w:color w:val="000000"/>
                <w:spacing w:val="0"/>
                <w:w w:val="100"/>
                <w:position w:val="0"/>
                <w:sz w:val="16"/>
                <w:szCs w:val="16"/>
                <w:lang w:val="en-US" w:eastAsia="en-US" w:bidi="en-US"/>
              </w:rPr>
              <w:t>（mmol/kg）</w:t>
            </w:r>
            <w:r>
              <w:rPr>
                <w:color w:val="000000"/>
                <w:spacing w:val="0"/>
                <w:w w:val="100"/>
                <w:position w:val="0"/>
                <w:lang w:val="en-US" w:eastAsia="en-US" w:bidi="en-US"/>
              </w:rPr>
              <w:t>。</w:t>
            </w:r>
          </w:p>
        </w:tc>
      </w:tr>
    </w:tbl>
    <w:p>
      <w:pPr>
        <w:widowControl w:val="0"/>
        <w:spacing w:after="139" w:line="1" w:lineRule="exact"/>
      </w:pPr>
    </w:p>
    <w:p>
      <w:pPr>
        <w:pStyle w:val="Bodytext10"/>
        <w:keepNext w:val="0"/>
        <w:keepLines w:val="0"/>
        <w:widowControl w:val="0"/>
        <w:shd w:val="clear" w:color="auto" w:fill="auto"/>
        <w:bidi w:val="0"/>
        <w:spacing w:before="0" w:after="220" w:line="240" w:lineRule="auto"/>
        <w:ind w:left="0" w:right="0" w:firstLine="320"/>
        <w:jc w:val="left"/>
      </w:pPr>
      <w:r>
        <w:rPr>
          <w:color w:val="000000"/>
          <w:spacing w:val="0"/>
          <w:w w:val="100"/>
          <w:position w:val="0"/>
          <w:lang w:val="en-US" w:eastAsia="en-US" w:bidi="en-US"/>
        </w:rPr>
        <w:t>4.3</w:t>
      </w:r>
      <w:r>
        <w:rPr>
          <w:color w:val="000000"/>
          <w:spacing w:val="0"/>
          <w:w w:val="100"/>
          <w:position w:val="0"/>
        </w:rPr>
        <w:t>盐渍土按盐渍化程度分类见表2。</w:t>
      </w: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表2盐渍土按盐渍化程度分类</w:t>
      </w:r>
    </w:p>
    <w:tbl>
      <w:tblPr>
        <w:tblStyle w:val="TableNormal"/>
        <w:tblOverlap w:val="never"/>
        <w:jc w:val="center"/>
        <w:tblLayout w:type="fixed"/>
        <w:tblCellMar>
          <w:top w:w="0" w:type="dxa"/>
          <w:left w:w="10" w:type="dxa"/>
          <w:bottom w:w="0" w:type="dxa"/>
          <w:right w:w="10" w:type="dxa"/>
        </w:tblCellMar>
      </w:tblPr>
      <w:tblGrid>
        <w:gridCol w:w="3240"/>
        <w:gridCol w:w="3053"/>
        <w:gridCol w:w="2909"/>
      </w:tblGrid>
      <w:tr>
        <w:tblPrEx>
          <w:jc w:val="center"/>
          <w:tblLayout w:type="fixed"/>
          <w:tblCellMar>
            <w:top w:w="0" w:type="dxa"/>
            <w:left w:w="10" w:type="dxa"/>
            <w:bottom w:w="0" w:type="dxa"/>
            <w:right w:w="10" w:type="dxa"/>
          </w:tblCellMar>
        </w:tblPrEx>
        <w:trPr>
          <w:trHeight w:hRule="exact" w:val="382"/>
          <w:jc w:val="center"/>
        </w:trPr>
        <w:tc>
          <w:tcPr>
            <w:tcW w:w="3240"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盐渍土名称</w:t>
            </w:r>
          </w:p>
        </w:tc>
        <w:tc>
          <w:tcPr>
            <w:tcW w:w="5962" w:type="dxa"/>
            <w:gridSpan w:val="2"/>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土层的平均含盐量（以质量百分数计）</w:t>
            </w:r>
          </w:p>
        </w:tc>
      </w:tr>
      <w:tr>
        <w:tblPrEx>
          <w:jc w:val="center"/>
          <w:tblLayout w:type="fixed"/>
          <w:tblCellMar>
            <w:top w:w="0" w:type="dxa"/>
            <w:left w:w="10" w:type="dxa"/>
            <w:bottom w:w="0" w:type="dxa"/>
            <w:right w:w="10" w:type="dxa"/>
          </w:tblCellMar>
        </w:tblPrEx>
        <w:trPr>
          <w:trHeight w:hRule="exact" w:val="360"/>
          <w:jc w:val="center"/>
        </w:trPr>
        <w:tc>
          <w:tcPr>
            <w:tcW w:w="3240" w:type="dxa"/>
            <w:vMerge/>
            <w:tcBorders>
              <w:left w:val="single" w:sz="4" w:space="0" w:color="auto"/>
            </w:tcBorders>
            <w:shd w:val="clear" w:color="auto" w:fill="FFFFFF"/>
            <w:vAlign w:val="center"/>
          </w:tcPr>
          <w:p/>
        </w:tc>
        <w:tc>
          <w:tcPr>
            <w:tcW w:w="305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氣盐渍土及亚氯盐渍土</w:t>
            </w:r>
          </w:p>
        </w:tc>
        <w:tc>
          <w:tcPr>
            <w:tcW w:w="2909"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硫酸盐渍土及亚硫酸盐渍土</w:t>
            </w:r>
          </w:p>
        </w:tc>
      </w:tr>
      <w:tr>
        <w:tblPrEx>
          <w:jc w:val="center"/>
          <w:tblLayout w:type="fixed"/>
          <w:tblCellMar>
            <w:top w:w="0" w:type="dxa"/>
            <w:left w:w="10" w:type="dxa"/>
            <w:bottom w:w="0" w:type="dxa"/>
            <w:right w:w="10" w:type="dxa"/>
          </w:tblCellMar>
        </w:tblPrEx>
        <w:trPr>
          <w:trHeight w:hRule="exact" w:val="360"/>
          <w:jc w:val="center"/>
        </w:trPr>
        <w:tc>
          <w:tcPr>
            <w:tcW w:w="324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弱盐渍土</w:t>
            </w:r>
          </w:p>
        </w:tc>
        <w:tc>
          <w:tcPr>
            <w:tcW w:w="30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0.3-1.0</w:t>
            </w:r>
          </w:p>
        </w:tc>
        <w:tc>
          <w:tcPr>
            <w:tcW w:w="2909"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rPr>
              <w:t>0.3-0.5</w:t>
            </w:r>
          </w:p>
        </w:tc>
      </w:tr>
      <w:tr>
        <w:tblPrEx>
          <w:jc w:val="center"/>
          <w:tblLayout w:type="fixed"/>
          <w:tblCellMar>
            <w:top w:w="0" w:type="dxa"/>
            <w:left w:w="10" w:type="dxa"/>
            <w:bottom w:w="0" w:type="dxa"/>
            <w:right w:w="10" w:type="dxa"/>
          </w:tblCellMar>
        </w:tblPrEx>
        <w:trPr>
          <w:trHeight w:hRule="exact" w:val="367"/>
          <w:jc w:val="center"/>
        </w:trPr>
        <w:tc>
          <w:tcPr>
            <w:tcW w:w="324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中盐渍土</w:t>
            </w:r>
          </w:p>
        </w:tc>
        <w:tc>
          <w:tcPr>
            <w:tcW w:w="305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1.0-5.0</w:t>
            </w:r>
          </w:p>
        </w:tc>
        <w:tc>
          <w:tcPr>
            <w:tcW w:w="2909"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 xml:space="preserve">0.5 </w:t>
            </w:r>
            <w:r>
              <w:rPr>
                <w:color w:val="000000"/>
                <w:spacing w:val="0"/>
                <w:w w:val="100"/>
                <w:position w:val="0"/>
                <w:sz w:val="16"/>
                <w:szCs w:val="16"/>
              </w:rPr>
              <w:t xml:space="preserve">~ </w:t>
            </w:r>
            <w:r>
              <w:rPr>
                <w:color w:val="000000"/>
                <w:spacing w:val="0"/>
                <w:w w:val="100"/>
                <w:position w:val="0"/>
                <w:sz w:val="16"/>
                <w:szCs w:val="16"/>
                <w:lang w:val="en-US" w:eastAsia="en-US" w:bidi="en-US"/>
              </w:rPr>
              <w:t>2.0</w:t>
            </w:r>
          </w:p>
        </w:tc>
      </w:tr>
      <w:tr>
        <w:tblPrEx>
          <w:jc w:val="center"/>
          <w:tblLayout w:type="fixed"/>
          <w:tblCellMar>
            <w:top w:w="0" w:type="dxa"/>
            <w:left w:w="10" w:type="dxa"/>
            <w:bottom w:w="0" w:type="dxa"/>
            <w:right w:w="10" w:type="dxa"/>
          </w:tblCellMar>
        </w:tblPrEx>
        <w:trPr>
          <w:trHeight w:hRule="exact" w:val="360"/>
          <w:jc w:val="center"/>
        </w:trPr>
        <w:tc>
          <w:tcPr>
            <w:tcW w:w="324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强盐渍土</w:t>
            </w:r>
          </w:p>
        </w:tc>
        <w:tc>
          <w:tcPr>
            <w:tcW w:w="305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rPr>
              <w:t>5.0~8.0</w:t>
            </w:r>
          </w:p>
        </w:tc>
        <w:tc>
          <w:tcPr>
            <w:tcW w:w="2909"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rPr>
              <w:t>2.0-5.0</w:t>
            </w:r>
          </w:p>
        </w:tc>
      </w:tr>
      <w:tr>
        <w:tblPrEx>
          <w:jc w:val="center"/>
          <w:tblLayout w:type="fixed"/>
          <w:tblCellMar>
            <w:top w:w="0" w:type="dxa"/>
            <w:left w:w="10" w:type="dxa"/>
            <w:bottom w:w="0" w:type="dxa"/>
            <w:right w:w="10" w:type="dxa"/>
          </w:tblCellMar>
        </w:tblPrEx>
        <w:trPr>
          <w:trHeight w:hRule="exact" w:val="374"/>
          <w:jc w:val="center"/>
        </w:trPr>
        <w:tc>
          <w:tcPr>
            <w:tcW w:w="324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过盐渍土</w:t>
            </w:r>
          </w:p>
        </w:tc>
        <w:tc>
          <w:tcPr>
            <w:tcW w:w="305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&gt;8.0</w:t>
            </w:r>
          </w:p>
        </w:tc>
        <w:tc>
          <w:tcPr>
            <w:tcW w:w="2909"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&gt;5.0</w:t>
            </w:r>
          </w:p>
        </w:tc>
      </w:tr>
    </w:tbl>
    <w:p>
      <w:pPr>
        <w:widowControl w:val="0"/>
        <w:spacing w:after="139" w:line="1" w:lineRule="exact"/>
      </w:pPr>
    </w:p>
    <w:p>
      <w:pPr>
        <w:pStyle w:val="Bodytext10"/>
        <w:keepNext w:val="0"/>
        <w:keepLines w:val="0"/>
        <w:widowControl w:val="0"/>
        <w:shd w:val="clear" w:color="auto" w:fill="auto"/>
        <w:bidi w:val="0"/>
        <w:spacing w:before="0" w:after="220" w:line="240" w:lineRule="auto"/>
        <w:ind w:left="0" w:right="0" w:firstLine="320"/>
        <w:jc w:val="left"/>
      </w:pPr>
      <w:r>
        <w:rPr>
          <w:color w:val="000000"/>
          <w:spacing w:val="0"/>
          <w:w w:val="100"/>
          <w:position w:val="0"/>
          <w:lang w:val="en-US" w:eastAsia="en-US" w:bidi="en-US"/>
        </w:rPr>
        <w:t>4.4</w:t>
      </w:r>
      <w:r>
        <w:rPr>
          <w:color w:val="000000"/>
          <w:spacing w:val="0"/>
          <w:w w:val="100"/>
          <w:position w:val="0"/>
        </w:rPr>
        <w:t>盐渍土按盐类的溶解度分类见表3。</w:t>
      </w: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表3盐渍土按盐类的溶解度分类</w:t>
      </w:r>
    </w:p>
    <w:tbl>
      <w:tblPr>
        <w:tblStyle w:val="TableNormal"/>
        <w:tblOverlap w:val="never"/>
        <w:jc w:val="center"/>
        <w:tblLayout w:type="fixed"/>
        <w:tblCellMar>
          <w:top w:w="0" w:type="dxa"/>
          <w:left w:w="10" w:type="dxa"/>
          <w:bottom w:w="0" w:type="dxa"/>
          <w:right w:w="10" w:type="dxa"/>
        </w:tblCellMar>
      </w:tblPr>
      <w:tblGrid>
        <w:gridCol w:w="2707"/>
        <w:gridCol w:w="3773"/>
        <w:gridCol w:w="2729"/>
      </w:tblGrid>
      <w:tr>
        <w:tblPrEx>
          <w:jc w:val="center"/>
          <w:tblLayout w:type="fixed"/>
          <w:tblCellMar>
            <w:top w:w="0" w:type="dxa"/>
            <w:left w:w="10" w:type="dxa"/>
            <w:bottom w:w="0" w:type="dxa"/>
            <w:right w:w="10" w:type="dxa"/>
          </w:tblCellMar>
        </w:tblPrEx>
        <w:trPr>
          <w:trHeight w:hRule="exact" w:val="374"/>
          <w:jc w:val="center"/>
        </w:trPr>
        <w:tc>
          <w:tcPr>
            <w:tcW w:w="270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盐渍土名称</w:t>
            </w:r>
          </w:p>
        </w:tc>
        <w:tc>
          <w:tcPr>
            <w:tcW w:w="377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含盐成分</w:t>
            </w:r>
          </w:p>
        </w:tc>
        <w:tc>
          <w:tcPr>
            <w:tcW w:w="2729"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溶解度（%,$ = </w:t>
            </w:r>
            <w:r>
              <w:rPr>
                <w:color w:val="000000"/>
                <w:spacing w:val="0"/>
                <w:w w:val="100"/>
                <w:position w:val="0"/>
                <w:sz w:val="16"/>
                <w:szCs w:val="16"/>
              </w:rPr>
              <w:t>20</w:t>
            </w:r>
            <w:r>
              <w:rPr>
                <w:color w:val="000000"/>
                <w:spacing w:val="0"/>
                <w:w w:val="100"/>
                <w:position w:val="0"/>
              </w:rPr>
              <w:t>弋）</w:t>
            </w:r>
          </w:p>
        </w:tc>
      </w:tr>
      <w:tr>
        <w:tblPrEx>
          <w:jc w:val="center"/>
          <w:tblLayout w:type="fixed"/>
          <w:tblCellMar>
            <w:top w:w="0" w:type="dxa"/>
            <w:left w:w="10" w:type="dxa"/>
            <w:bottom w:w="0" w:type="dxa"/>
            <w:right w:w="10" w:type="dxa"/>
          </w:tblCellMar>
        </w:tblPrEx>
        <w:trPr>
          <w:trHeight w:hRule="exact" w:val="1174"/>
          <w:jc w:val="center"/>
        </w:trPr>
        <w:tc>
          <w:tcPr>
            <w:tcW w:w="270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易溶盐渍土</w:t>
            </w:r>
          </w:p>
        </w:tc>
        <w:tc>
          <w:tcPr>
            <w:tcW w:w="377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84" w:lineRule="exact"/>
              <w:ind w:left="0" w:right="0" w:firstLine="260"/>
              <w:jc w:val="both"/>
            </w:pPr>
            <w:r>
              <w:rPr>
                <w:color w:val="000000"/>
                <w:spacing w:val="0"/>
                <w:w w:val="100"/>
                <w:position w:val="0"/>
              </w:rPr>
              <w:t>氯化钠（</w:t>
            </w:r>
            <w:r>
              <w:rPr>
                <w:color w:val="000000"/>
                <w:spacing w:val="0"/>
                <w:w w:val="100"/>
                <w:position w:val="0"/>
                <w:sz w:val="16"/>
                <w:szCs w:val="16"/>
                <w:lang w:val="en-US" w:eastAsia="en-US" w:bidi="en-US"/>
              </w:rPr>
              <w:t>NaCl</w:t>
            </w:r>
            <w:r>
              <w:rPr>
                <w:color w:val="000000"/>
                <w:spacing w:val="0"/>
                <w:w w:val="100"/>
                <w:position w:val="0"/>
              </w:rPr>
              <w:t>）、氯化钾（</w:t>
            </w:r>
            <w:r>
              <w:rPr>
                <w:color w:val="000000"/>
                <w:spacing w:val="0"/>
                <w:w w:val="100"/>
                <w:position w:val="0"/>
                <w:sz w:val="16"/>
                <w:szCs w:val="16"/>
                <w:lang w:val="en-US" w:eastAsia="en-US" w:bidi="en-US"/>
              </w:rPr>
              <w:t>KC1</w:t>
            </w:r>
            <w:r>
              <w:rPr>
                <w:color w:val="000000"/>
                <w:spacing w:val="0"/>
                <w:w w:val="100"/>
                <w:position w:val="0"/>
              </w:rPr>
              <w:t>）、氯化钙 （</w:t>
            </w:r>
            <w:r>
              <w:rPr>
                <w:color w:val="000000"/>
                <w:spacing w:val="0"/>
                <w:w w:val="100"/>
                <w:position w:val="0"/>
                <w:sz w:val="16"/>
                <w:szCs w:val="16"/>
                <w:lang w:val="en-US" w:eastAsia="en-US" w:bidi="en-US"/>
              </w:rPr>
              <w:t>CaCl</w:t>
            </w:r>
            <w:r>
              <w:rPr>
                <w:color w:val="000000"/>
                <w:spacing w:val="0"/>
                <w:w w:val="100"/>
                <w:position w:val="0"/>
                <w:sz w:val="16"/>
                <w:szCs w:val="16"/>
                <w:vertAlign w:val="subscript"/>
                <w:lang w:val="en-US" w:eastAsia="en-US" w:bidi="en-US"/>
              </w:rPr>
              <w:t>2</w:t>
            </w:r>
            <w:r>
              <w:rPr>
                <w:color w:val="000000"/>
                <w:spacing w:val="0"/>
                <w:w w:val="100"/>
                <w:position w:val="0"/>
                <w:sz w:val="16"/>
                <w:szCs w:val="16"/>
                <w:lang w:val="en-US" w:eastAsia="en-US" w:bidi="en-US"/>
              </w:rPr>
              <w:t>）</w:t>
            </w:r>
            <w:r>
              <w:rPr>
                <w:color w:val="000000"/>
                <w:spacing w:val="0"/>
                <w:w w:val="100"/>
                <w:position w:val="0"/>
              </w:rPr>
              <w:t>、硫酸钠（心。」）、硫酸镁（</w:t>
            </w:r>
            <w:r>
              <w:rPr>
                <w:color w:val="000000"/>
                <w:spacing w:val="0"/>
                <w:w w:val="100"/>
                <w:position w:val="0"/>
                <w:sz w:val="16"/>
                <w:szCs w:val="16"/>
                <w:lang w:val="en-US" w:eastAsia="en-US" w:bidi="en-US"/>
              </w:rPr>
              <w:t>MgSOJ</w:t>
            </w:r>
            <w:r>
              <w:rPr>
                <w:color w:val="000000"/>
                <w:spacing w:val="0"/>
                <w:w w:val="100"/>
                <w:position w:val="0"/>
              </w:rPr>
              <w:t>、 碳酸钠</w:t>
            </w:r>
            <w:r>
              <w:rPr>
                <w:color w:val="000000"/>
                <w:spacing w:val="0"/>
                <w:w w:val="100"/>
                <w:position w:val="0"/>
                <w:sz w:val="16"/>
                <w:szCs w:val="16"/>
                <w:lang w:val="en-US" w:eastAsia="en-US" w:bidi="en-US"/>
              </w:rPr>
              <w:t>（Naze</w:t>
            </w:r>
            <w:r>
              <w:rPr>
                <w:color w:val="000000"/>
                <w:spacing w:val="0"/>
                <w:w w:val="100"/>
                <w:position w:val="0"/>
                <w:lang w:val="en-US" w:eastAsia="en-US" w:bidi="en-US"/>
              </w:rPr>
              <w:t>。。</w:t>
            </w:r>
            <w:r>
              <w:rPr>
                <w:color w:val="000000"/>
                <w:spacing w:val="0"/>
                <w:w w:val="100"/>
                <w:position w:val="0"/>
              </w:rPr>
              <w:t>、碳酸氢钠</w:t>
            </w:r>
            <w:r>
              <w:rPr>
                <w:color w:val="000000"/>
                <w:spacing w:val="0"/>
                <w:w w:val="100"/>
                <w:position w:val="0"/>
                <w:sz w:val="16"/>
                <w:szCs w:val="16"/>
                <w:lang w:val="en-US" w:eastAsia="en-US" w:bidi="en-US"/>
              </w:rPr>
              <w:t>（NaHCO</w:t>
            </w:r>
            <w:r>
              <w:rPr>
                <w:color w:val="000000"/>
                <w:spacing w:val="0"/>
                <w:w w:val="100"/>
                <w:position w:val="0"/>
                <w:sz w:val="16"/>
                <w:szCs w:val="16"/>
                <w:vertAlign w:val="subscript"/>
                <w:lang w:val="en-US" w:eastAsia="en-US" w:bidi="en-US"/>
              </w:rPr>
              <w:t>3</w:t>
            </w:r>
            <w:r>
              <w:rPr>
                <w:color w:val="000000"/>
                <w:spacing w:val="0"/>
                <w:w w:val="100"/>
                <w:position w:val="0"/>
                <w:sz w:val="16"/>
                <w:szCs w:val="16"/>
                <w:lang w:val="en-US" w:eastAsia="en-US" w:bidi="en-US"/>
              </w:rPr>
              <w:t>）</w:t>
            </w:r>
            <w:r>
              <w:rPr>
                <w:color w:val="000000"/>
                <w:spacing w:val="0"/>
                <w:w w:val="100"/>
                <w:position w:val="0"/>
              </w:rPr>
              <w:t>等</w:t>
            </w:r>
          </w:p>
        </w:tc>
        <w:tc>
          <w:tcPr>
            <w:tcW w:w="2729"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9.6 -42.7</w:t>
            </w:r>
          </w:p>
        </w:tc>
      </w:tr>
      <w:tr>
        <w:tblPrEx>
          <w:jc w:val="center"/>
          <w:tblLayout w:type="fixed"/>
          <w:tblCellMar>
            <w:top w:w="0" w:type="dxa"/>
            <w:left w:w="10" w:type="dxa"/>
            <w:bottom w:w="0" w:type="dxa"/>
            <w:right w:w="10" w:type="dxa"/>
          </w:tblCellMar>
        </w:tblPrEx>
        <w:trPr>
          <w:trHeight w:hRule="exact" w:val="360"/>
          <w:jc w:val="center"/>
        </w:trPr>
        <w:tc>
          <w:tcPr>
            <w:tcW w:w="270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中溶盐渍土</w:t>
            </w:r>
          </w:p>
        </w:tc>
        <w:tc>
          <w:tcPr>
            <w:tcW w:w="377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both"/>
              <w:rPr>
                <w:sz w:val="16"/>
                <w:szCs w:val="16"/>
              </w:rPr>
            </w:pPr>
            <w:r>
              <w:rPr>
                <w:color w:val="000000"/>
                <w:spacing w:val="0"/>
                <w:w w:val="100"/>
                <w:position w:val="0"/>
                <w:sz w:val="17"/>
                <w:szCs w:val="17"/>
              </w:rPr>
              <w:t>硫酸钙(</w:t>
            </w:r>
            <w:r>
              <w:rPr>
                <w:color w:val="000000"/>
                <w:spacing w:val="0"/>
                <w:w w:val="100"/>
                <w:position w:val="0"/>
                <w:sz w:val="16"/>
                <w:szCs w:val="16"/>
                <w:lang w:val="en-US" w:eastAsia="en-US" w:bidi="en-US"/>
              </w:rPr>
              <w:t>CaSO</w:t>
            </w:r>
            <w:r>
              <w:rPr>
                <w:color w:val="000000"/>
                <w:spacing w:val="0"/>
                <w:w w:val="100"/>
                <w:position w:val="0"/>
                <w:sz w:val="16"/>
                <w:szCs w:val="16"/>
                <w:vertAlign w:val="subscript"/>
                <w:lang w:val="en-US" w:eastAsia="en-US" w:bidi="en-US"/>
              </w:rPr>
              <w:t>4</w:t>
            </w:r>
            <w:r>
              <w:rPr>
                <w:color w:val="000000"/>
                <w:spacing w:val="0"/>
                <w:w w:val="100"/>
                <w:position w:val="0"/>
                <w:sz w:val="16"/>
                <w:szCs w:val="16"/>
              </w:rPr>
              <w:t>)</w:t>
            </w:r>
            <w:r>
              <w:rPr>
                <w:color w:val="000000"/>
                <w:spacing w:val="0"/>
                <w:w w:val="100"/>
                <w:position w:val="0"/>
                <w:sz w:val="17"/>
                <w:szCs w:val="17"/>
              </w:rPr>
              <w:t>、石膏(</w:t>
            </w:r>
            <w:r>
              <w:rPr>
                <w:color w:val="000000"/>
                <w:spacing w:val="0"/>
                <w:w w:val="100"/>
                <w:position w:val="0"/>
                <w:sz w:val="16"/>
                <w:szCs w:val="16"/>
                <w:lang w:val="en-US" w:eastAsia="en-US" w:bidi="en-US"/>
              </w:rPr>
              <w:t>CaSO</w:t>
            </w:r>
            <w:r>
              <w:rPr>
                <w:color w:val="000000"/>
                <w:spacing w:val="0"/>
                <w:w w:val="100"/>
                <w:position w:val="0"/>
                <w:sz w:val="16"/>
                <w:szCs w:val="16"/>
                <w:vertAlign w:val="subscript"/>
                <w:lang w:val="en-US" w:eastAsia="en-US" w:bidi="en-US"/>
              </w:rPr>
              <w:t>4</w:t>
            </w:r>
            <w:r>
              <w:rPr>
                <w:color w:val="000000"/>
                <w:spacing w:val="0"/>
                <w:w w:val="100"/>
                <w:position w:val="0"/>
                <w:sz w:val="16"/>
                <w:szCs w:val="16"/>
                <w:lang w:val="en-US" w:eastAsia="en-US" w:bidi="en-US"/>
              </w:rPr>
              <w:t xml:space="preserve"> </w:t>
            </w:r>
            <w:r>
              <w:rPr>
                <w:color w:val="000000"/>
                <w:spacing w:val="0"/>
                <w:w w:val="100"/>
                <w:position w:val="0"/>
                <w:sz w:val="16"/>
                <w:szCs w:val="16"/>
              </w:rPr>
              <w:t xml:space="preserve">- </w:t>
            </w:r>
            <w:r>
              <w:rPr>
                <w:color w:val="000000"/>
                <w:spacing w:val="0"/>
                <w:w w:val="100"/>
                <w:position w:val="0"/>
                <w:sz w:val="16"/>
                <w:szCs w:val="16"/>
                <w:lang w:val="en-US" w:eastAsia="en-US" w:bidi="en-US"/>
              </w:rPr>
              <w:t>H</w:t>
            </w:r>
            <w:r>
              <w:rPr>
                <w:color w:val="000000"/>
                <w:spacing w:val="0"/>
                <w:w w:val="100"/>
                <w:position w:val="0"/>
                <w:sz w:val="16"/>
                <w:szCs w:val="16"/>
                <w:vertAlign w:val="subscript"/>
                <w:lang w:val="en-US" w:eastAsia="en-US" w:bidi="en-US"/>
              </w:rPr>
              <w:t>2</w:t>
            </w:r>
            <w:r>
              <w:rPr>
                <w:color w:val="000000"/>
                <w:spacing w:val="0"/>
                <w:w w:val="100"/>
                <w:position w:val="0"/>
                <w:sz w:val="16"/>
                <w:szCs w:val="16"/>
                <w:lang w:val="en-US" w:eastAsia="en-US" w:bidi="en-US"/>
              </w:rPr>
              <w:t>0)</w:t>
            </w:r>
          </w:p>
        </w:tc>
        <w:tc>
          <w:tcPr>
            <w:tcW w:w="2729"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0.2</w:t>
            </w:r>
          </w:p>
        </w:tc>
      </w:tr>
      <w:tr>
        <w:tblPrEx>
          <w:jc w:val="center"/>
          <w:tblLayout w:type="fixed"/>
          <w:tblCellMar>
            <w:top w:w="0" w:type="dxa"/>
            <w:left w:w="10" w:type="dxa"/>
            <w:bottom w:w="0" w:type="dxa"/>
            <w:right w:w="10" w:type="dxa"/>
          </w:tblCellMar>
        </w:tblPrEx>
        <w:trPr>
          <w:trHeight w:hRule="exact" w:val="360"/>
          <w:jc w:val="center"/>
        </w:trPr>
        <w:tc>
          <w:tcPr>
            <w:tcW w:w="270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难溶盐渍土</w:t>
            </w:r>
          </w:p>
        </w:tc>
        <w:tc>
          <w:tcPr>
            <w:tcW w:w="377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both"/>
              <w:rPr>
                <w:sz w:val="16"/>
                <w:szCs w:val="16"/>
              </w:rPr>
            </w:pPr>
            <w:r>
              <w:rPr>
                <w:color w:val="000000"/>
                <w:spacing w:val="0"/>
                <w:w w:val="100"/>
                <w:position w:val="0"/>
                <w:sz w:val="17"/>
                <w:szCs w:val="17"/>
              </w:rPr>
              <w:t>碳酸钙</w:t>
            </w:r>
            <w:r>
              <w:rPr>
                <w:color w:val="000000"/>
                <w:spacing w:val="0"/>
                <w:w w:val="100"/>
                <w:position w:val="0"/>
                <w:sz w:val="16"/>
                <w:szCs w:val="16"/>
                <w:lang w:val="en-US" w:eastAsia="en-US" w:bidi="en-US"/>
              </w:rPr>
              <w:t>（CaCO</w:t>
            </w:r>
            <w:r>
              <w:rPr>
                <w:color w:val="000000"/>
                <w:spacing w:val="0"/>
                <w:w w:val="100"/>
                <w:position w:val="0"/>
                <w:sz w:val="16"/>
                <w:szCs w:val="16"/>
                <w:vertAlign w:val="subscript"/>
                <w:lang w:val="en-US" w:eastAsia="en-US" w:bidi="en-US"/>
              </w:rPr>
              <w:t>3</w:t>
            </w:r>
            <w:r>
              <w:rPr>
                <w:color w:val="000000"/>
                <w:spacing w:val="0"/>
                <w:w w:val="100"/>
                <w:position w:val="0"/>
                <w:sz w:val="17"/>
                <w:szCs w:val="17"/>
              </w:rPr>
              <w:t>）、碳酸镁（</w:t>
            </w:r>
            <w:r>
              <w:rPr>
                <w:color w:val="000000"/>
                <w:spacing w:val="0"/>
                <w:w w:val="100"/>
                <w:position w:val="0"/>
                <w:sz w:val="16"/>
                <w:szCs w:val="16"/>
                <w:lang w:val="en-US" w:eastAsia="en-US" w:bidi="en-US"/>
              </w:rPr>
              <w:t>MgCO</w:t>
            </w:r>
            <w:r>
              <w:rPr>
                <w:color w:val="000000"/>
                <w:spacing w:val="0"/>
                <w:w w:val="100"/>
                <w:position w:val="0"/>
                <w:sz w:val="16"/>
                <w:szCs w:val="16"/>
                <w:vertAlign w:val="subscript"/>
                <w:lang w:val="en-US" w:eastAsia="en-US" w:bidi="en-US"/>
              </w:rPr>
              <w:t>3</w:t>
            </w:r>
            <w:r>
              <w:rPr>
                <w:color w:val="000000"/>
                <w:spacing w:val="0"/>
                <w:w w:val="100"/>
                <w:position w:val="0"/>
                <w:sz w:val="16"/>
                <w:szCs w:val="16"/>
                <w:lang w:val="en-US" w:eastAsia="en-US" w:bidi="en-US"/>
              </w:rPr>
              <w:t>）</w:t>
            </w:r>
          </w:p>
        </w:tc>
        <w:tc>
          <w:tcPr>
            <w:tcW w:w="2729"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 xml:space="preserve">0.001 </w:t>
            </w:r>
            <w:r>
              <w:rPr>
                <w:color w:val="000000"/>
                <w:spacing w:val="0"/>
                <w:w w:val="100"/>
                <w:position w:val="0"/>
                <w:sz w:val="16"/>
                <w:szCs w:val="16"/>
              </w:rPr>
              <w:t>4</w:t>
            </w:r>
          </w:p>
        </w:tc>
      </w:tr>
      <w:tr>
        <w:tblPrEx>
          <w:jc w:val="center"/>
          <w:tblLayout w:type="fixed"/>
          <w:tblCellMar>
            <w:top w:w="0" w:type="dxa"/>
            <w:left w:w="10" w:type="dxa"/>
            <w:bottom w:w="0" w:type="dxa"/>
            <w:right w:w="10" w:type="dxa"/>
          </w:tblCellMar>
        </w:tblPrEx>
        <w:trPr>
          <w:trHeight w:hRule="exact" w:val="382"/>
          <w:jc w:val="center"/>
        </w:trPr>
        <w:tc>
          <w:tcPr>
            <w:tcW w:w="9209" w:type="dxa"/>
            <w:gridSpan w:val="3"/>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80"/>
              <w:jc w:val="left"/>
            </w:pPr>
            <w:r>
              <w:rPr>
                <w:color w:val="000000"/>
                <w:spacing w:val="0"/>
                <w:w w:val="100"/>
                <w:position w:val="0"/>
              </w:rPr>
              <w:t>注:盐的溶解度为</w:t>
            </w:r>
            <w:r>
              <w:rPr>
                <w:color w:val="000000"/>
                <w:spacing w:val="0"/>
                <w:w w:val="100"/>
                <w:position w:val="0"/>
                <w:sz w:val="16"/>
                <w:szCs w:val="16"/>
                <w:lang w:val="en-US" w:eastAsia="en-US" w:bidi="en-US"/>
              </w:rPr>
              <w:t>100g</w:t>
            </w:r>
            <w:r>
              <w:rPr>
                <w:color w:val="000000"/>
                <w:spacing w:val="0"/>
                <w:w w:val="100"/>
                <w:position w:val="0"/>
              </w:rPr>
              <w:t>水中能溶解该盐的克数。</w:t>
            </w:r>
          </w:p>
        </w:tc>
      </w:tr>
    </w:tbl>
    <w:p>
      <w:pPr>
        <w:sectPr>
          <w:headerReference w:type="even" r:id="rId16"/>
          <w:headerReference w:type="default" r:id="rId17"/>
          <w:footerReference w:type="even" r:id="rId18"/>
          <w:footerReference w:type="default" r:id="rId19"/>
          <w:headerReference w:type="first" r:id="rId20"/>
          <w:footerReference w:type="first" r:id="rId21"/>
          <w:type w:val="nextPage"/>
          <w:pgSz w:w="11900" w:h="16840"/>
          <w:pgMar w:top="1555" w:right="1135" w:bottom="1678" w:left="1017" w:header="0" w:footer="3" w:gutter="0"/>
          <w:pgNumType w:start="2"/>
          <w:cols w:space="720"/>
          <w:noEndnote/>
          <w:titlePg w:val="0"/>
          <w:rtlGutter w:val="0"/>
          <w:docGrid w:linePitch="360"/>
        </w:sectPr>
      </w:pPr>
    </w:p>
    <w:p>
      <w:pPr>
        <w:pStyle w:val="Bodytext10"/>
        <w:keepNext w:val="0"/>
        <w:keepLines w:val="0"/>
        <w:widowControl w:val="0"/>
        <w:shd w:val="clear" w:color="auto" w:fill="auto"/>
        <w:bidi w:val="0"/>
        <w:spacing w:before="0" w:after="220" w:line="240" w:lineRule="auto"/>
        <w:ind w:left="0" w:right="0" w:firstLine="0"/>
        <w:jc w:val="left"/>
      </w:pPr>
      <w:r>
        <w:rPr>
          <w:color w:val="000000"/>
          <w:spacing w:val="0"/>
          <w:w w:val="100"/>
          <w:position w:val="0"/>
          <w:lang w:val="en-US" w:eastAsia="en-US" w:bidi="en-US"/>
        </w:rPr>
        <w:t>4.5</w:t>
      </w:r>
      <w:r>
        <w:rPr>
          <w:color w:val="000000"/>
          <w:spacing w:val="0"/>
          <w:w w:val="100"/>
          <w:position w:val="0"/>
        </w:rPr>
        <w:t>盐渍土按土的盐胀特性分类见表</w:t>
      </w:r>
      <w:r>
        <w:rPr>
          <w:color w:val="000000"/>
          <w:spacing w:val="0"/>
          <w:w w:val="100"/>
          <w:position w:val="0"/>
          <w:lang w:val="zh-CN" w:eastAsia="zh-CN" w:bidi="zh-CN"/>
        </w:rPr>
        <w:t>4。</w:t>
      </w:r>
    </w:p>
    <w:p>
      <w:pPr>
        <w:pStyle w:val="Bodytext10"/>
        <w:keepNext w:val="0"/>
        <w:keepLines w:val="0"/>
        <w:widowControl w:val="0"/>
        <w:shd w:val="clear" w:color="auto" w:fill="auto"/>
        <w:bidi w:val="0"/>
        <w:spacing w:before="0" w:after="220" w:line="240" w:lineRule="auto"/>
        <w:ind w:left="0" w:right="0" w:firstLine="0"/>
        <w:jc w:val="center"/>
      </w:pPr>
      <w:r>
        <w:rPr>
          <w:color w:val="000000"/>
          <w:spacing w:val="0"/>
          <w:w w:val="100"/>
          <w:position w:val="0"/>
        </w:rPr>
        <w:t>表4盐渍土按土的盐胀特性分类</w:t>
      </w:r>
    </w:p>
    <w:tbl>
      <w:tblPr>
        <w:tblStyle w:val="TableNormal"/>
        <w:tblOverlap w:val="never"/>
        <w:jc w:val="center"/>
        <w:tblLayout w:type="fixed"/>
        <w:tblCellMar>
          <w:top w:w="0" w:type="dxa"/>
          <w:left w:w="10" w:type="dxa"/>
          <w:bottom w:w="0" w:type="dxa"/>
          <w:right w:w="10" w:type="dxa"/>
        </w:tblCellMar>
      </w:tblPr>
      <w:tblGrid>
        <w:gridCol w:w="1800"/>
        <w:gridCol w:w="1836"/>
        <w:gridCol w:w="1843"/>
        <w:gridCol w:w="1843"/>
        <w:gridCol w:w="1872"/>
      </w:tblGrid>
      <w:tr>
        <w:tblPrEx>
          <w:jc w:val="center"/>
          <w:tblLayout w:type="fixed"/>
          <w:tblCellMar>
            <w:top w:w="0" w:type="dxa"/>
            <w:left w:w="10" w:type="dxa"/>
            <w:bottom w:w="0" w:type="dxa"/>
            <w:right w:w="10" w:type="dxa"/>
          </w:tblCellMar>
        </w:tblPrEx>
        <w:trPr>
          <w:trHeight w:hRule="exact" w:val="374"/>
          <w:jc w:val="center"/>
        </w:trPr>
        <w:tc>
          <w:tcPr>
            <w:tcW w:w="180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盐胀分类</w:t>
            </w:r>
          </w:p>
        </w:tc>
        <w:tc>
          <w:tcPr>
            <w:tcW w:w="18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非盐胀性土</w:t>
            </w:r>
          </w:p>
        </w:tc>
        <w:tc>
          <w:tcPr>
            <w:tcW w:w="18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弱盐胀性土</w:t>
            </w:r>
          </w:p>
        </w:tc>
        <w:tc>
          <w:tcPr>
            <w:tcW w:w="18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盐胀性土</w:t>
            </w:r>
          </w:p>
        </w:tc>
        <w:tc>
          <w:tcPr>
            <w:tcW w:w="187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强盐胀性土</w:t>
            </w:r>
          </w:p>
        </w:tc>
      </w:tr>
      <w:tr>
        <w:tblPrEx>
          <w:jc w:val="center"/>
          <w:tblLayout w:type="fixed"/>
          <w:tblCellMar>
            <w:top w:w="0" w:type="dxa"/>
            <w:left w:w="10" w:type="dxa"/>
            <w:bottom w:w="0" w:type="dxa"/>
            <w:right w:w="10" w:type="dxa"/>
          </w:tblCellMar>
        </w:tblPrEx>
        <w:trPr>
          <w:trHeight w:hRule="exact" w:val="360"/>
          <w:jc w:val="center"/>
        </w:trPr>
        <w:tc>
          <w:tcPr>
            <w:tcW w:w="180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6"/>
                <w:szCs w:val="16"/>
              </w:rPr>
            </w:pPr>
            <w:r>
              <w:rPr>
                <w:color w:val="000000"/>
                <w:spacing w:val="0"/>
                <w:w w:val="100"/>
                <w:position w:val="0"/>
                <w:sz w:val="17"/>
                <w:szCs w:val="17"/>
              </w:rPr>
              <w:t>盐胀率</w:t>
            </w:r>
            <w:r>
              <w:rPr>
                <w:color w:val="000000"/>
                <w:spacing w:val="0"/>
                <w:w w:val="100"/>
                <w:position w:val="0"/>
                <w:sz w:val="16"/>
                <w:szCs w:val="16"/>
              </w:rPr>
              <w:t>77(%)</w:t>
            </w:r>
          </w:p>
        </w:tc>
        <w:tc>
          <w:tcPr>
            <w:tcW w:w="18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5"/>
                <w:szCs w:val="15"/>
              </w:rPr>
            </w:pPr>
            <w:r>
              <w:rPr>
                <w:rFonts w:ascii="Times New Roman" w:eastAsia="Times New Roman" w:hAnsi="Times New Roman" w:cs="Times New Roman"/>
                <w:i/>
                <w:iCs/>
                <w:color w:val="000000"/>
                <w:spacing w:val="0"/>
                <w:w w:val="100"/>
                <w:position w:val="0"/>
                <w:sz w:val="15"/>
                <w:szCs w:val="15"/>
              </w:rPr>
              <w:t>7)^1</w:t>
            </w:r>
          </w:p>
        </w:tc>
        <w:tc>
          <w:tcPr>
            <w:tcW w:w="18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l&lt;?yW3</w:t>
            </w:r>
          </w:p>
        </w:tc>
        <w:tc>
          <w:tcPr>
            <w:tcW w:w="18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rFonts w:ascii="Times New Roman" w:eastAsia="Times New Roman" w:hAnsi="Times New Roman" w:cs="Times New Roman"/>
                <w:smallCaps/>
                <w:color w:val="000000"/>
                <w:spacing w:val="0"/>
                <w:w w:val="100"/>
                <w:position w:val="0"/>
                <w:sz w:val="15"/>
                <w:szCs w:val="15"/>
                <w:lang w:val="en-US" w:eastAsia="en-US" w:bidi="en-US"/>
              </w:rPr>
              <w:t>3&lt;t/</w:t>
            </w:r>
            <w:r>
              <w:rPr>
                <w:color w:val="000000"/>
                <w:spacing w:val="0"/>
                <w:w w:val="100"/>
                <w:position w:val="0"/>
                <w:sz w:val="16"/>
                <w:szCs w:val="16"/>
                <w:lang w:val="en-US" w:eastAsia="en-US" w:bidi="en-US"/>
              </w:rPr>
              <w:t>W6</w:t>
            </w:r>
          </w:p>
        </w:tc>
        <w:tc>
          <w:tcPr>
            <w:tcW w:w="187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7"/>
                <w:szCs w:val="17"/>
              </w:rPr>
              <w:t>为&gt;</w:t>
            </w:r>
            <w:r>
              <w:rPr>
                <w:color w:val="000000"/>
                <w:spacing w:val="0"/>
                <w:w w:val="100"/>
                <w:position w:val="0"/>
                <w:sz w:val="16"/>
                <w:szCs w:val="16"/>
              </w:rPr>
              <w:t>6</w:t>
            </w:r>
          </w:p>
        </w:tc>
      </w:tr>
      <w:tr>
        <w:tblPrEx>
          <w:jc w:val="center"/>
          <w:tblLayout w:type="fixed"/>
          <w:tblCellMar>
            <w:top w:w="0" w:type="dxa"/>
            <w:left w:w="10" w:type="dxa"/>
            <w:bottom w:w="0" w:type="dxa"/>
            <w:right w:w="10" w:type="dxa"/>
          </w:tblCellMar>
        </w:tblPrEx>
        <w:trPr>
          <w:trHeight w:hRule="exact" w:val="367"/>
          <w:jc w:val="center"/>
        </w:trPr>
        <w:tc>
          <w:tcPr>
            <w:tcW w:w="180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7"/>
                <w:szCs w:val="17"/>
              </w:rPr>
              <w:t>硫酸钠含量</w:t>
            </w:r>
            <w:r>
              <w:rPr>
                <w:color w:val="000000"/>
                <w:spacing w:val="0"/>
                <w:w w:val="100"/>
                <w:position w:val="0"/>
                <w:sz w:val="16"/>
                <w:szCs w:val="16"/>
                <w:lang w:val="en-US" w:eastAsia="en-US" w:bidi="en-US"/>
              </w:rPr>
              <w:t>Z(%)</w:t>
            </w:r>
          </w:p>
        </w:tc>
        <w:tc>
          <w:tcPr>
            <w:tcW w:w="18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ZW0.5</w:t>
            </w:r>
          </w:p>
        </w:tc>
        <w:tc>
          <w:tcPr>
            <w:tcW w:w="18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0.5&lt;ZW1.2</w:t>
            </w:r>
          </w:p>
        </w:tc>
        <w:tc>
          <w:tcPr>
            <w:tcW w:w="18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1.2&lt;ZW3</w:t>
            </w:r>
          </w:p>
        </w:tc>
        <w:tc>
          <w:tcPr>
            <w:tcW w:w="187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6"/>
                <w:szCs w:val="16"/>
              </w:rPr>
            </w:pPr>
            <w:r>
              <w:rPr>
                <w:color w:val="000000"/>
                <w:spacing w:val="0"/>
                <w:w w:val="100"/>
                <w:position w:val="0"/>
                <w:sz w:val="16"/>
                <w:szCs w:val="16"/>
                <w:lang w:val="en-US" w:eastAsia="en-US" w:bidi="en-US"/>
              </w:rPr>
              <w:t>Z&gt;3</w:t>
            </w:r>
          </w:p>
        </w:tc>
      </w:tr>
      <w:tr>
        <w:tblPrEx>
          <w:jc w:val="center"/>
          <w:tblLayout w:type="fixed"/>
          <w:tblCellMar>
            <w:top w:w="0" w:type="dxa"/>
            <w:left w:w="10" w:type="dxa"/>
            <w:bottom w:w="0" w:type="dxa"/>
            <w:right w:w="10" w:type="dxa"/>
          </w:tblCellMar>
        </w:tblPrEx>
        <w:trPr>
          <w:trHeight w:hRule="exact" w:val="734"/>
          <w:jc w:val="center"/>
        </w:trPr>
        <w:tc>
          <w:tcPr>
            <w:tcW w:w="919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60" w:line="240" w:lineRule="auto"/>
              <w:ind w:left="0" w:right="0" w:firstLine="260"/>
              <w:jc w:val="left"/>
            </w:pPr>
            <w:r>
              <w:rPr>
                <w:color w:val="000000"/>
                <w:spacing w:val="0"/>
                <w:w w:val="100"/>
                <w:position w:val="0"/>
              </w:rPr>
              <w:t>注</w:t>
            </w:r>
            <w:r>
              <w:rPr>
                <w:color w:val="000000"/>
                <w:spacing w:val="0"/>
                <w:w w:val="100"/>
                <w:position w:val="0"/>
                <w:sz w:val="16"/>
                <w:szCs w:val="16"/>
              </w:rPr>
              <w:t>1:</w:t>
            </w:r>
            <w:r>
              <w:rPr>
                <w:color w:val="000000"/>
                <w:spacing w:val="0"/>
                <w:w w:val="100"/>
                <w:position w:val="0"/>
              </w:rPr>
              <w:t>硫酸钠含量</w:t>
            </w:r>
            <w:r>
              <w:rPr>
                <w:color w:val="000000"/>
                <w:spacing w:val="0"/>
                <w:w w:val="100"/>
                <w:position w:val="0"/>
                <w:sz w:val="16"/>
                <w:szCs w:val="16"/>
                <w:lang w:val="en-US" w:eastAsia="en-US" w:bidi="en-US"/>
              </w:rPr>
              <w:t xml:space="preserve">Z( </w:t>
            </w:r>
            <w:r>
              <w:rPr>
                <w:color w:val="000000"/>
                <w:spacing w:val="0"/>
                <w:w w:val="100"/>
                <w:position w:val="0"/>
                <w:sz w:val="16"/>
                <w:szCs w:val="16"/>
              </w:rPr>
              <w:t>%)</w:t>
            </w:r>
            <w:r>
              <w:rPr>
                <w:color w:val="000000"/>
                <w:spacing w:val="0"/>
                <w:w w:val="100"/>
                <w:position w:val="0"/>
              </w:rPr>
              <w:t>由土基或地表</w:t>
            </w:r>
            <w:r>
              <w:rPr>
                <w:color w:val="000000"/>
                <w:spacing w:val="0"/>
                <w:w w:val="100"/>
                <w:position w:val="0"/>
                <w:sz w:val="16"/>
                <w:szCs w:val="16"/>
              </w:rPr>
              <w:t xml:space="preserve">0~ </w:t>
            </w:r>
            <w:r>
              <w:rPr>
                <w:color w:val="000000"/>
                <w:spacing w:val="0"/>
                <w:w w:val="100"/>
                <w:position w:val="0"/>
                <w:sz w:val="16"/>
                <w:szCs w:val="16"/>
                <w:lang w:val="en-US" w:eastAsia="en-US" w:bidi="en-US"/>
              </w:rPr>
              <w:t>l.m</w:t>
            </w:r>
            <w:r>
              <w:rPr>
                <w:color w:val="000000"/>
                <w:spacing w:val="0"/>
                <w:w w:val="100"/>
                <w:position w:val="0"/>
              </w:rPr>
              <w:t>深易溶盐分析计算而得。</w:t>
            </w:r>
          </w:p>
          <w:p>
            <w:pPr>
              <w:pStyle w:val="Other10"/>
              <w:keepNext w:val="0"/>
              <w:keepLines w:val="0"/>
              <w:widowControl w:val="0"/>
              <w:shd w:val="clear" w:color="auto" w:fill="auto"/>
              <w:bidi w:val="0"/>
              <w:spacing w:before="0" w:after="0" w:line="240" w:lineRule="auto"/>
              <w:ind w:left="0" w:right="0" w:firstLine="260"/>
              <w:jc w:val="left"/>
            </w:pPr>
            <w:r>
              <w:rPr>
                <w:color w:val="000000"/>
                <w:spacing w:val="0"/>
                <w:w w:val="100"/>
                <w:position w:val="0"/>
              </w:rPr>
              <w:t>注</w:t>
            </w:r>
            <w:r>
              <w:rPr>
                <w:color w:val="000000"/>
                <w:spacing w:val="0"/>
                <w:w w:val="100"/>
                <w:position w:val="0"/>
                <w:sz w:val="16"/>
                <w:szCs w:val="16"/>
              </w:rPr>
              <w:t xml:space="preserve">2 </w:t>
            </w:r>
            <w:r>
              <w:rPr>
                <w:color w:val="000000"/>
                <w:spacing w:val="0"/>
                <w:w w:val="100"/>
                <w:position w:val="0"/>
              </w:rPr>
              <w:t>：盐胀率受盐的种类、含盐量和土的特性影响而异,其指标值应通过实验室检测得出。</w:t>
            </w:r>
          </w:p>
        </w:tc>
      </w:tr>
    </w:tbl>
    <w:p>
      <w:pPr>
        <w:widowControl w:val="0"/>
        <w:spacing w:after="379" w:line="1" w:lineRule="exact"/>
      </w:pPr>
    </w:p>
    <w:p>
      <w:pPr>
        <w:pStyle w:val="Bodytext10"/>
        <w:keepNext w:val="0"/>
        <w:keepLines w:val="0"/>
        <w:widowControl w:val="0"/>
        <w:shd w:val="clear" w:color="auto" w:fill="auto"/>
        <w:bidi w:val="0"/>
        <w:spacing w:before="0" w:after="300" w:line="321" w:lineRule="exact"/>
        <w:ind w:left="0" w:right="0" w:firstLine="0"/>
        <w:jc w:val="left"/>
      </w:pPr>
      <w:r>
        <w:rPr>
          <w:color w:val="000000"/>
          <w:spacing w:val="0"/>
          <w:w w:val="100"/>
          <w:position w:val="0"/>
        </w:rPr>
        <w:t>5公路主要病害</w:t>
      </w:r>
    </w:p>
    <w:p>
      <w:pPr>
        <w:pStyle w:val="Bodytext10"/>
        <w:keepNext w:val="0"/>
        <w:keepLines w:val="0"/>
        <w:widowControl w:val="0"/>
        <w:shd w:val="clear" w:color="auto" w:fill="auto"/>
        <w:bidi w:val="0"/>
        <w:spacing w:before="0" w:after="300" w:line="321" w:lineRule="exact"/>
        <w:ind w:left="0" w:right="0" w:firstLine="420"/>
        <w:jc w:val="both"/>
      </w:pPr>
      <w:r>
        <w:rPr>
          <w:color w:val="000000"/>
          <w:spacing w:val="0"/>
          <w:w w:val="100"/>
          <w:position w:val="0"/>
        </w:rPr>
        <w:t>由于盐渍土含盐类興和含盐量的不同而造成的公路主要病害为:盐胀、翻浆、淋溶(溶蚀)、溶陷、盐蚀。</w:t>
      </w:r>
    </w:p>
    <w:p>
      <w:pPr>
        <w:pStyle w:val="Bodytext10"/>
        <w:keepNext w:val="0"/>
        <w:keepLines w:val="0"/>
        <w:widowControl w:val="0"/>
        <w:shd w:val="clear" w:color="auto" w:fill="auto"/>
        <w:bidi w:val="0"/>
        <w:spacing w:before="0" w:after="220" w:line="321" w:lineRule="exact"/>
        <w:ind w:left="0" w:right="0" w:firstLine="0"/>
        <w:jc w:val="left"/>
      </w:pPr>
      <w:r>
        <w:rPr>
          <w:color w:val="000000"/>
          <w:spacing w:val="0"/>
          <w:w w:val="100"/>
          <w:position w:val="0"/>
        </w:rPr>
        <w:t>6公路勘察</w:t>
      </w:r>
    </w:p>
    <w:p>
      <w:pPr>
        <w:pStyle w:val="Bodytext10"/>
        <w:keepNext w:val="0"/>
        <w:keepLines w:val="0"/>
        <w:widowControl w:val="0"/>
        <w:shd w:val="clear" w:color="auto" w:fill="auto"/>
        <w:bidi w:val="0"/>
        <w:spacing w:before="0" w:after="140" w:line="321" w:lineRule="exact"/>
        <w:ind w:left="0" w:right="0" w:firstLine="0"/>
        <w:jc w:val="left"/>
      </w:pPr>
      <w:r>
        <w:rPr>
          <w:color w:val="000000"/>
          <w:spacing w:val="0"/>
          <w:w w:val="100"/>
          <w:position w:val="0"/>
          <w:lang w:val="en-US" w:eastAsia="en-US" w:bidi="en-US"/>
        </w:rPr>
        <w:t>6.1</w:t>
      </w:r>
      <w:r>
        <w:rPr>
          <w:color w:val="000000"/>
          <w:spacing w:val="0"/>
          <w:w w:val="100"/>
          <w:position w:val="0"/>
        </w:rPr>
        <w:t>勘察的要求与内容</w:t>
      </w:r>
    </w:p>
    <w:p>
      <w:pPr>
        <w:pStyle w:val="Bodytext10"/>
        <w:keepNext w:val="0"/>
        <w:keepLines w:val="0"/>
        <w:widowControl w:val="0"/>
        <w:shd w:val="clear" w:color="auto" w:fill="auto"/>
        <w:bidi w:val="0"/>
        <w:spacing w:before="0" w:after="0" w:line="322" w:lineRule="exact"/>
        <w:ind w:left="0" w:right="0" w:firstLine="0"/>
        <w:jc w:val="both"/>
      </w:pPr>
      <w:r>
        <w:rPr>
          <w:color w:val="000000"/>
          <w:spacing w:val="0"/>
          <w:w w:val="100"/>
          <w:position w:val="0"/>
          <w:lang w:val="en-US" w:eastAsia="en-US" w:bidi="en-US"/>
        </w:rPr>
        <w:t>6.1.1</w:t>
      </w:r>
      <w:r>
        <w:rPr>
          <w:color w:val="000000"/>
          <w:spacing w:val="0"/>
          <w:w w:val="100"/>
          <w:position w:val="0"/>
        </w:rPr>
        <w:t>公路病害及环境破坏路段的资料收集。对已明显发生某种或某几种病害,或已发生环境破坏的 路段，和具有发生病害及环境破坏趋势的路段，应首先收集原路段设计前的勘测资料、设计资料以及路 段现状的勘测资料，收集的内容应符合</w:t>
      </w:r>
      <w:r>
        <w:rPr>
          <w:color w:val="000000"/>
          <w:spacing w:val="0"/>
          <w:w w:val="100"/>
          <w:position w:val="0"/>
          <w:lang w:val="en-US" w:eastAsia="en-US" w:bidi="en-US"/>
        </w:rPr>
        <w:t>JTG C20</w:t>
      </w:r>
      <w:r>
        <w:rPr>
          <w:color w:val="000000"/>
          <w:spacing w:val="0"/>
          <w:w w:val="100"/>
          <w:position w:val="0"/>
        </w:rPr>
        <w:t>及</w:t>
      </w:r>
      <w:r>
        <w:rPr>
          <w:color w:val="000000"/>
          <w:spacing w:val="0"/>
          <w:w w:val="100"/>
          <w:position w:val="0"/>
          <w:lang w:val="en-US" w:eastAsia="en-US" w:bidi="en-US"/>
        </w:rPr>
        <w:t xml:space="preserve">TB </w:t>
      </w:r>
      <w:r>
        <w:rPr>
          <w:color w:val="000000"/>
          <w:spacing w:val="0"/>
          <w:w w:val="100"/>
          <w:position w:val="0"/>
        </w:rPr>
        <w:t>10017,具体包括各类型盐渍土的分布范商、含盐 特征、地下水、地面水及公路破坏状况、植物生长情况等。当收集的资料不能完整地反映公路病害及环 境破坏路段的工程地质时，应根据规范补充勘察。</w:t>
      </w:r>
    </w:p>
    <w:p>
      <w:pPr>
        <w:pStyle w:val="Bodytext10"/>
        <w:keepNext w:val="0"/>
        <w:keepLines w:val="0"/>
        <w:widowControl w:val="0"/>
        <w:shd w:val="clear" w:color="auto" w:fill="auto"/>
        <w:bidi w:val="0"/>
        <w:spacing w:before="0" w:after="0" w:line="324" w:lineRule="exact"/>
        <w:ind w:left="0" w:right="0" w:firstLine="0"/>
        <w:jc w:val="both"/>
      </w:pPr>
      <w:r>
        <w:rPr>
          <w:color w:val="000000"/>
          <w:spacing w:val="0"/>
          <w:w w:val="100"/>
          <w:position w:val="0"/>
          <w:lang w:val="en-US" w:eastAsia="en-US" w:bidi="en-US"/>
        </w:rPr>
        <w:t>6.1.2</w:t>
      </w:r>
      <w:r>
        <w:rPr>
          <w:color w:val="000000"/>
          <w:spacing w:val="0"/>
          <w:w w:val="100"/>
          <w:position w:val="0"/>
        </w:rPr>
        <w:t>取公路两侧的原状土样或水样;每份土样不少于</w:t>
      </w:r>
      <w:r>
        <w:rPr>
          <w:color w:val="000000"/>
          <w:spacing w:val="0"/>
          <w:w w:val="100"/>
          <w:position w:val="0"/>
          <w:lang w:val="en-US" w:eastAsia="en-US" w:bidi="en-US"/>
        </w:rPr>
        <w:t>100g,</w:t>
      </w:r>
      <w:r>
        <w:rPr>
          <w:color w:val="000000"/>
          <w:spacing w:val="0"/>
          <w:w w:val="100"/>
          <w:position w:val="0"/>
        </w:rPr>
        <w:t>水样不少于</w:t>
      </w:r>
      <w:r>
        <w:rPr>
          <w:color w:val="000000"/>
          <w:spacing w:val="0"/>
          <w:w w:val="100"/>
          <w:position w:val="0"/>
          <w:lang w:val="en-US" w:eastAsia="en-US" w:bidi="en-US"/>
        </w:rPr>
        <w:t>100mL</w:t>
      </w:r>
      <w:r>
        <w:rPr>
          <w:color w:val="000000"/>
          <w:spacing w:val="0"/>
          <w:w w:val="100"/>
          <w:position w:val="0"/>
          <w:vertAlign w:val="subscript"/>
          <w:lang w:val="en-US" w:eastAsia="en-US" w:bidi="en-US"/>
        </w:rPr>
        <w:t>o</w:t>
      </w:r>
    </w:p>
    <w:p>
      <w:pPr>
        <w:pStyle w:val="Bodytext10"/>
        <w:keepNext w:val="0"/>
        <w:keepLines w:val="0"/>
        <w:widowControl w:val="0"/>
        <w:shd w:val="clear" w:color="auto" w:fill="auto"/>
        <w:bidi w:val="0"/>
        <w:spacing w:before="0" w:after="0" w:line="324" w:lineRule="exact"/>
        <w:ind w:left="0" w:right="0" w:firstLine="0"/>
        <w:jc w:val="both"/>
      </w:pPr>
      <w:r>
        <w:rPr>
          <w:color w:val="000000"/>
          <w:spacing w:val="0"/>
          <w:w w:val="100"/>
          <w:position w:val="0"/>
          <w:lang w:val="en-US" w:eastAsia="en-US" w:bidi="en-US"/>
        </w:rPr>
        <w:t>6.1.3</w:t>
      </w:r>
      <w:r>
        <w:rPr>
          <w:color w:val="000000"/>
          <w:spacing w:val="0"/>
          <w:w w:val="100"/>
          <w:position w:val="0"/>
        </w:rPr>
        <w:t>取样试验检测的内容为:含盐量、含盐种类和密度。试验确定土样为细粒土构造，还应检测毛细 水上升高度和速度。样品的保存及测试要根据现行有关规范规程的要求进行，样品记录表见附录</w:t>
      </w:r>
      <w:r>
        <w:rPr>
          <w:color w:val="000000"/>
          <w:spacing w:val="0"/>
          <w:w w:val="100"/>
          <w:position w:val="0"/>
          <w:lang w:val="en-US" w:eastAsia="en-US" w:bidi="en-US"/>
        </w:rPr>
        <w:t>A</w:t>
      </w:r>
      <w:r>
        <w:rPr>
          <w:color w:val="000000"/>
          <w:spacing w:val="0"/>
          <w:w w:val="100"/>
          <w:position w:val="0"/>
          <w:vertAlign w:val="subscript"/>
          <w:lang w:val="en-US" w:eastAsia="en-US" w:bidi="en-US"/>
        </w:rPr>
        <w:t>o</w:t>
      </w:r>
    </w:p>
    <w:p>
      <w:pPr>
        <w:pStyle w:val="Bodytext10"/>
        <w:keepNext w:val="0"/>
        <w:keepLines w:val="0"/>
        <w:widowControl w:val="0"/>
        <w:shd w:val="clear" w:color="auto" w:fill="auto"/>
        <w:bidi w:val="0"/>
        <w:spacing w:before="0" w:after="140" w:line="324" w:lineRule="exact"/>
        <w:ind w:left="0" w:right="0" w:firstLine="0"/>
        <w:jc w:val="both"/>
      </w:pPr>
      <w:r>
        <w:rPr>
          <w:color w:val="000000"/>
          <w:spacing w:val="0"/>
          <w:w w:val="100"/>
          <w:position w:val="0"/>
          <w:lang w:val="en-US" w:eastAsia="en-US" w:bidi="en-US"/>
        </w:rPr>
        <w:t>6.1.4</w:t>
      </w:r>
      <w:r>
        <w:rPr>
          <w:color w:val="000000"/>
          <w:spacing w:val="0"/>
          <w:w w:val="100"/>
          <w:position w:val="0"/>
        </w:rPr>
        <w:t>勘测时用简洁精练的语言详细记录特殊病害路段路面状况.、排水情况及周边环境状态,据此分 析病害形成原因，并形成分析报告。调查记录表见附录</w:t>
      </w:r>
      <w:r>
        <w:rPr>
          <w:color w:val="000000"/>
          <w:spacing w:val="0"/>
          <w:w w:val="100"/>
          <w:position w:val="0"/>
          <w:lang w:val="en-US" w:eastAsia="en-US" w:bidi="en-US"/>
        </w:rPr>
        <w:t>B。</w:t>
      </w:r>
    </w:p>
    <w:p>
      <w:pPr>
        <w:pStyle w:val="Bodytext10"/>
        <w:keepNext w:val="0"/>
        <w:keepLines w:val="0"/>
        <w:widowControl w:val="0"/>
        <w:shd w:val="clear" w:color="auto" w:fill="auto"/>
        <w:bidi w:val="0"/>
        <w:spacing w:before="0" w:after="140" w:line="321" w:lineRule="exact"/>
        <w:ind w:left="0" w:right="0" w:firstLine="0"/>
        <w:jc w:val="left"/>
      </w:pPr>
      <w:r>
        <w:rPr>
          <w:color w:val="000000"/>
          <w:spacing w:val="0"/>
          <w:w w:val="100"/>
          <w:position w:val="0"/>
          <w:lang w:val="en-US" w:eastAsia="en-US" w:bidi="en-US"/>
        </w:rPr>
        <w:t>6.2</w:t>
      </w:r>
      <w:r>
        <w:rPr>
          <w:color w:val="000000"/>
          <w:spacing w:val="0"/>
          <w:w w:val="100"/>
          <w:position w:val="0"/>
        </w:rPr>
        <w:t>勘察的方式</w:t>
      </w:r>
    </w:p>
    <w:p>
      <w:pPr>
        <w:pStyle w:val="Bodytext10"/>
        <w:keepNext w:val="0"/>
        <w:keepLines w:val="0"/>
        <w:widowControl w:val="0"/>
        <w:shd w:val="clear" w:color="auto" w:fill="auto"/>
        <w:bidi w:val="0"/>
        <w:spacing w:before="0" w:after="140" w:line="321" w:lineRule="exact"/>
        <w:ind w:left="0" w:right="0" w:firstLine="420"/>
        <w:jc w:val="both"/>
      </w:pPr>
      <w:r>
        <w:rPr>
          <w:color w:val="000000"/>
          <w:spacing w:val="0"/>
          <w:w w:val="100"/>
          <w:position w:val="0"/>
        </w:rPr>
        <w:t>勘察可采用开挖探坑、取土样或水样检测以及路段路用性能、排水状况、环境情况调査的方式进行。</w:t>
      </w:r>
    </w:p>
    <w:p>
      <w:pPr>
        <w:pStyle w:val="Bodytext10"/>
        <w:keepNext w:val="0"/>
        <w:keepLines w:val="0"/>
        <w:widowControl w:val="0"/>
        <w:shd w:val="clear" w:color="auto" w:fill="auto"/>
        <w:bidi w:val="0"/>
        <w:spacing w:before="0" w:after="140" w:line="321" w:lineRule="exact"/>
        <w:ind w:left="0" w:right="0" w:firstLine="0"/>
        <w:jc w:val="left"/>
      </w:pPr>
      <w:r>
        <w:rPr>
          <w:color w:val="000000"/>
          <w:spacing w:val="0"/>
          <w:w w:val="100"/>
          <w:position w:val="0"/>
          <w:lang w:val="en-US" w:eastAsia="en-US" w:bidi="en-US"/>
        </w:rPr>
        <w:t>6.3</w:t>
      </w:r>
      <w:r>
        <w:rPr>
          <w:color w:val="000000"/>
          <w:spacing w:val="0"/>
          <w:w w:val="100"/>
          <w:position w:val="0"/>
        </w:rPr>
        <w:t>取样频率</w:t>
      </w:r>
    </w:p>
    <w:p>
      <w:pPr>
        <w:pStyle w:val="Bodytext10"/>
        <w:keepNext w:val="0"/>
        <w:keepLines w:val="0"/>
        <w:widowControl w:val="0"/>
        <w:shd w:val="clear" w:color="auto" w:fill="auto"/>
        <w:bidi w:val="0"/>
        <w:spacing w:before="0" w:after="0" w:line="320" w:lineRule="exact"/>
        <w:ind w:left="0" w:right="0" w:firstLine="420"/>
        <w:jc w:val="left"/>
      </w:pPr>
      <w:r>
        <w:rPr>
          <w:color w:val="000000"/>
          <w:spacing w:val="0"/>
          <w:w w:val="100"/>
          <w:position w:val="0"/>
        </w:rPr>
        <w:t>取样时一般应符合相关规范要求，需要时视实际情况加密。同时满足下列要求。</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6.3.1</w:t>
      </w:r>
      <w:r>
        <w:rPr>
          <w:color w:val="000000"/>
          <w:spacing w:val="0"/>
          <w:w w:val="100"/>
          <w:position w:val="0"/>
        </w:rPr>
        <w:t>对路面发生明显病害的路段，挖除破坏处面层及垫层后，自路基顶部往下</w:t>
      </w:r>
      <w:r>
        <w:rPr>
          <w:color w:val="000000"/>
          <w:spacing w:val="0"/>
          <w:w w:val="100"/>
          <w:position w:val="0"/>
          <w:lang w:val="en-US" w:eastAsia="en-US" w:bidi="en-US"/>
        </w:rPr>
        <w:t>0cm、20cm、40cm、 80cm</w:t>
      </w:r>
      <w:r>
        <w:rPr>
          <w:color w:val="000000"/>
          <w:spacing w:val="0"/>
          <w:w w:val="100"/>
          <w:position w:val="0"/>
        </w:rPr>
        <w:t>处取土样各3份，同一水平面的土样间隔不小于</w:t>
      </w:r>
      <w:r>
        <w:rPr>
          <w:color w:val="000000"/>
          <w:spacing w:val="0"/>
          <w:w w:val="100"/>
          <w:position w:val="0"/>
          <w:lang w:val="en-US" w:eastAsia="en-US" w:bidi="en-US"/>
        </w:rPr>
        <w:t>20m</w:t>
      </w:r>
      <w:r>
        <w:rPr>
          <w:color w:val="000000"/>
          <w:spacing w:val="0"/>
          <w:w w:val="100"/>
          <w:position w:val="0"/>
          <w:vertAlign w:val="subscript"/>
          <w:lang w:val="en-US" w:eastAsia="en-US" w:bidi="en-US"/>
        </w:rPr>
        <w:t>o</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6.3.2</w:t>
      </w:r>
      <w:r>
        <w:rPr>
          <w:color w:val="000000"/>
          <w:spacing w:val="0"/>
          <w:w w:val="100"/>
          <w:position w:val="0"/>
        </w:rPr>
        <w:t>对公路构造物明显发生盐蚀的路段，自构造物旁地表往下</w:t>
      </w:r>
      <w:r>
        <w:rPr>
          <w:color w:val="000000"/>
          <w:spacing w:val="0"/>
          <w:w w:val="100"/>
          <w:position w:val="0"/>
          <w:lang w:val="en-US" w:eastAsia="en-US" w:bidi="en-US"/>
        </w:rPr>
        <w:t>0cm,20cm.50cm</w:t>
      </w:r>
      <w:r>
        <w:rPr>
          <w:color w:val="000000"/>
          <w:spacing w:val="0"/>
          <w:w w:val="100"/>
          <w:position w:val="0"/>
        </w:rPr>
        <w:t>处取土样各3份，同 一水平面的土样间隔不小于</w:t>
      </w:r>
      <w:r>
        <w:rPr>
          <w:color w:val="000000"/>
          <w:spacing w:val="0"/>
          <w:w w:val="100"/>
          <w:position w:val="0"/>
          <w:lang w:val="en-US" w:eastAsia="en-US" w:bidi="en-US"/>
        </w:rPr>
        <w:t>10m。</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6.3.3</w:t>
      </w:r>
      <w:r>
        <w:rPr>
          <w:color w:val="000000"/>
          <w:spacing w:val="0"/>
          <w:w w:val="100"/>
          <w:position w:val="0"/>
        </w:rPr>
        <w:t>对边坡明显发生病害的路段，在典型边坡病害发生处地表往下</w:t>
      </w:r>
      <w:r>
        <w:rPr>
          <w:color w:val="000000"/>
          <w:spacing w:val="0"/>
          <w:w w:val="100"/>
          <w:position w:val="0"/>
          <w:lang w:val="en-US" w:eastAsia="en-US" w:bidi="en-US"/>
        </w:rPr>
        <w:t>0cm、10cm、40cm</w:t>
      </w:r>
      <w:r>
        <w:rPr>
          <w:color w:val="000000"/>
          <w:spacing w:val="0"/>
          <w:w w:val="100"/>
          <w:position w:val="0"/>
        </w:rPr>
        <w:t>处取土样各3 份，同一水平面的土样间隔不小于</w:t>
      </w:r>
      <w:r>
        <w:rPr>
          <w:color w:val="000000"/>
          <w:spacing w:val="0"/>
          <w:w w:val="100"/>
          <w:position w:val="0"/>
          <w:lang w:val="en-US" w:eastAsia="en-US" w:bidi="en-US"/>
        </w:rPr>
        <w:t>50m</w:t>
      </w:r>
      <w:r>
        <w:rPr>
          <w:color w:val="000000"/>
          <w:spacing w:val="0"/>
          <w:w w:val="100"/>
          <w:position w:val="0"/>
          <w:vertAlign w:val="subscript"/>
          <w:lang w:val="en-US" w:eastAsia="en-US" w:bidi="en-US"/>
        </w:rPr>
        <w:t>o</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6.3.4</w:t>
      </w:r>
      <w:r>
        <w:rPr>
          <w:color w:val="000000"/>
          <w:spacing w:val="0"/>
          <w:w w:val="100"/>
          <w:position w:val="0"/>
        </w:rPr>
        <w:t>对路侧明显发生环境破坏的路段,在公路两侧地表往下</w:t>
      </w:r>
      <w:r>
        <w:rPr>
          <w:color w:val="000000"/>
          <w:spacing w:val="0"/>
          <w:w w:val="100"/>
          <w:position w:val="0"/>
          <w:lang w:val="en-US" w:eastAsia="en-US" w:bidi="en-US"/>
        </w:rPr>
        <w:t>0cm.20cm.40cm.80cm</w:t>
      </w:r>
      <w:r>
        <w:rPr>
          <w:color w:val="000000"/>
          <w:spacing w:val="0"/>
          <w:w w:val="100"/>
          <w:position w:val="0"/>
        </w:rPr>
        <w:t>处取土样各3 份,位于公路同侧的同水平面土样间隔不小于</w:t>
      </w:r>
      <w:r>
        <w:rPr>
          <w:color w:val="000000"/>
          <w:spacing w:val="0"/>
          <w:w w:val="100"/>
          <w:position w:val="0"/>
          <w:lang w:val="en-US" w:eastAsia="en-US" w:bidi="en-US"/>
        </w:rPr>
        <w:t>100m</w:t>
      </w:r>
      <w:r>
        <w:rPr>
          <w:color w:val="000000"/>
          <w:spacing w:val="0"/>
          <w:w w:val="100"/>
          <w:position w:val="0"/>
          <w:vertAlign w:val="subscript"/>
          <w:lang w:val="en-US" w:eastAsia="en-US" w:bidi="en-US"/>
        </w:rPr>
        <w:t>o</w:t>
      </w:r>
    </w:p>
    <w:p>
      <w:pPr>
        <w:pStyle w:val="Bodytext10"/>
        <w:keepNext w:val="0"/>
        <w:keepLines w:val="0"/>
        <w:widowControl w:val="0"/>
        <w:shd w:val="clear" w:color="auto" w:fill="auto"/>
        <w:bidi w:val="0"/>
        <w:spacing w:before="0" w:after="220" w:line="320" w:lineRule="exact"/>
        <w:ind w:left="0" w:right="0" w:firstLine="0"/>
        <w:jc w:val="left"/>
        <w:sectPr>
          <w:headerReference w:type="even" r:id="rId22"/>
          <w:headerReference w:type="default" r:id="rId23"/>
          <w:footerReference w:type="even" r:id="rId24"/>
          <w:footerReference w:type="default" r:id="rId25"/>
          <w:headerReference w:type="first" r:id="rId26"/>
          <w:footerReference w:type="first" r:id="rId27"/>
          <w:pgSz w:w="11900" w:h="16840"/>
          <w:pgMar w:top="1555" w:right="1135" w:bottom="1678" w:left="1017" w:header="0" w:footer="3" w:gutter="0"/>
          <w:pgNumType w:start="3"/>
          <w:cols w:space="720"/>
          <w:noEndnote/>
          <w:titlePg/>
          <w:rtlGutter w:val="0"/>
          <w:docGrid w:linePitch="360"/>
        </w:sectPr>
      </w:pPr>
      <w:r>
        <w:rPr>
          <w:color w:val="000000"/>
          <w:spacing w:val="0"/>
          <w:w w:val="100"/>
          <w:position w:val="0"/>
          <w:lang w:val="en-US" w:eastAsia="en-US" w:bidi="en-US"/>
        </w:rPr>
        <w:t>6.3.5</w:t>
      </w:r>
      <w:r>
        <w:rPr>
          <w:color w:val="000000"/>
          <w:spacing w:val="0"/>
          <w:w w:val="100"/>
          <w:position w:val="0"/>
        </w:rPr>
        <w:t>当路表、路侧、构造物旁或开挖后，有水浸泡时，取该处水样1份。</w:t>
      </w:r>
    </w:p>
    <w:p>
      <w:pPr>
        <w:pStyle w:val="Bodytext10"/>
        <w:keepNext w:val="0"/>
        <w:keepLines w:val="0"/>
        <w:widowControl w:val="0"/>
        <w:shd w:val="clear" w:color="auto" w:fill="auto"/>
        <w:bidi w:val="0"/>
        <w:spacing w:before="0" w:after="140" w:line="320" w:lineRule="exact"/>
        <w:ind w:left="0" w:right="0" w:firstLine="0"/>
        <w:jc w:val="both"/>
      </w:pPr>
      <w:r>
        <w:rPr>
          <w:color w:val="000000"/>
          <w:spacing w:val="0"/>
          <w:w w:val="100"/>
          <w:position w:val="0"/>
          <w:lang w:val="en-US" w:eastAsia="en-US" w:bidi="en-US"/>
        </w:rPr>
        <w:t>6.4</w:t>
      </w:r>
      <w:r>
        <w:rPr>
          <w:color w:val="000000"/>
          <w:spacing w:val="0"/>
          <w:w w:val="100"/>
          <w:position w:val="0"/>
        </w:rPr>
        <w:t>盐渍土地区公路路基、路面病害判定方法</w:t>
      </w:r>
    </w:p>
    <w:p>
      <w:pPr>
        <w:pStyle w:val="Bodytext10"/>
        <w:keepNext w:val="0"/>
        <w:keepLines w:val="0"/>
        <w:widowControl w:val="0"/>
        <w:shd w:val="clear" w:color="auto" w:fill="auto"/>
        <w:bidi w:val="0"/>
        <w:spacing w:before="0" w:after="0" w:line="324" w:lineRule="exact"/>
        <w:ind w:left="0" w:right="0" w:firstLine="0"/>
        <w:jc w:val="both"/>
      </w:pPr>
      <w:r>
        <w:rPr>
          <w:color w:val="000000"/>
          <w:spacing w:val="0"/>
          <w:w w:val="100"/>
          <w:position w:val="0"/>
          <w:lang w:val="en-US" w:eastAsia="en-US" w:bidi="en-US"/>
        </w:rPr>
        <w:t>6.4.1</w:t>
      </w:r>
      <w:r>
        <w:rPr>
          <w:color w:val="000000"/>
          <w:spacing w:val="0"/>
          <w:w w:val="100"/>
          <w:position w:val="0"/>
        </w:rPr>
        <w:t>判定盐渍土地区公路发生特殊病害或环境破坏可采用实地观察和检测并用的方式，常规的方式 有公路各层界面盐碱晶体的观测、土壤含盐量测定、公路弯沉检测等。</w:t>
      </w:r>
    </w:p>
    <w:p>
      <w:pPr>
        <w:pStyle w:val="Bodytext10"/>
        <w:keepNext w:val="0"/>
        <w:keepLines w:val="0"/>
        <w:widowControl w:val="0"/>
        <w:shd w:val="clear" w:color="auto" w:fill="auto"/>
        <w:bidi w:val="0"/>
        <w:spacing w:before="0" w:after="0" w:line="319" w:lineRule="exact"/>
        <w:ind w:left="0" w:right="0" w:firstLine="0"/>
        <w:jc w:val="both"/>
      </w:pPr>
      <w:r>
        <w:rPr>
          <w:color w:val="000000"/>
          <w:spacing w:val="0"/>
          <w:w w:val="100"/>
          <w:position w:val="0"/>
          <w:lang w:val="en-US" w:eastAsia="en-US" w:bidi="en-US"/>
        </w:rPr>
        <w:t>6.4.2</w:t>
      </w:r>
      <w:r>
        <w:rPr>
          <w:color w:val="000000"/>
          <w:spacing w:val="0"/>
          <w:w w:val="100"/>
          <w:position w:val="0"/>
        </w:rPr>
        <w:t>盐渍土地区公路可根据发生特殊病害的表现形式来判定，方法如下：</w:t>
      </w:r>
    </w:p>
    <w:p>
      <w:pPr>
        <w:pStyle w:val="Bodytext10"/>
        <w:keepNext w:val="0"/>
        <w:keepLines w:val="0"/>
        <w:widowControl w:val="0"/>
        <w:shd w:val="clear" w:color="auto" w:fill="auto"/>
        <w:bidi w:val="0"/>
        <w:spacing w:before="0" w:after="0" w:line="319" w:lineRule="exact"/>
        <w:ind w:left="0" w:right="0" w:firstLine="0"/>
        <w:jc w:val="both"/>
      </w:pPr>
      <w:r>
        <w:rPr>
          <w:color w:val="000000"/>
          <w:spacing w:val="0"/>
          <w:w w:val="100"/>
          <w:position w:val="0"/>
        </w:rPr>
        <w:t>6.4.2.1当沥青混凝土路面发生严重网裂，有盐碱晶体积聚现象或测定裂缝处土样含盐量大于0.3% 时,判定为盐渍化的特殊病害。</w:t>
      </w:r>
    </w:p>
    <w:p>
      <w:pPr>
        <w:pStyle w:val="Bodytext10"/>
        <w:keepNext w:val="0"/>
        <w:keepLines w:val="0"/>
        <w:widowControl w:val="0"/>
        <w:shd w:val="clear" w:color="auto" w:fill="auto"/>
        <w:bidi w:val="0"/>
        <w:spacing w:before="0" w:after="0" w:line="319" w:lineRule="exact"/>
        <w:ind w:left="0" w:right="0" w:firstLine="0"/>
        <w:jc w:val="both"/>
      </w:pPr>
      <w:r>
        <w:rPr>
          <w:color w:val="000000"/>
          <w:spacing w:val="0"/>
          <w:w w:val="100"/>
          <w:position w:val="0"/>
          <w:lang w:val="en-US" w:eastAsia="en-US" w:bidi="en-US"/>
        </w:rPr>
        <w:t>6.422</w:t>
      </w:r>
      <w:r>
        <w:rPr>
          <w:color w:val="000000"/>
          <w:spacing w:val="0"/>
          <w:w w:val="100"/>
          <w:position w:val="0"/>
        </w:rPr>
        <w:t>当沥青混凝土路面平整度较差、严重变形,有翻浆、拥包、裂缝、波浪、车辙、坑槽、松散、沉陷等 路面病害,土样测定含盐量大于0.3%时，判定该路段病害为盐渍土导致的特殊病害。</w:t>
      </w:r>
    </w:p>
    <w:p>
      <w:pPr>
        <w:pStyle w:val="Bodytext10"/>
        <w:keepNext w:val="0"/>
        <w:keepLines w:val="0"/>
        <w:widowControl w:val="0"/>
        <w:shd w:val="clear" w:color="auto" w:fill="auto"/>
        <w:bidi w:val="0"/>
        <w:spacing w:before="0" w:after="0" w:line="319" w:lineRule="exact"/>
        <w:ind w:left="0" w:right="0" w:firstLine="0"/>
        <w:jc w:val="both"/>
      </w:pPr>
      <w:r>
        <w:rPr>
          <w:color w:val="000000"/>
          <w:spacing w:val="0"/>
          <w:w w:val="100"/>
          <w:position w:val="0"/>
        </w:rPr>
        <w:t>6.4.2.3当水泥混凝土路面有拱起、破碎板、裂缝、板角断裂、错台、唧泥、边角剥落、坑洞、接缝料损坏、 露骨等路面病害出现，土样测定含盐量大于0.3%时，判定该路段病害为盐渍土导致的特殊病害。</w:t>
      </w:r>
    </w:p>
    <w:p>
      <w:pPr>
        <w:pStyle w:val="Bodytext10"/>
        <w:keepNext w:val="0"/>
        <w:keepLines w:val="0"/>
        <w:widowControl w:val="0"/>
        <w:shd w:val="clear" w:color="auto" w:fill="auto"/>
        <w:bidi w:val="0"/>
        <w:spacing w:before="0" w:after="300" w:line="319" w:lineRule="exact"/>
        <w:ind w:left="0" w:right="0" w:firstLine="0"/>
        <w:jc w:val="both"/>
      </w:pPr>
      <w:r>
        <w:rPr>
          <w:color w:val="000000"/>
          <w:spacing w:val="0"/>
          <w:w w:val="100"/>
          <w:position w:val="0"/>
          <w:lang w:val="en-US" w:eastAsia="en-US" w:bidi="en-US"/>
        </w:rPr>
        <w:t>6.4.3</w:t>
      </w:r>
      <w:r>
        <w:rPr>
          <w:color w:val="000000"/>
          <w:spacing w:val="0"/>
          <w:w w:val="100"/>
          <w:position w:val="0"/>
        </w:rPr>
        <w:t>纯盐道路路面排水不畅，出现坑槽、车辙、沉陷、溶洞等严重病害时,判定为盐渍化的特殊病害。</w:t>
      </w:r>
    </w:p>
    <w:p>
      <w:pPr>
        <w:pStyle w:val="Bodytext10"/>
        <w:keepNext w:val="0"/>
        <w:keepLines w:val="0"/>
        <w:widowControl w:val="0"/>
        <w:shd w:val="clear" w:color="auto" w:fill="auto"/>
        <w:bidi w:val="0"/>
        <w:spacing w:before="0" w:after="300" w:line="320" w:lineRule="exact"/>
        <w:ind w:left="0" w:right="0" w:firstLine="0"/>
        <w:jc w:val="both"/>
      </w:pPr>
      <w:r>
        <w:rPr>
          <w:color w:val="000000"/>
          <w:spacing w:val="0"/>
          <w:w w:val="100"/>
          <w:position w:val="0"/>
        </w:rPr>
        <w:t>7公路路基养护维修</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8" w:lineRule="exact"/>
        <w:ind w:left="0" w:right="0" w:firstLine="0"/>
        <w:jc w:val="both"/>
      </w:pPr>
      <w:r>
        <w:rPr>
          <w:color w:val="000000"/>
          <w:spacing w:val="0"/>
          <w:w w:val="100"/>
          <w:position w:val="0"/>
          <w:lang w:val="en-US" w:eastAsia="en-US" w:bidi="en-US"/>
        </w:rPr>
        <w:t>7.1</w:t>
      </w:r>
      <w:r>
        <w:rPr>
          <w:color w:val="000000"/>
          <w:spacing w:val="0"/>
          <w:w w:val="100"/>
          <w:position w:val="0"/>
        </w:rPr>
        <w:t>换土法。用于路基受盐渍化严重破坏，且盐渍土层较薄的局部路段。在公路大修时将盐渍土层铲 除，在做好防止回填土次生盐渍化的隔盐措施后,换填合格的筑路材料，铲除深度由试验确定。若盐渍 土层或次生盐渍土层过厚,铲除部分土料后设置封闭隔水层，隔水层深度宜在路床顶面以下</w:t>
      </w:r>
      <w:r>
        <w:rPr>
          <w:color w:val="000000"/>
          <w:spacing w:val="0"/>
          <w:w w:val="100"/>
          <w:position w:val="0"/>
          <w:lang w:val="en-US" w:eastAsia="en-US" w:bidi="en-US"/>
        </w:rPr>
        <w:t>80cm</w:t>
      </w:r>
      <w:r>
        <w:rPr>
          <w:color w:val="000000"/>
          <w:spacing w:val="0"/>
          <w:w w:val="100"/>
          <w:position w:val="0"/>
        </w:rPr>
        <w:t>处， 隔水层材料可釆用</w:t>
      </w:r>
      <w:r>
        <w:rPr>
          <w:color w:val="000000"/>
          <w:spacing w:val="0"/>
          <w:w w:val="100"/>
          <w:position w:val="0"/>
          <w:lang w:val="en-US" w:eastAsia="en-US" w:bidi="en-US"/>
        </w:rPr>
        <w:t>3cm</w:t>
      </w:r>
      <w:r>
        <w:rPr>
          <w:color w:val="000000"/>
          <w:spacing w:val="0"/>
          <w:w w:val="100"/>
          <w:position w:val="0"/>
        </w:rPr>
        <w:t>厚沥青砂胶或高压聚乙烯防渗膜、防水土工布、涂膜编织袋等。施工应符合</w:t>
      </w:r>
      <w:r>
        <w:rPr>
          <w:color w:val="000000"/>
          <w:spacing w:val="0"/>
          <w:w w:val="100"/>
          <w:position w:val="0"/>
          <w:lang w:val="en-US" w:eastAsia="en-US" w:bidi="en-US"/>
        </w:rPr>
        <w:t>JTG F10</w:t>
      </w:r>
      <w:r>
        <w:rPr>
          <w:color w:val="000000"/>
          <w:spacing w:val="0"/>
          <w:w w:val="100"/>
          <w:position w:val="0"/>
        </w:rPr>
        <w:t>的有关规定。</w:t>
      </w:r>
    </w:p>
    <w:p>
      <w:pPr>
        <w:pStyle w:val="Bodytext10"/>
        <w:keepNext w:val="0"/>
        <w:keepLines w:val="0"/>
        <w:widowControl w:val="0"/>
        <w:shd w:val="clear" w:color="auto" w:fill="auto"/>
        <w:bidi w:val="0"/>
        <w:spacing w:before="0" w:after="0" w:line="318" w:lineRule="exact"/>
        <w:ind w:left="0" w:right="0" w:firstLine="0"/>
        <w:jc w:val="both"/>
      </w:pPr>
      <w:r>
        <w:rPr>
          <w:color w:val="000000"/>
          <w:spacing w:val="0"/>
          <w:w w:val="100"/>
          <w:position w:val="0"/>
          <w:lang w:val="en-US" w:eastAsia="en-US" w:bidi="en-US"/>
        </w:rPr>
        <w:t>7.2</w:t>
      </w:r>
      <w:r>
        <w:rPr>
          <w:color w:val="000000"/>
          <w:spacing w:val="0"/>
          <w:w w:val="100"/>
          <w:position w:val="0"/>
        </w:rPr>
        <w:t>化学处治法。对盐渍土层较薄，且土层次生盐渍化程度较低的以硫酸盐为主的盐渍土路段，采用 氯化钙与易溶硫酸盐进行中和，清除易溶硫酸盐,治理路基盐胀病害。</w:t>
      </w:r>
    </w:p>
    <w:p>
      <w:pPr>
        <w:pStyle w:val="Bodytext10"/>
        <w:keepNext w:val="0"/>
        <w:keepLines w:val="0"/>
        <w:widowControl w:val="0"/>
        <w:shd w:val="clear" w:color="auto" w:fill="auto"/>
        <w:bidi w:val="0"/>
        <w:spacing w:before="0" w:after="0" w:line="324" w:lineRule="exact"/>
        <w:ind w:left="0" w:right="0" w:firstLine="0"/>
        <w:jc w:val="both"/>
      </w:pPr>
      <w:r>
        <w:rPr>
          <w:color w:val="000000"/>
          <w:spacing w:val="0"/>
          <w:w w:val="100"/>
          <w:position w:val="0"/>
          <w:lang w:val="en-US" w:eastAsia="en-US" w:bidi="en-US"/>
        </w:rPr>
        <w:t>7.3</w:t>
      </w:r>
      <w:r>
        <w:rPr>
          <w:color w:val="000000"/>
          <w:spacing w:val="0"/>
          <w:w w:val="100"/>
          <w:position w:val="0"/>
        </w:rPr>
        <w:t>盐化法。用于盐渍化程度较高的低等级公路，如纯盐道路、砂石或砂砾公路。将发生病害的路面 刨松，按路拱需求补入打碎的盐壳,压实后喷洒饱和盐水，形成具有一定厚度、渗透性小的饱和盐土层， 待水分挥发,将回填料固结后开放交通。</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7.4</w:t>
      </w:r>
      <w:r>
        <w:rPr>
          <w:color w:val="000000"/>
          <w:spacing w:val="0"/>
          <w:w w:val="100"/>
          <w:position w:val="0"/>
        </w:rPr>
        <w:t>路基结构加固法。对高等级路面公路的局部病害或大中修的路段,采用土工格栅、土工织物等土 工合成材料对路基进行加固。施工应符合</w:t>
      </w:r>
      <w:r>
        <w:rPr>
          <w:color w:val="000000"/>
          <w:spacing w:val="0"/>
          <w:w w:val="100"/>
          <w:position w:val="0"/>
          <w:lang w:val="en-US" w:eastAsia="en-US" w:bidi="en-US"/>
        </w:rPr>
        <w:t>JTG F10</w:t>
      </w:r>
      <w:r>
        <w:rPr>
          <w:color w:val="000000"/>
          <w:spacing w:val="0"/>
          <w:w w:val="100"/>
          <w:position w:val="0"/>
        </w:rPr>
        <w:t>的有关规定。</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7.5</w:t>
      </w:r>
      <w:r>
        <w:rPr>
          <w:color w:val="000000"/>
          <w:spacing w:val="0"/>
          <w:w w:val="100"/>
          <w:position w:val="0"/>
        </w:rPr>
        <w:t xml:space="preserve">缓冲层设置法。用于以硫酸盐为主的盐胀病害多发路段。在路面结构层或路床顶面下铺设一层 </w:t>
      </w:r>
      <w:r>
        <w:rPr>
          <w:color w:val="000000"/>
          <w:spacing w:val="0"/>
          <w:w w:val="100"/>
          <w:position w:val="0"/>
          <w:lang w:val="en-US" w:eastAsia="en-US" w:bidi="en-US"/>
        </w:rPr>
        <w:t>5cm</w:t>
      </w:r>
      <w:r>
        <w:rPr>
          <w:color w:val="000000"/>
          <w:spacing w:val="0"/>
          <w:w w:val="100"/>
          <w:position w:val="0"/>
        </w:rPr>
        <w:t xml:space="preserve">~ </w:t>
      </w:r>
      <w:r>
        <w:rPr>
          <w:color w:val="000000"/>
          <w:spacing w:val="0"/>
          <w:w w:val="100"/>
          <w:position w:val="0"/>
          <w:lang w:val="en-US" w:eastAsia="en-US" w:bidi="en-US"/>
        </w:rPr>
        <w:t>10cm</w:t>
      </w:r>
      <w:r>
        <w:rPr>
          <w:color w:val="000000"/>
          <w:spacing w:val="0"/>
          <w:w w:val="100"/>
          <w:position w:val="0"/>
        </w:rPr>
        <w:t>厚的卵石层。缓冲层的设计、施工应符合</w:t>
      </w:r>
      <w:r>
        <w:rPr>
          <w:color w:val="000000"/>
          <w:spacing w:val="0"/>
          <w:w w:val="100"/>
          <w:position w:val="0"/>
          <w:lang w:val="en-US" w:eastAsia="en-US" w:bidi="en-US"/>
        </w:rPr>
        <w:t>JTG D30</w:t>
      </w:r>
      <w:r>
        <w:rPr>
          <w:color w:val="000000"/>
          <w:spacing w:val="0"/>
          <w:w w:val="100"/>
          <w:position w:val="0"/>
        </w:rPr>
        <w:t>和</w:t>
      </w:r>
      <w:r>
        <w:rPr>
          <w:color w:val="000000"/>
          <w:spacing w:val="0"/>
          <w:w w:val="100"/>
          <w:position w:val="0"/>
          <w:lang w:val="en-US" w:eastAsia="en-US" w:bidi="en-US"/>
        </w:rPr>
        <w:t>JTG F10</w:t>
      </w:r>
      <w:r>
        <w:rPr>
          <w:color w:val="000000"/>
          <w:spacing w:val="0"/>
          <w:w w:val="100"/>
          <w:position w:val="0"/>
        </w:rPr>
        <w:t>的有关规定。</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7.6</w:t>
      </w:r>
      <w:r>
        <w:rPr>
          <w:color w:val="000000"/>
          <w:spacing w:val="0"/>
          <w:w w:val="100"/>
          <w:position w:val="0"/>
        </w:rPr>
        <w:t>水分隔断法。隔断地表和地下水分对路基、路面各结构层的侵入，避免次生盐渍化或盐分在路基、 路面结构层局部的结晶。</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7.6.1</w:t>
      </w:r>
      <w:r>
        <w:rPr>
          <w:color w:val="000000"/>
          <w:spacing w:val="0"/>
          <w:w w:val="100"/>
          <w:position w:val="0"/>
        </w:rPr>
        <w:t>公路进行大中修时,对原路排水不畅者要进行改善。根据路面类型和当地自然条件确定，路面 横坡度不应小于2%,路肩横坡度不应小于2.5%,边沟纵坡不应小于0.5%。</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7.6.2</w:t>
      </w:r>
      <w:r>
        <w:rPr>
          <w:color w:val="000000"/>
          <w:spacing w:val="0"/>
          <w:w w:val="100"/>
          <w:position w:val="0"/>
        </w:rPr>
        <w:t>对高等级路面，在面层整体或伸缩缝（水泥混凝土路面）、薄弱路段（局部软弱或地下水位较高等 路段）以下，可釆取灌缝、沥青或渣油处治类密封层、防水土工布封层、髙密实稳定土基层等下渗水的隔 断措施。沥青混凝土面层应采用密级配结构。</w:t>
      </w:r>
    </w:p>
    <w:p>
      <w:pPr>
        <w:pStyle w:val="Bodytext10"/>
        <w:keepNext w:val="0"/>
        <w:keepLines w:val="0"/>
        <w:widowControl w:val="0"/>
        <w:shd w:val="clear" w:color="auto" w:fill="auto"/>
        <w:bidi w:val="0"/>
        <w:spacing w:before="0" w:after="0" w:line="320" w:lineRule="exact"/>
        <w:ind w:left="0" w:right="0" w:firstLine="0"/>
        <w:jc w:val="both"/>
      </w:pPr>
      <w:r>
        <w:rPr>
          <w:color w:val="000000"/>
          <w:spacing w:val="0"/>
          <w:w w:val="100"/>
          <w:position w:val="0"/>
          <w:lang w:val="en-US" w:eastAsia="en-US" w:bidi="en-US"/>
        </w:rPr>
        <w:t>7.6.3</w:t>
      </w:r>
      <w:r>
        <w:rPr>
          <w:color w:val="000000"/>
          <w:spacing w:val="0"/>
          <w:w w:val="100"/>
          <w:position w:val="0"/>
        </w:rPr>
        <w:t>对低等级路面，如沥青表处或砂石路面，可釆取沥青或渣油处治类密封层、防水土工布封层、密 级配设置、高压实度及足够的横坡设置等隔断下渗水的措施。</w:t>
      </w:r>
    </w:p>
    <w:p>
      <w:pPr>
        <w:pStyle w:val="Bodytext10"/>
        <w:keepNext w:val="0"/>
        <w:keepLines w:val="0"/>
        <w:widowControl w:val="0"/>
        <w:shd w:val="clear" w:color="auto" w:fill="auto"/>
        <w:bidi w:val="0"/>
        <w:spacing w:before="0" w:after="0" w:line="338" w:lineRule="exact"/>
        <w:ind w:left="0" w:right="0" w:firstLine="0"/>
        <w:jc w:val="both"/>
      </w:pPr>
      <w:r>
        <w:rPr>
          <w:color w:val="000000"/>
          <w:spacing w:val="0"/>
          <w:w w:val="100"/>
          <w:position w:val="0"/>
          <w:lang w:val="en-US" w:eastAsia="en-US" w:bidi="en-US"/>
        </w:rPr>
        <w:t>7.6.4</w:t>
      </w:r>
      <w:r>
        <w:rPr>
          <w:color w:val="000000"/>
          <w:spacing w:val="0"/>
          <w:w w:val="100"/>
          <w:position w:val="0"/>
        </w:rPr>
        <w:t>路面与路肩之间铺设外倾的防水土工布;路肩设置2%外倾的横坡;当路肩填料为硫酸盐或亚硫 酸盐土时，路肩与边坡进行加固硬化处理。</w:t>
      </w:r>
    </w:p>
    <w:p>
      <w:pPr>
        <w:pStyle w:val="Bodytext10"/>
        <w:keepNext w:val="0"/>
        <w:keepLines w:val="0"/>
        <w:widowControl w:val="0"/>
        <w:shd w:val="clear" w:color="auto" w:fill="auto"/>
        <w:bidi w:val="0"/>
        <w:spacing w:before="0" w:after="0" w:line="324" w:lineRule="exact"/>
        <w:ind w:left="0" w:right="0" w:firstLine="0"/>
        <w:jc w:val="both"/>
      </w:pPr>
      <w:r>
        <w:rPr>
          <w:color w:val="000000"/>
          <w:spacing w:val="0"/>
          <w:w w:val="100"/>
          <w:position w:val="0"/>
          <w:lang w:val="en-US" w:eastAsia="en-US" w:bidi="en-US"/>
        </w:rPr>
        <w:t>7.7</w:t>
      </w:r>
      <w:r>
        <w:rPr>
          <w:color w:val="000000"/>
          <w:spacing w:val="0"/>
          <w:w w:val="100"/>
          <w:position w:val="0"/>
        </w:rPr>
        <w:t>对地下水位较高、土层次生盐渍化严重的盐渍土路段，可采取以下措施。</w:t>
      </w:r>
    </w:p>
    <w:p>
      <w:pPr>
        <w:pStyle w:val="Bodytext10"/>
        <w:keepNext w:val="0"/>
        <w:keepLines w:val="0"/>
        <w:widowControl w:val="0"/>
        <w:shd w:val="clear" w:color="auto" w:fill="auto"/>
        <w:bidi w:val="0"/>
        <w:spacing w:before="0" w:after="300" w:line="324" w:lineRule="exact"/>
        <w:ind w:left="0" w:right="0" w:firstLine="0"/>
        <w:jc w:val="both"/>
      </w:pPr>
      <w:r>
        <w:rPr>
          <w:color w:val="000000"/>
          <w:spacing w:val="0"/>
          <w:w w:val="100"/>
          <w:position w:val="0"/>
          <w:lang w:val="en-US" w:eastAsia="en-US" w:bidi="en-US"/>
        </w:rPr>
        <w:t>7.7.1</w:t>
      </w:r>
      <w:r>
        <w:rPr>
          <w:color w:val="000000"/>
          <w:spacing w:val="0"/>
          <w:w w:val="100"/>
          <w:position w:val="0"/>
        </w:rPr>
        <w:t>提高路基填筑高度。宜用于多次维修无明显改善效果的病害多发路段。施工应符合</w:t>
      </w:r>
      <w:r>
        <w:rPr>
          <w:color w:val="000000"/>
          <w:spacing w:val="0"/>
          <w:w w:val="100"/>
          <w:position w:val="0"/>
          <w:lang w:val="en-US" w:eastAsia="en-US" w:bidi="en-US"/>
        </w:rPr>
        <w:t xml:space="preserve">JTG F10 </w:t>
      </w:r>
      <w:r>
        <w:rPr>
          <w:color w:val="000000"/>
          <w:spacing w:val="0"/>
          <w:w w:val="100"/>
          <w:position w:val="0"/>
        </w:rPr>
        <w:t>的有关规定。</w:t>
      </w:r>
    </w:p>
    <w:p>
      <w:pPr>
        <w:pStyle w:val="Bodytext10"/>
        <w:keepNext w:val="0"/>
        <w:keepLines w:val="0"/>
        <w:widowControl w:val="0"/>
        <w:shd w:val="clear" w:color="auto" w:fill="auto"/>
        <w:bidi w:val="0"/>
        <w:spacing w:before="0" w:after="0" w:line="317" w:lineRule="exact"/>
        <w:ind w:left="0" w:right="0" w:firstLine="0"/>
        <w:jc w:val="both"/>
      </w:pPr>
      <w:r>
        <w:rPr>
          <w:color w:val="000000"/>
          <w:spacing w:val="0"/>
          <w:w w:val="100"/>
          <w:position w:val="0"/>
          <w:lang w:val="en-US" w:eastAsia="en-US" w:bidi="en-US"/>
        </w:rPr>
        <w:t>7.7.2</w:t>
      </w:r>
      <w:r>
        <w:rPr>
          <w:color w:val="000000"/>
          <w:spacing w:val="0"/>
          <w:w w:val="100"/>
          <w:position w:val="0"/>
        </w:rPr>
        <w:t>设置毛细水隔断层。对缺乏天然砂石、风积沙等材料的地区，或对路面高程有严格要求而无法</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8" w:history="1">
        <w:r>
          <w:rPr>
            <w:rFonts w:ascii="SimSun" w:eastAsia="SimSun" w:hAnsi="SimSun" w:cs="SimSun"/>
            <w:b/>
            <w:bCs/>
            <w:color w:val="0000EE"/>
            <w:spacing w:val="0"/>
            <w:w w:val="100"/>
            <w:position w:val="0"/>
            <w:sz w:val="30"/>
            <w:szCs w:val="30"/>
            <w:u w:val="single" w:color="0000EE"/>
            <w:shd w:val="clear" w:color="auto" w:fill="auto"/>
          </w:rPr>
          <w:t>https://d.book118.com/916035235030010044</w:t>
        </w:r>
      </w:hyperlink>
    </w:p>
    <w:p>
      <w:pPr>
        <w:pStyle w:val="Bodytext10"/>
        <w:keepNext w:val="0"/>
        <w:keepLines w:val="0"/>
        <w:widowControl w:val="0"/>
        <w:shd w:val="clear" w:color="auto" w:fill="auto"/>
        <w:bidi w:val="0"/>
        <w:spacing w:before="0" w:after="0" w:line="317" w:lineRule="exact"/>
        <w:ind w:left="0" w:right="0" w:firstLine="0"/>
        <w:jc w:val="both"/>
      </w:pPr>
    </w:p>
    <w:sectPr>
      <w:headerReference w:type="even" r:id="rId29"/>
      <w:headerReference w:type="default" r:id="rId30"/>
      <w:footerReference w:type="even" r:id="rId31"/>
      <w:footerReference w:type="default" r:id="rId32"/>
      <w:headerReference w:type="first" r:id="rId33"/>
      <w:footerReference w:type="first" r:id="rId34"/>
      <w:type w:val="nextPage"/>
      <w:pgSz w:w="11900" w:h="16840"/>
      <w:pgMar w:top="1555" w:right="1135" w:bottom="1678" w:left="1017" w:header="0" w:footer="3" w:gutter="0"/>
      <w:pgNumType w:start="4"/>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855345</wp:posOffset>
              </wp:positionH>
              <wp:positionV relativeFrom="page">
                <wp:posOffset>9615170</wp:posOffset>
              </wp:positionV>
              <wp:extent cx="100330" cy="10985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IV</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4" type="#_x0000_t202" style="width:7.9pt;height:8.65pt;margin-top:757.1pt;margin-left:67.3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IV</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855345</wp:posOffset>
              </wp:positionH>
              <wp:positionV relativeFrom="page">
                <wp:posOffset>9615170</wp:posOffset>
              </wp:positionV>
              <wp:extent cx="100330" cy="109855"/>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7.9pt;height:8.65pt;margin-top:757.1pt;margin-left:67.3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1051560</wp:posOffset>
              </wp:positionH>
              <wp:positionV relativeFrom="page">
                <wp:posOffset>9668510</wp:posOffset>
              </wp:positionV>
              <wp:extent cx="59690" cy="95885"/>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6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8" type="#_x0000_t202" style="width:4.7pt;height:7.55pt;margin-top:761.3pt;margin-left:82.8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1051560</wp:posOffset>
              </wp:positionH>
              <wp:positionV relativeFrom="page">
                <wp:posOffset>9668510</wp:posOffset>
              </wp:positionV>
              <wp:extent cx="59690" cy="9588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596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6" type="#_x0000_t202" style="width:4.7pt;height:7.55pt;margin-top:761.3pt;margin-left:82.8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6464935</wp:posOffset>
              </wp:positionH>
              <wp:positionV relativeFrom="page">
                <wp:posOffset>9673590</wp:posOffset>
              </wp:positionV>
              <wp:extent cx="36830" cy="9144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0" type="#_x0000_t202" style="width:2.9pt;height:7.2pt;margin-top:761.7pt;margin-left:509.0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1051560</wp:posOffset>
              </wp:positionH>
              <wp:positionV relativeFrom="page">
                <wp:posOffset>9668510</wp:posOffset>
              </wp:positionV>
              <wp:extent cx="59690" cy="95885"/>
              <wp:wrapNone/>
              <wp:docPr id="94705835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6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4" type="#_x0000_t202" style="width:4.7pt;height:7.55pt;margin-top:761.3pt;margin-left:82.8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2</w:t>
                    </w:r>
                    <w:r>
                      <w:rPr>
                        <w:rFonts w:ascii="SimSun" w:eastAsia="SimSun" w:hAnsi="SimSun" w:cs="SimSun"/>
                        <w:color w:val="000000"/>
                        <w:spacing w:val="0"/>
                        <w:w w:val="100"/>
                        <w:position w:val="0"/>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1051560</wp:posOffset>
              </wp:positionH>
              <wp:positionV relativeFrom="page">
                <wp:posOffset>9668510</wp:posOffset>
              </wp:positionV>
              <wp:extent cx="59690" cy="95885"/>
              <wp:wrapNone/>
              <wp:docPr id="98465066"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596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2" type="#_x0000_t202" style="width:4.7pt;height:7.55pt;margin-top:761.3pt;margin-left:82.8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w:t>
                    </w:r>
                    <w:r>
                      <w:rPr>
                        <w:rFonts w:ascii="SimSun" w:eastAsia="SimSun" w:hAnsi="SimSun" w:cs="SimSun"/>
                        <w:color w:val="000000"/>
                        <w:spacing w:val="0"/>
                        <w:w w:val="100"/>
                        <w:position w:val="0"/>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6464935</wp:posOffset>
              </wp:positionH>
              <wp:positionV relativeFrom="page">
                <wp:posOffset>9673590</wp:posOffset>
              </wp:positionV>
              <wp:extent cx="36830" cy="91440"/>
              <wp:wrapNone/>
              <wp:docPr id="37717209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9144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6" type="#_x0000_t202" style="width:2.9pt;height:7.2pt;margin-top:761.7pt;margin-left:509.0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SimSun" w:eastAsia="SimSun" w:hAnsi="SimSun" w:cs="SimSu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855345</wp:posOffset>
              </wp:positionH>
              <wp:positionV relativeFrom="page">
                <wp:posOffset>9615170</wp:posOffset>
              </wp:positionV>
              <wp:extent cx="100330" cy="10985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6</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0" type="#_x0000_t202" style="width:7.9pt;height:8.65pt;margin-top:757.1pt;margin-left:67.3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6</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6442075</wp:posOffset>
              </wp:positionH>
              <wp:positionV relativeFrom="page">
                <wp:posOffset>9700260</wp:posOffset>
              </wp:positionV>
              <wp:extent cx="45720" cy="86995"/>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5</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68" type="#_x0000_t202" style="width:3.6pt;height:6.85pt;margin-top:763.8pt;margin-left:507.2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5</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6436995</wp:posOffset>
              </wp:positionH>
              <wp:positionV relativeFrom="page">
                <wp:posOffset>9700260</wp:posOffset>
              </wp:positionV>
              <wp:extent cx="50165" cy="86995"/>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5"/>
                              <w:szCs w:val="15"/>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5"/>
                              <w:szCs w:val="15"/>
                              <w:lang w:val="zh-TW" w:eastAsia="zh-TW" w:bidi="zh-TW"/>
                            </w:rPr>
                            <w:t>3</w:t>
                          </w:r>
                          <w:r>
                            <w:rPr>
                              <w:rFonts w:ascii="Times New Roman" w:eastAsia="Times New Roman" w:hAnsi="Times New Roman" w:cs="Times New Roman"/>
                              <w:i/>
                              <w:iCs/>
                              <w:color w:val="000000"/>
                              <w:spacing w:val="0"/>
                              <w:w w:val="100"/>
                              <w:position w:val="0"/>
                              <w:sz w:val="15"/>
                              <w:szCs w:val="15"/>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2" type="#_x0000_t202" style="width:3.95pt;height:6.85pt;margin-top:763.8pt;margin-left:506.8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5"/>
                        <w:szCs w:val="15"/>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5"/>
                        <w:szCs w:val="15"/>
                        <w:lang w:val="zh-TW" w:eastAsia="zh-TW" w:bidi="zh-TW"/>
                      </w:rPr>
                      <w:t>3</w:t>
                    </w:r>
                    <w:r>
                      <w:rPr>
                        <w:rFonts w:ascii="Times New Roman" w:eastAsia="Times New Roman" w:hAnsi="Times New Roman" w:cs="Times New Roman"/>
                        <w:i/>
                        <w:iCs/>
                        <w:color w:val="000000"/>
                        <w:spacing w:val="0"/>
                        <w:w w:val="100"/>
                        <w:position w:val="0"/>
                        <w:sz w:val="15"/>
                        <w:szCs w:val="15"/>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855345</wp:posOffset>
              </wp:positionH>
              <wp:positionV relativeFrom="page">
                <wp:posOffset>9615170</wp:posOffset>
              </wp:positionV>
              <wp:extent cx="100330" cy="109855"/>
              <wp:wrapNone/>
              <wp:docPr id="102994347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10985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4</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6" type="#_x0000_t202" style="width:7.9pt;height:8.65pt;margin-top:757.1pt;margin-left:67.3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4</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6442075</wp:posOffset>
              </wp:positionH>
              <wp:positionV relativeFrom="page">
                <wp:posOffset>9700260</wp:posOffset>
              </wp:positionV>
              <wp:extent cx="45720" cy="86995"/>
              <wp:wrapNone/>
              <wp:docPr id="1557326744"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5</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4" type="#_x0000_t202" style="width:3.6pt;height:6.85pt;margin-top:763.8pt;margin-left:507.2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2"/>
                        <w:szCs w:val="22"/>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2"/>
                        <w:szCs w:val="22"/>
                        <w:lang w:val="zh-TW" w:eastAsia="zh-TW" w:bidi="zh-TW"/>
                      </w:rPr>
                      <w:t>5</w:t>
                    </w:r>
                    <w:r>
                      <w:rPr>
                        <w:rFonts w:ascii="Times New Roman" w:eastAsia="Times New Roman" w:hAnsi="Times New Roman" w:cs="Times New Roman"/>
                        <w:color w:val="000000"/>
                        <w:spacing w:val="0"/>
                        <w:w w:val="100"/>
                        <w:position w:val="0"/>
                        <w:sz w:val="22"/>
                        <w:szCs w:val="22"/>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6436995</wp:posOffset>
              </wp:positionH>
              <wp:positionV relativeFrom="page">
                <wp:posOffset>9700260</wp:posOffset>
              </wp:positionV>
              <wp:extent cx="50165" cy="86995"/>
              <wp:wrapNone/>
              <wp:docPr id="44964000"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69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5"/>
                              <w:szCs w:val="15"/>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5"/>
                              <w:szCs w:val="15"/>
                              <w:lang w:val="zh-TW" w:eastAsia="zh-TW" w:bidi="zh-TW"/>
                            </w:rPr>
                            <w:t>3</w:t>
                          </w:r>
                          <w:r>
                            <w:rPr>
                              <w:rFonts w:ascii="Times New Roman" w:eastAsia="Times New Roman" w:hAnsi="Times New Roman" w:cs="Times New Roman"/>
                              <w:i/>
                              <w:iCs/>
                              <w:color w:val="000000"/>
                              <w:spacing w:val="0"/>
                              <w:w w:val="100"/>
                              <w:position w:val="0"/>
                              <w:sz w:val="15"/>
                              <w:szCs w:val="15"/>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78" type="#_x0000_t202" style="width:3.95pt;height:6.85pt;margin-top:763.8pt;margin-left:506.8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5"/>
                        <w:szCs w:val="15"/>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5"/>
                        <w:szCs w:val="15"/>
                        <w:lang w:val="zh-TW" w:eastAsia="zh-TW" w:bidi="zh-TW"/>
                      </w:rPr>
                      <w:t>3</w:t>
                    </w:r>
                    <w:r>
                      <w:rPr>
                        <w:rFonts w:ascii="Times New Roman" w:eastAsia="Times New Roman" w:hAnsi="Times New Roman" w:cs="Times New Roman"/>
                        <w:i/>
                        <w:iCs/>
                        <w:color w:val="000000"/>
                        <w:spacing w:val="0"/>
                        <w:w w:val="100"/>
                        <w:position w:val="0"/>
                        <w:sz w:val="15"/>
                        <w:szCs w:val="15"/>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5529580</wp:posOffset>
              </wp:positionH>
              <wp:positionV relativeFrom="page">
                <wp:posOffset>694690</wp:posOffset>
              </wp:positionV>
              <wp:extent cx="1161415" cy="10541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91.45pt;height:8.3pt;margin-top:54.7pt;margin-left:435.4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5529580</wp:posOffset>
              </wp:positionH>
              <wp:positionV relativeFrom="page">
                <wp:posOffset>694690</wp:posOffset>
              </wp:positionV>
              <wp:extent cx="1161415" cy="10541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91.45pt;height:8.3pt;margin-top:54.7pt;margin-left:435.4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768985</wp:posOffset>
              </wp:positionH>
              <wp:positionV relativeFrom="page">
                <wp:posOffset>681355</wp:posOffset>
              </wp:positionV>
              <wp:extent cx="1151890" cy="95885"/>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3" type="#_x0000_t202" style="width:90.7pt;height:7.55pt;margin-top:53.65pt;margin-left:60.5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768985</wp:posOffset>
              </wp:positionH>
              <wp:positionV relativeFrom="page">
                <wp:posOffset>681355</wp:posOffset>
              </wp:positionV>
              <wp:extent cx="1151890" cy="95885"/>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90.7pt;height:7.55pt;margin-top:53.65pt;margin-left:60.5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900430</wp:posOffset>
              </wp:positionH>
              <wp:positionV relativeFrom="page">
                <wp:posOffset>721360</wp:posOffset>
              </wp:positionV>
              <wp:extent cx="1151890" cy="10541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7" type="#_x0000_t202" style="width:90.7pt;height:8.3pt;margin-top:56.8pt;margin-left:70.9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900430</wp:posOffset>
              </wp:positionH>
              <wp:positionV relativeFrom="page">
                <wp:posOffset>721360</wp:posOffset>
              </wp:positionV>
              <wp:extent cx="1151890" cy="10541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5" type="#_x0000_t202" style="width:90.7pt;height:8.3pt;margin-top:56.8pt;margin-left:70.9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5495290</wp:posOffset>
              </wp:positionH>
              <wp:positionV relativeFrom="page">
                <wp:posOffset>725805</wp:posOffset>
              </wp:positionV>
              <wp:extent cx="1156970"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697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59" type="#_x0000_t202" style="width:91.1pt;height:7.9pt;margin-top:57.15pt;margin-left:432.7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900430</wp:posOffset>
              </wp:positionH>
              <wp:positionV relativeFrom="page">
                <wp:posOffset>721360</wp:posOffset>
              </wp:positionV>
              <wp:extent cx="1151890" cy="105410"/>
              <wp:wrapNone/>
              <wp:docPr id="190627713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3" type="#_x0000_t202" style="width:90.7pt;height:8.3pt;margin-top:56.8pt;margin-left:70.9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900430</wp:posOffset>
              </wp:positionH>
              <wp:positionV relativeFrom="page">
                <wp:posOffset>721360</wp:posOffset>
              </wp:positionV>
              <wp:extent cx="1151890" cy="105410"/>
              <wp:wrapNone/>
              <wp:docPr id="1666258501"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10541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1" type="#_x0000_t202" style="width:90.7pt;height:8.3pt;margin-top:56.8pt;margin-left:70.9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5495290</wp:posOffset>
              </wp:positionH>
              <wp:positionV relativeFrom="page">
                <wp:posOffset>725805</wp:posOffset>
              </wp:positionV>
              <wp:extent cx="1156970" cy="100330"/>
              <wp:wrapNone/>
              <wp:docPr id="194055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697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5" type="#_x0000_t202" style="width:91.1pt;height:7.9pt;margin-top:57.15pt;margin-left:432.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768985</wp:posOffset>
              </wp:positionH>
              <wp:positionV relativeFrom="page">
                <wp:posOffset>681355</wp:posOffset>
              </wp:positionV>
              <wp:extent cx="1151890" cy="95885"/>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69" type="#_x0000_t202" style="width:90.7pt;height:7.55pt;margin-top:53.65pt;margin-left:60.5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5481955</wp:posOffset>
              </wp:positionH>
              <wp:positionV relativeFrom="page">
                <wp:posOffset>748030</wp:posOffset>
              </wp:positionV>
              <wp:extent cx="1161415" cy="10033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7" type="#_x0000_t202" style="width:91.45pt;height:7.9pt;margin-top:58.9pt;margin-left:431.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5481955</wp:posOffset>
              </wp:positionH>
              <wp:positionV relativeFrom="page">
                <wp:posOffset>748030</wp:posOffset>
              </wp:positionV>
              <wp:extent cx="1161415" cy="10033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1" type="#_x0000_t202" style="width:91.45pt;height:7.9pt;margin-top:58.9pt;margin-left:431.6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 713—2014</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768985</wp:posOffset>
              </wp:positionH>
              <wp:positionV relativeFrom="page">
                <wp:posOffset>681355</wp:posOffset>
              </wp:positionV>
              <wp:extent cx="1151890" cy="95885"/>
              <wp:wrapNone/>
              <wp:docPr id="57407762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1890"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5" type="#_x0000_t202" style="width:90.7pt;height:7.55pt;margin-top:53.65pt;margin-left:60.5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SimSun" w:eastAsia="SimSun" w:hAnsi="SimSun" w:cs="SimSun"/>
                        <w:color w:val="000000"/>
                        <w:spacing w:val="0"/>
                        <w:w w:val="100"/>
                        <w:position w:val="0"/>
                        <w:lang w:val="en-US" w:eastAsia="en-US" w:bidi="en-US"/>
                      </w:rPr>
                      <w:t>DB15/T 713—2014</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5481955</wp:posOffset>
              </wp:positionH>
              <wp:positionV relativeFrom="page">
                <wp:posOffset>748030</wp:posOffset>
              </wp:positionV>
              <wp:extent cx="1161415" cy="100330"/>
              <wp:wrapNone/>
              <wp:docPr id="18558257"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3" type="#_x0000_t202" style="width:91.45pt;height:7.9pt;margin-top:58.9pt;margin-left:431.6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 713—2014</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5481955</wp:posOffset>
              </wp:positionH>
              <wp:positionV relativeFrom="page">
                <wp:posOffset>748030</wp:posOffset>
              </wp:positionV>
              <wp:extent cx="1161415" cy="100330"/>
              <wp:wrapNone/>
              <wp:docPr id="1172721238"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 713—2014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7" type="#_x0000_t202" style="width:91.45pt;height:7.9pt;margin-top:58.9pt;margin-left:431.6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DB15/T 713—2014</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44BBA8"/>
    <w:multiLevelType w:val="multilevel"/>
    <w:tmpl w:val="00000000"/>
    <w:lvl w:ilvl="0">
      <w:start w:val="2"/>
      <w:numFmt w:val="decimal"/>
      <w:lvlText w:val="10.1.2.2.%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28"/>
      <w:szCs w:val="28"/>
      <w:u w:val="none"/>
      <w:shd w:val="clear" w:color="auto" w:fill="auto"/>
    </w:rPr>
  </w:style>
  <w:style w:type="character" w:customStyle="1" w:styleId="Heading11">
    <w:name w:val="Heading #1|1_"/>
    <w:basedOn w:val="DefaultParagraphFont"/>
    <w:link w:val="Heading110"/>
    <w:rPr>
      <w:b w:val="0"/>
      <w:bCs w:val="0"/>
      <w:i w:val="0"/>
      <w:iCs w:val="0"/>
      <w:smallCaps w:val="0"/>
      <w:strike w:val="0"/>
      <w:sz w:val="94"/>
      <w:szCs w:val="94"/>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6"/>
      <w:szCs w:val="56"/>
      <w:u w:val="none"/>
      <w:shd w:val="clear" w:color="auto" w:fill="auto"/>
      <w:lang w:val="zh-TW" w:eastAsia="zh-TW" w:bidi="zh-TW"/>
    </w:rPr>
  </w:style>
  <w:style w:type="character" w:customStyle="1" w:styleId="Heading51">
    <w:name w:val="Heading #5|1_"/>
    <w:basedOn w:val="DefaultParagraphFont"/>
    <w:link w:val="Heading510"/>
    <w:rPr>
      <w:rFonts w:ascii="SimSun" w:eastAsia="SimSun" w:hAnsi="SimSun" w:cs="SimSun"/>
      <w:b w:val="0"/>
      <w:bCs w:val="0"/>
      <w:i w:val="0"/>
      <w:iCs w:val="0"/>
      <w:smallCaps w:val="0"/>
      <w:strike w:val="0"/>
      <w:sz w:val="36"/>
      <w:szCs w:val="36"/>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38"/>
      <w:szCs w:val="38"/>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5">
    <w:name w:val="Body text|5_"/>
    <w:basedOn w:val="DefaultParagraphFont"/>
    <w:link w:val="Bodytext50"/>
    <w:rPr>
      <w:b w:val="0"/>
      <w:bCs w:val="0"/>
      <w:i w:val="0"/>
      <w:iCs w:val="0"/>
      <w:smallCaps w:val="0"/>
      <w:strike w:val="0"/>
      <w:sz w:val="20"/>
      <w:szCs w:val="20"/>
      <w:u w:val="none"/>
      <w:shd w:val="clear" w:color="auto" w:fill="auto"/>
    </w:rPr>
  </w:style>
  <w:style w:type="character" w:customStyle="1" w:styleId="Heading61">
    <w:name w:val="Heading #6|1_"/>
    <w:basedOn w:val="DefaultParagraphFont"/>
    <w:link w:val="Heading6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Headerorfooter1">
    <w:name w:val="Header or footer|1_"/>
    <w:basedOn w:val="DefaultParagraphFont"/>
    <w:link w:val="Headerorfooter10"/>
    <w:rPr>
      <w:rFonts w:ascii="SimSun" w:eastAsia="SimSun" w:hAnsi="SimSun" w:cs="SimSun"/>
      <w:b w:val="0"/>
      <w:bCs w:val="0"/>
      <w:i w:val="0"/>
      <w:iCs w:val="0"/>
      <w:smallCaps w:val="0"/>
      <w:strike w:val="0"/>
      <w:sz w:val="20"/>
      <w:szCs w:val="20"/>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after="70" w:line="313" w:lineRule="exact"/>
      <w:ind w:left="2500" w:firstLine="21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1370"/>
    </w:pPr>
    <w:rPr>
      <w:b w:val="0"/>
      <w:bCs w:val="0"/>
      <w:i w:val="0"/>
      <w:iCs w:val="0"/>
      <w:smallCaps w:val="0"/>
      <w:strike w:val="0"/>
      <w:sz w:val="28"/>
      <w:szCs w:val="28"/>
      <w:u w:val="none"/>
      <w:shd w:val="clear" w:color="auto" w:fill="auto"/>
    </w:rPr>
  </w:style>
  <w:style w:type="paragraph" w:customStyle="1" w:styleId="Heading110">
    <w:name w:val="Heading #1|1"/>
    <w:basedOn w:val="Normal"/>
    <w:link w:val="Heading11"/>
    <w:pPr>
      <w:widowControl w:val="0"/>
      <w:shd w:val="clear" w:color="auto" w:fill="auto"/>
      <w:spacing w:after="480"/>
      <w:ind w:right="680"/>
      <w:jc w:val="right"/>
      <w:outlineLvl w:val="0"/>
    </w:pPr>
    <w:rPr>
      <w:b w:val="0"/>
      <w:bCs w:val="0"/>
      <w:i w:val="0"/>
      <w:iCs w:val="0"/>
      <w:smallCaps w:val="0"/>
      <w:strike w:val="0"/>
      <w:sz w:val="94"/>
      <w:szCs w:val="94"/>
      <w:u w:val="none"/>
      <w:shd w:val="clear" w:color="auto" w:fill="auto"/>
    </w:rPr>
  </w:style>
  <w:style w:type="paragraph" w:customStyle="1" w:styleId="Heading310">
    <w:name w:val="Heading #3|1"/>
    <w:basedOn w:val="Normal"/>
    <w:link w:val="Heading31"/>
    <w:pPr>
      <w:widowControl w:val="0"/>
      <w:shd w:val="clear" w:color="auto" w:fill="auto"/>
      <w:spacing w:after="360"/>
      <w:outlineLvl w:val="2"/>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400"/>
      <w:jc w:val="center"/>
      <w:outlineLvl w:val="1"/>
    </w:pPr>
    <w:rPr>
      <w:rFonts w:ascii="SimSun" w:eastAsia="SimSun" w:hAnsi="SimSun" w:cs="SimSun"/>
      <w:b w:val="0"/>
      <w:bCs w:val="0"/>
      <w:i w:val="0"/>
      <w:iCs w:val="0"/>
      <w:smallCaps w:val="0"/>
      <w:strike w:val="0"/>
      <w:sz w:val="56"/>
      <w:szCs w:val="56"/>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740"/>
      <w:jc w:val="center"/>
      <w:outlineLvl w:val="4"/>
    </w:pPr>
    <w:rPr>
      <w:rFonts w:ascii="SimSun" w:eastAsia="SimSun" w:hAnsi="SimSun" w:cs="SimSun"/>
      <w:b w:val="0"/>
      <w:bCs w:val="0"/>
      <w:i w:val="0"/>
      <w:iCs w:val="0"/>
      <w:smallCaps w:val="0"/>
      <w:strike w:val="0"/>
      <w:sz w:val="36"/>
      <w:szCs w:val="36"/>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104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40"/>
      <w:jc w:val="center"/>
      <w:outlineLvl w:val="3"/>
    </w:pPr>
    <w:rPr>
      <w:rFonts w:ascii="SimSun" w:eastAsia="SimSun" w:hAnsi="SimSun" w:cs="SimSun"/>
      <w:b w:val="0"/>
      <w:bCs w:val="0"/>
      <w:i w:val="0"/>
      <w:iCs w:val="0"/>
      <w:smallCaps w:val="0"/>
      <w:strike w:val="0"/>
      <w:sz w:val="38"/>
      <w:szCs w:val="3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line="353" w:lineRule="exact"/>
      <w:jc w:val="center"/>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line="348" w:lineRule="auto"/>
      <w:ind w:firstLine="40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660"/>
      <w:ind w:right="200"/>
      <w:jc w:val="right"/>
    </w:pPr>
    <w:rPr>
      <w:b w:val="0"/>
      <w:bCs w:val="0"/>
      <w:i w:val="0"/>
      <w:iCs w:val="0"/>
      <w:smallCaps w:val="0"/>
      <w:strike w:val="0"/>
      <w:sz w:val="20"/>
      <w:szCs w:val="20"/>
      <w:u w:val="none"/>
      <w:shd w:val="clear" w:color="auto" w:fill="auto"/>
    </w:rPr>
  </w:style>
  <w:style w:type="paragraph" w:customStyle="1" w:styleId="Heading610">
    <w:name w:val="Heading #6|1"/>
    <w:basedOn w:val="Normal"/>
    <w:link w:val="Heading61"/>
    <w:pPr>
      <w:widowControl w:val="0"/>
      <w:shd w:val="clear" w:color="auto" w:fill="auto"/>
      <w:spacing w:after="400"/>
      <w:jc w:val="center"/>
      <w:outlineLvl w:val="5"/>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80"/>
      <w:ind w:firstLine="32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Other10">
    <w:name w:val="Other|1"/>
    <w:basedOn w:val="Normal"/>
    <w:link w:val="Other1"/>
    <w:pPr>
      <w:widowControl w:val="0"/>
      <w:shd w:val="clear" w:color="auto" w:fill="auto"/>
      <w:spacing w:line="348" w:lineRule="auto"/>
      <w:ind w:firstLine="40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rFonts w:ascii="SimSun" w:eastAsia="SimSun" w:hAnsi="SimSun" w:cs="SimSun"/>
      <w:b w:val="0"/>
      <w:bCs w:val="0"/>
      <w:i w:val="0"/>
      <w:iCs w:val="0"/>
      <w:smallCaps w:val="0"/>
      <w:strike w:val="0"/>
      <w:sz w:val="20"/>
      <w:szCs w:val="20"/>
      <w:u w:val="none"/>
      <w:shd w:val="clear" w:color="auto" w:fill="auto"/>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7.xml" /><Relationship Id="rId15" Type="http://schemas.openxmlformats.org/officeDocument/2006/relationships/footer" Target="footer5.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footer" Target="footer8.xml" /><Relationship Id="rId22" Type="http://schemas.openxmlformats.org/officeDocument/2006/relationships/header" Target="header11.xml" /><Relationship Id="rId23" Type="http://schemas.openxmlformats.org/officeDocument/2006/relationships/header" Target="header12.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eader" Target="header13.xml" /><Relationship Id="rId27" Type="http://schemas.openxmlformats.org/officeDocument/2006/relationships/footer" Target="footer11.xml" /><Relationship Id="rId28" Type="http://schemas.openxmlformats.org/officeDocument/2006/relationships/hyperlink" Target="https://d.book118.com/916035235030010044" TargetMode="Externa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footer" Target="footer12.xml" /><Relationship Id="rId32" Type="http://schemas.openxmlformats.org/officeDocument/2006/relationships/footer" Target="footer13.xml" /><Relationship Id="rId33" Type="http://schemas.openxmlformats.org/officeDocument/2006/relationships/header" Target="header16.xml" /><Relationship Id="rId34" Type="http://schemas.openxmlformats.org/officeDocument/2006/relationships/footer" Target="footer14.xm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