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widowControl/>
        <w:spacing w:line="288" w:lineRule="auto"/>
        <w:jc w:val="center"/>
        <w:textAlignment w:val="center"/>
        <w:rPr>
          <w:rFonts w:ascii="宋体" w:hAnsi="宋体" w:cs="宋体" w:hint="eastAsia"/>
          <w:b/>
          <w:bCs/>
          <w:color w:val="auto"/>
          <w:sz w:val="36"/>
          <w:szCs w:val="36"/>
        </w:rPr>
      </w:pPr>
      <w:r>
        <w:rPr>
          <w:rFonts w:ascii="Times New Roman" w:eastAsia="宋体" w:hAnsi="Times New Roman" w:cs="Times New Roman" w:hint="default"/>
          <w:b/>
          <w:bCs/>
          <w:color w:val="auto"/>
          <w:sz w:val="36"/>
          <w:szCs w:val="36"/>
        </w:rPr>
        <w:drawing>
          <wp:anchor distT="0" distB="0" distL="114300" distR="114300" simplePos="0" relativeHeight="251658240" behindDoc="0" locked="0" layoutInCell="1" allowOverlap="1">
            <wp:simplePos x="0" y="0"/>
            <wp:positionH relativeFrom="page">
              <wp:posOffset>10579100</wp:posOffset>
            </wp:positionH>
            <wp:positionV relativeFrom="topMargin">
              <wp:posOffset>11709400</wp:posOffset>
            </wp:positionV>
            <wp:extent cx="457200" cy="469900"/>
            <wp:effectExtent l="0" t="0" r="0" b="635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4"/>
                    <a:stretch>
                      <a:fillRect/>
                    </a:stretch>
                  </pic:blipFill>
                  <pic:spPr>
                    <a:xfrm>
                      <a:off x="0" y="0"/>
                      <a:ext cx="457200" cy="469900"/>
                    </a:xfrm>
                    <a:prstGeom prst="rect">
                      <a:avLst/>
                    </a:prstGeom>
                  </pic:spPr>
                </pic:pic>
              </a:graphicData>
            </a:graphic>
          </wp:anchor>
        </w:drawing>
      </w:r>
      <w:r>
        <w:rPr>
          <w:rFonts w:ascii="Times New Roman" w:eastAsia="宋体" w:hAnsi="Times New Roman" w:cs="Times New Roman" w:hint="default"/>
          <w:b/>
          <w:bCs/>
          <w:color w:val="auto"/>
          <w:sz w:val="36"/>
          <w:szCs w:val="36"/>
        </w:rPr>
        <w:t>2024</w:t>
      </w:r>
      <w:r>
        <w:rPr>
          <w:rFonts w:ascii="宋体" w:eastAsia="宋体" w:hAnsi="宋体" w:cs="宋体" w:hint="eastAsia"/>
          <w:b/>
          <w:bCs/>
          <w:color w:val="auto"/>
          <w:sz w:val="36"/>
          <w:szCs w:val="36"/>
        </w:rPr>
        <w:t>年</w:t>
      </w:r>
      <w:r>
        <w:rPr>
          <w:rFonts w:ascii="Times New Roman" w:eastAsia="宋体" w:hAnsi="Times New Roman" w:cs="Times New Roman" w:hint="default"/>
          <w:b/>
          <w:bCs/>
          <w:color w:val="auto"/>
          <w:sz w:val="36"/>
          <w:szCs w:val="36"/>
        </w:rPr>
        <w:t>1</w:t>
      </w:r>
      <w:r>
        <w:rPr>
          <w:rFonts w:ascii="宋体" w:eastAsia="宋体" w:hAnsi="宋体" w:cs="宋体" w:hint="eastAsia"/>
          <w:b/>
          <w:bCs/>
          <w:color w:val="auto"/>
          <w:sz w:val="36"/>
          <w:szCs w:val="36"/>
        </w:rPr>
        <w:t>月“七省联考”考前猜想卷</w:t>
      </w:r>
    </w:p>
    <w:p>
      <w:pPr>
        <w:spacing w:line="288" w:lineRule="auto"/>
        <w:jc w:val="center"/>
        <w:textAlignment w:val="center"/>
        <w:rPr>
          <w:rFonts w:ascii="宋体" w:hAnsi="宋体" w:cs="宋体" w:hint="default"/>
          <w:b/>
          <w:bCs/>
          <w:color w:val="auto"/>
          <w:sz w:val="32"/>
          <w:szCs w:val="32"/>
        </w:rPr>
      </w:pPr>
      <w:r>
        <w:rPr>
          <w:rFonts w:ascii="宋体" w:hAnsi="宋体" w:cs="宋体" w:hint="eastAsia"/>
          <w:b/>
          <w:bCs/>
          <w:color w:val="auto"/>
          <w:sz w:val="32"/>
          <w:szCs w:val="32"/>
          <w:lang w:val="en-US" w:eastAsia="zh-CN"/>
        </w:rPr>
        <w:t>化学</w:t>
      </w:r>
      <w:r>
        <w:rPr>
          <w:rFonts w:ascii="宋体" w:hAnsi="宋体" w:cs="宋体" w:hint="eastAsia"/>
          <w:b/>
          <w:bCs/>
          <w:color w:val="auto"/>
          <w:sz w:val="32"/>
          <w:szCs w:val="32"/>
          <w:lang w:eastAsia="zh-CN"/>
        </w:rPr>
        <w:t>（</w:t>
      </w:r>
      <w:r>
        <w:rPr>
          <w:rFonts w:ascii="宋体" w:hAnsi="宋体" w:cs="宋体" w:hint="eastAsia"/>
          <w:b/>
          <w:bCs/>
          <w:color w:val="auto"/>
          <w:sz w:val="32"/>
          <w:szCs w:val="32"/>
          <w:lang w:val="en-US" w:eastAsia="zh-CN"/>
        </w:rPr>
        <w:t>一</w:t>
      </w:r>
      <w:r>
        <w:rPr>
          <w:rFonts w:ascii="宋体" w:hAnsi="宋体" w:cs="宋体" w:hint="eastAsia"/>
          <w:b/>
          <w:bCs/>
          <w:color w:val="auto"/>
          <w:sz w:val="32"/>
          <w:szCs w:val="32"/>
          <w:lang w:eastAsia="zh-CN"/>
        </w:rPr>
        <w:t>）</w:t>
      </w:r>
      <w:r>
        <w:rPr>
          <w:rFonts w:ascii="宋体" w:hAnsi="宋体" w:cs="宋体" w:hint="eastAsia"/>
          <w:b/>
          <w:bCs/>
          <w:color w:val="auto"/>
          <w:sz w:val="32"/>
          <w:szCs w:val="32"/>
          <w:lang w:val="en-US" w:eastAsia="zh-CN"/>
        </w:rPr>
        <w:t>答案</w:t>
      </w:r>
    </w:p>
    <w:p>
      <w:pPr>
        <w:shd w:val="clear" w:color="auto" w:fill="auto"/>
        <w:adjustRightInd w:val="0"/>
        <w:spacing w:line="360" w:lineRule="auto"/>
        <w:contextualSpacing/>
        <w:jc w:val="center"/>
        <w:rPr>
          <w:color w:val="auto"/>
        </w:rPr>
      </w:pPr>
      <w:r>
        <w:rPr>
          <w:rFonts w:ascii="Times New Roman" w:eastAsia="楷体" w:hAnsi="Times New Roman" w:cs="Times New Roman"/>
          <w:color w:val="auto"/>
          <w:kern w:val="0"/>
        </w:rPr>
        <w:t>（考试时间：75分钟  试卷满分：100分）</w:t>
      </w:r>
    </w:p>
    <w:p>
      <w:pPr>
        <w:shd w:val="clear" w:color="auto" w:fill="auto"/>
        <w:overflowPunct w:val="0"/>
        <w:adjustRightInd w:val="0"/>
        <w:spacing w:line="360" w:lineRule="auto"/>
        <w:contextualSpacing/>
        <w:textAlignment w:val="center"/>
        <w:rPr>
          <w:rFonts w:eastAsia="黑体"/>
          <w:b/>
          <w:color w:val="auto"/>
          <w:spacing w:val="2"/>
          <w:kern w:val="0"/>
          <w:szCs w:val="21"/>
        </w:rPr>
      </w:pPr>
      <w:r>
        <w:rPr>
          <w:rFonts w:ascii="Times New Roman" w:eastAsia="黑体" w:hAnsi="Times New Roman" w:cs="Times New Roman"/>
          <w:b/>
          <w:color w:val="auto"/>
          <w:spacing w:val="2"/>
          <w:kern w:val="0"/>
          <w:szCs w:val="21"/>
        </w:rPr>
        <w:t>注意事项：</w:t>
      </w:r>
    </w:p>
    <w:p>
      <w:pPr>
        <w:shd w:val="clear" w:color="auto" w:fill="auto"/>
        <w:overflowPunct w:val="0"/>
        <w:adjustRightInd w:val="0"/>
        <w:spacing w:line="360" w:lineRule="auto"/>
        <w:contextualSpacing/>
        <w:textAlignment w:val="center"/>
        <w:rPr>
          <w:rFonts w:eastAsia="黑体"/>
          <w:color w:val="auto"/>
          <w:spacing w:val="2"/>
          <w:kern w:val="0"/>
          <w:szCs w:val="21"/>
        </w:rPr>
      </w:pPr>
      <w:r>
        <w:rPr>
          <w:rFonts w:ascii="Times New Roman" w:eastAsia="黑体" w:hAnsi="Times New Roman" w:cs="Times New Roman"/>
          <w:color w:val="auto"/>
          <w:spacing w:val="2"/>
          <w:kern w:val="0"/>
          <w:szCs w:val="21"/>
        </w:rPr>
        <w:t>1．答卷前，考生务必将自己的姓名、准考证号等填写在答题卡和试卷指定位置上。</w:t>
      </w:r>
    </w:p>
    <w:p>
      <w:pPr>
        <w:shd w:val="clear" w:color="auto" w:fill="auto"/>
        <w:overflowPunct w:val="0"/>
        <w:adjustRightInd w:val="0"/>
        <w:spacing w:line="360" w:lineRule="auto"/>
        <w:contextualSpacing/>
        <w:textAlignment w:val="center"/>
        <w:rPr>
          <w:rFonts w:eastAsia="黑体"/>
          <w:color w:val="auto"/>
          <w:spacing w:val="2"/>
          <w:kern w:val="0"/>
          <w:szCs w:val="21"/>
        </w:rPr>
      </w:pPr>
      <w:r>
        <w:rPr>
          <w:rFonts w:ascii="Times New Roman" w:eastAsia="黑体" w:hAnsi="Times New Roman" w:cs="Times New Roman"/>
          <w:color w:val="auto"/>
          <w:spacing w:val="2"/>
          <w:kern w:val="0"/>
          <w:szCs w:val="21"/>
        </w:rPr>
        <w:t>2．回答选择题时，选出每小题答案后，用铅笔把答题卡上对应题目的答案标号涂黑。如需改动，用橡皮擦干净后，再选涂其他答案标号。回答非选择题时，将答案写在答题卡上。写在本试卷上无效。</w:t>
      </w:r>
    </w:p>
    <w:p>
      <w:pPr>
        <w:shd w:val="clear" w:color="auto" w:fill="auto"/>
        <w:overflowPunct w:val="0"/>
        <w:adjustRightInd w:val="0"/>
        <w:spacing w:line="360" w:lineRule="auto"/>
        <w:contextualSpacing/>
        <w:textAlignment w:val="center"/>
        <w:rPr>
          <w:rFonts w:eastAsia="黑体"/>
          <w:color w:val="auto"/>
          <w:spacing w:val="2"/>
          <w:kern w:val="0"/>
          <w:szCs w:val="21"/>
        </w:rPr>
      </w:pPr>
      <w:r>
        <w:rPr>
          <w:rFonts w:ascii="Times New Roman" w:eastAsia="黑体" w:hAnsi="Times New Roman" w:cs="Times New Roman"/>
          <w:color w:val="auto"/>
          <w:spacing w:val="2"/>
          <w:kern w:val="0"/>
          <w:szCs w:val="21"/>
        </w:rPr>
        <w:t>3．考试结束后，将本试卷和答题卡一并交回。</w:t>
      </w:r>
    </w:p>
    <w:p>
      <w:pPr>
        <w:shd w:val="clear" w:color="auto" w:fill="auto"/>
        <w:spacing w:line="360" w:lineRule="auto"/>
        <w:contextualSpacing/>
        <w:jc w:val="left"/>
        <w:rPr>
          <w:b/>
          <w:color w:val="auto"/>
          <w:szCs w:val="21"/>
        </w:rPr>
      </w:pPr>
      <w:r>
        <w:rPr>
          <w:rFonts w:ascii="Times New Roman" w:hAnsi="Times New Roman" w:cs="Times New Roman"/>
          <w:b/>
          <w:color w:val="auto"/>
          <w:szCs w:val="21"/>
        </w:rPr>
        <w:t>可能用到的相对原子质量：</w:t>
      </w:r>
      <w:r>
        <w:rPr>
          <w:rFonts w:ascii="Times New Roman" w:eastAsia="Times New Roman" w:hAnsi="Times New Roman" w:cs="Times New Roman"/>
          <w:b/>
          <w:color w:val="auto"/>
          <w:szCs w:val="21"/>
        </w:rPr>
        <w:t>H 1</w:t>
      </w:r>
      <w:r>
        <w:rPr>
          <w:rFonts w:ascii="Times New Roman" w:eastAsia="宋体" w:hAnsi="Times New Roman" w:cs="Times New Roman"/>
          <w:b/>
          <w:color w:val="auto"/>
          <w:szCs w:val="21"/>
        </w:rPr>
        <w:t xml:space="preserve">  </w:t>
      </w:r>
      <w:r>
        <w:rPr>
          <w:rFonts w:ascii="Times New Roman" w:eastAsia="Times New Roman" w:hAnsi="Times New Roman" w:cs="Times New Roman"/>
          <w:b/>
          <w:color w:val="auto"/>
          <w:szCs w:val="21"/>
        </w:rPr>
        <w:t xml:space="preserve">C 12 </w:t>
      </w:r>
      <w:r>
        <w:rPr>
          <w:rFonts w:ascii="Times New Roman" w:hAnsi="Times New Roman" w:cs="Times New Roman" w:hint="eastAsia"/>
          <w:b/>
          <w:color w:val="auto"/>
          <w:szCs w:val="21"/>
        </w:rPr>
        <w:t xml:space="preserve"> </w:t>
      </w:r>
      <w:r>
        <w:rPr>
          <w:rFonts w:ascii="Times New Roman" w:eastAsia="Times New Roman" w:hAnsi="Times New Roman" w:cs="Times New Roman"/>
          <w:b/>
          <w:color w:val="auto"/>
          <w:szCs w:val="21"/>
        </w:rPr>
        <w:t>O 16</w:t>
      </w:r>
      <w:r>
        <w:rPr>
          <w:rFonts w:ascii="Times New Roman" w:eastAsia="宋体" w:hAnsi="Times New Roman" w:cs="Times New Roman" w:hint="eastAsia"/>
          <w:b/>
          <w:color w:val="auto"/>
          <w:szCs w:val="21"/>
        </w:rPr>
        <w:t xml:space="preserve"> </w:t>
      </w:r>
      <w:r>
        <w:rPr>
          <w:rFonts w:ascii="Times New Roman" w:eastAsia="宋体" w:hAnsi="Times New Roman" w:cs="Times New Roman"/>
          <w:b/>
          <w:color w:val="auto"/>
          <w:szCs w:val="21"/>
        </w:rPr>
        <w:t xml:space="preserve"> </w:t>
      </w:r>
      <w:r>
        <w:rPr>
          <w:rFonts w:ascii="Times New Roman" w:hAnsi="Times New Roman" w:cs="Times New Roman"/>
          <w:b/>
          <w:color w:val="auto"/>
          <w:szCs w:val="21"/>
        </w:rPr>
        <w:t>Fe  56</w:t>
      </w:r>
    </w:p>
    <w:p>
      <w:pPr>
        <w:pStyle w:val="BlockText"/>
        <w:shd w:val="clear" w:color="auto" w:fill="auto"/>
        <w:spacing w:after="0" w:line="360" w:lineRule="auto"/>
        <w:ind w:left="0" w:right="0" w:leftChars="0" w:rightChars="0"/>
        <w:contextualSpacing/>
        <w:jc w:val="center"/>
        <w:rPr>
          <w:rFonts w:ascii="Times New Roman" w:hAnsi="Times New Roman" w:cs="Times New Roman"/>
          <w:color w:val="auto"/>
          <w:sz w:val="22"/>
        </w:rPr>
      </w:pPr>
      <w:r>
        <w:rPr>
          <w:rFonts w:ascii="Times New Roman" w:hAnsi="Times New Roman" w:cs="Times New Roman"/>
          <w:color w:val="auto"/>
          <w:sz w:val="32"/>
          <w:szCs w:val="28"/>
        </w:rPr>
        <w:t>第Ⅰ卷</w:t>
      </w:r>
    </w:p>
    <w:p>
      <w:pPr>
        <w:shd w:val="clear" w:color="auto" w:fill="auto"/>
        <w:spacing w:line="360" w:lineRule="auto"/>
        <w:contextualSpacing/>
        <w:jc w:val="left"/>
        <w:rPr>
          <w:color w:val="auto"/>
        </w:rPr>
      </w:pPr>
      <w:r>
        <w:rPr>
          <w:rFonts w:ascii="Times New Roman" w:eastAsia="黑体" w:hAnsi="Times New Roman" w:cs="Times New Roman"/>
          <w:bCs/>
          <w:color w:val="auto"/>
          <w:szCs w:val="21"/>
        </w:rPr>
        <w:t>一、选择题：本题共14小题，每小题3分，共42分。在每小题给出的四个选项中，只有一项是符合题目要求的。</w:t>
      </w:r>
    </w:p>
    <w:p>
      <w:pPr>
        <w:shd w:val="clear" w:color="auto" w:fill="auto"/>
        <w:spacing w:line="360" w:lineRule="auto"/>
        <w:contextualSpacing/>
        <w:rPr>
          <w:color w:val="auto"/>
        </w:rPr>
      </w:pPr>
      <w:r>
        <w:rPr>
          <w:rFonts w:ascii="Times New Roman" w:eastAsia="宋体" w:hAnsi="Times New Roman" w:cs="Times New Roman"/>
          <w:color w:val="auto"/>
        </w:rPr>
        <w:t>1</w:t>
      </w:r>
      <w:r>
        <w:rPr>
          <w:rFonts w:ascii="Times New Roman" w:hAnsi="Times New Roman"/>
          <w:color w:val="auto"/>
        </w:rPr>
        <w:t>．</w:t>
      </w:r>
      <w:r>
        <w:rPr>
          <w:rFonts w:ascii="Times New Roman" w:eastAsia="宋体" w:hAnsi="Times New Roman" w:cs="Times New Roman"/>
          <w:color w:val="auto"/>
        </w:rPr>
        <w:t>2023年中国航天大会的主题是“格物致知，叩问苍穹”。下列关于航天飞船上所用材料说法正确的是</w:t>
      </w:r>
    </w:p>
    <w:p>
      <w:pPr>
        <w:shd w:val="clear" w:color="auto" w:fill="auto"/>
        <w:spacing w:line="360" w:lineRule="auto"/>
        <w:ind w:firstLine="480" w:firstLineChars="200"/>
        <w:contextualSpacing/>
        <w:rPr>
          <w:color w:val="auto"/>
        </w:rPr>
      </w:pPr>
      <w:r>
        <w:rPr>
          <w:rFonts w:ascii="Times New Roman" w:eastAsia="宋体" w:hAnsi="Times New Roman" w:cs="Times New Roman"/>
          <w:color w:val="auto"/>
        </w:rPr>
        <w:t>A</w:t>
      </w:r>
      <w:r>
        <w:rPr>
          <w:rFonts w:ascii="Times New Roman" w:hAnsi="Times New Roman"/>
          <w:color w:val="auto"/>
        </w:rPr>
        <w:t>．</w:t>
      </w:r>
      <w:r>
        <w:rPr>
          <w:rFonts w:ascii="Times New Roman" w:eastAsia="宋体" w:hAnsi="Times New Roman" w:cs="Times New Roman"/>
          <w:color w:val="auto"/>
        </w:rPr>
        <w:t>航天飞船上太阳能电池板的材料主要成分为SiO</w:t>
      </w:r>
      <w:r>
        <w:rPr>
          <w:rFonts w:ascii="Times New Roman" w:eastAsia="宋体" w:hAnsi="Times New Roman" w:cs="Times New Roman"/>
          <w:color w:val="auto"/>
          <w:vertAlign w:val="subscript"/>
        </w:rPr>
        <w:t>2</w:t>
      </w:r>
    </w:p>
    <w:p>
      <w:pPr>
        <w:shd w:val="clear" w:color="auto" w:fill="auto"/>
        <w:spacing w:line="360" w:lineRule="auto"/>
        <w:ind w:firstLine="480" w:firstLineChars="200"/>
        <w:contextualSpacing/>
        <w:rPr>
          <w:color w:val="auto"/>
        </w:rPr>
      </w:pPr>
      <w:r>
        <w:rPr>
          <w:rFonts w:ascii="Times New Roman" w:eastAsia="宋体" w:hAnsi="Times New Roman" w:cs="Times New Roman"/>
          <w:color w:val="auto"/>
        </w:rPr>
        <w:t>B</w:t>
      </w:r>
      <w:r>
        <w:rPr>
          <w:rFonts w:ascii="Times New Roman" w:hAnsi="Times New Roman"/>
          <w:color w:val="auto"/>
        </w:rPr>
        <w:t>．</w:t>
      </w:r>
      <w:r>
        <w:rPr>
          <w:rFonts w:ascii="Times New Roman" w:eastAsia="宋体" w:hAnsi="Times New Roman" w:cs="Times New Roman"/>
          <w:color w:val="auto"/>
        </w:rPr>
        <w:t>航天飞船制作发动机喷管套筒的碳纤维属于有机高分子材料</w:t>
      </w:r>
    </w:p>
    <w:p>
      <w:pPr>
        <w:shd w:val="clear" w:color="auto" w:fill="auto"/>
        <w:spacing w:line="360" w:lineRule="auto"/>
        <w:ind w:firstLine="480" w:firstLineChars="200"/>
        <w:contextualSpacing/>
        <w:rPr>
          <w:color w:val="auto"/>
        </w:rPr>
      </w:pPr>
      <w:r>
        <w:rPr>
          <w:rFonts w:ascii="Times New Roman" w:eastAsia="宋体" w:hAnsi="Times New Roman" w:cs="Times New Roman"/>
          <w:color w:val="auto"/>
        </w:rPr>
        <w:t>C</w:t>
      </w:r>
      <w:r>
        <w:rPr>
          <w:rFonts w:ascii="Times New Roman" w:hAnsi="Times New Roman"/>
          <w:color w:val="auto"/>
        </w:rPr>
        <w:t>．</w:t>
      </w:r>
      <w:r>
        <w:rPr>
          <w:rFonts w:ascii="Times New Roman" w:eastAsia="宋体" w:hAnsi="Times New Roman" w:cs="Times New Roman"/>
          <w:color w:val="auto"/>
        </w:rPr>
        <w:t>发射航天飞船的新一代运载火箭成功应用液氧煤油发动机，煤油是烃的混合物</w:t>
      </w:r>
    </w:p>
    <w:p>
      <w:pPr>
        <w:shd w:val="clear" w:color="auto" w:fill="auto"/>
        <w:spacing w:line="360" w:lineRule="auto"/>
        <w:ind w:firstLine="480" w:firstLineChars="200"/>
        <w:contextualSpacing/>
        <w:rPr>
          <w:color w:val="auto"/>
        </w:rPr>
      </w:pPr>
      <w:r>
        <w:rPr>
          <w:rFonts w:ascii="Times New Roman" w:eastAsia="宋体" w:hAnsi="Times New Roman" w:cs="Times New Roman"/>
          <w:color w:val="auto"/>
        </w:rPr>
        <w:t>D</w:t>
      </w:r>
      <w:r>
        <w:rPr>
          <w:rFonts w:ascii="Times New Roman" w:hAnsi="Times New Roman"/>
          <w:color w:val="auto"/>
        </w:rPr>
        <w:t>．</w:t>
      </w:r>
      <w:r>
        <w:rPr>
          <w:rFonts w:ascii="Times New Roman" w:eastAsia="宋体" w:hAnsi="Times New Roman" w:cs="Times New Roman"/>
          <w:color w:val="auto"/>
        </w:rPr>
        <w:t>航天飞船上用于燃气管路隔热层的纳米二氧化硅是胶体</w:t>
      </w:r>
    </w:p>
    <w:p>
      <w:pPr>
        <w:shd w:val="clear" w:color="auto" w:fill="auto"/>
        <w:spacing w:line="360" w:lineRule="auto"/>
        <w:contextualSpacing/>
        <w:jc w:val="left"/>
        <w:textAlignment w:val="center"/>
        <w:rPr>
          <w:color w:val="auto"/>
        </w:rPr>
      </w:pPr>
      <w:r>
        <w:rPr>
          <w:rFonts w:ascii="Times New Roman" w:eastAsia="宋体" w:hAnsi="Times New Roman" w:cs="Times New Roman"/>
          <w:color w:val="auto"/>
        </w:rPr>
        <w:t>【答案】C</w:t>
      </w:r>
    </w:p>
    <w:p>
      <w:pPr>
        <w:shd w:val="clear" w:color="auto" w:fill="auto"/>
        <w:spacing w:line="360" w:lineRule="auto"/>
        <w:contextualSpacing/>
        <w:rPr>
          <w:color w:val="auto"/>
        </w:rPr>
      </w:pPr>
      <w:r>
        <w:rPr>
          <w:rFonts w:ascii="Times New Roman" w:eastAsia="宋体" w:hAnsi="Times New Roman" w:cs="Times New Roman"/>
          <w:color w:val="auto"/>
        </w:rPr>
        <w:t>【解析】A．Si是一种良好的半导体材料，用于制造载人飞船上太阳能电池板的半导体材料主要成分为Si，故A不正确；B．碳纤维为单质，不是有机化合物，故B不正确；C．煤油的主要成分是烃，故C正确；D.纳米二氧化硅只有分散到水中才能形成胶体分散系，故D不正确；答案选C。</w:t>
      </w:r>
    </w:p>
    <w:p>
      <w:pPr>
        <w:shd w:val="clear" w:color="auto" w:fill="auto"/>
        <w:spacing w:line="360" w:lineRule="auto"/>
        <w:contextualSpacing/>
        <w:rPr>
          <w:color w:val="auto"/>
          <w:szCs w:val="21"/>
        </w:rPr>
      </w:pPr>
      <w:r>
        <w:rPr>
          <w:rFonts w:ascii="Times New Roman" w:eastAsia="宋体" w:hAnsi="Times New Roman" w:cs="Times New Roman"/>
          <w:color w:val="auto"/>
        </w:rPr>
        <w:t>2</w:t>
      </w:r>
      <w:r>
        <w:rPr>
          <w:rFonts w:ascii="Times New Roman" w:hAnsi="Times New Roman"/>
          <w:color w:val="auto"/>
        </w:rPr>
        <w:t>．</w:t>
      </w:r>
      <w:r>
        <w:rPr>
          <w:rFonts w:ascii="Times New Roman" w:eastAsia="宋体" w:hAnsi="Times New Roman" w:cs="Times New Roman"/>
          <w:color w:val="auto"/>
          <w:szCs w:val="21"/>
        </w:rPr>
        <w:t>我国古代思想家发现了许多哲学思想，下列化学事实与对应的哲学观点不相符合的是</w:t>
      </w:r>
    </w:p>
    <w:tbl>
      <w:tblPr>
        <w:tblStyle w:val="TableNormal"/>
        <w:tblW w:w="8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
      <w:tblGrid>
        <w:gridCol w:w="1123"/>
        <w:gridCol w:w="4996"/>
        <w:gridCol w:w="2721"/>
      </w:tblGrid>
      <w:tr>
        <w:tblPrEx>
          <w:tblW w:w="8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Ex>
        <w:trPr>
          <w:trHeight w:val="173"/>
          <w:jc w:val="center"/>
        </w:trPr>
        <w:tc>
          <w:tcPr>
            <w:tcW w:w="112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选项</w:t>
            </w:r>
          </w:p>
        </w:tc>
        <w:tc>
          <w:tcPr>
            <w:tcW w:w="499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化学事实</w:t>
            </w:r>
          </w:p>
        </w:tc>
        <w:tc>
          <w:tcPr>
            <w:tcW w:w="272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哲学观</w:t>
            </w:r>
          </w:p>
        </w:tc>
      </w:tr>
      <w:tr>
        <w:tblPrEx>
          <w:tblW w:w="8840" w:type="dxa"/>
          <w:jc w:val="center"/>
          <w:tblLayout w:type="fixed"/>
          <w:tblCellMar>
            <w:top w:w="120" w:type="dxa"/>
            <w:left w:w="120" w:type="dxa"/>
            <w:bottom w:w="120" w:type="dxa"/>
            <w:right w:w="120" w:type="dxa"/>
          </w:tblCellMar>
        </w:tblPrEx>
        <w:trPr>
          <w:trHeight w:val="182"/>
          <w:jc w:val="center"/>
        </w:trPr>
        <w:tc>
          <w:tcPr>
            <w:tcW w:w="112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A</w:t>
            </w:r>
          </w:p>
        </w:tc>
        <w:tc>
          <w:tcPr>
            <w:tcW w:w="499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水滴石穿</w:t>
            </w:r>
          </w:p>
        </w:tc>
        <w:tc>
          <w:tcPr>
            <w:tcW w:w="272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量变到质变</w:t>
            </w:r>
          </w:p>
        </w:tc>
      </w:tr>
    </w:tbl>
    <w:p>
      <w:pPr>
        <w:sectPr>
          <w:headerReference w:type="even" r:id="rId5"/>
          <w:headerReference w:type="default" r:id="rId6"/>
          <w:footerReference w:type="even" r:id="rId7"/>
          <w:footerReference w:type="default" r:id="rId8"/>
          <w:headerReference w:type="first" r:id="rId9"/>
          <w:footerReference w:type="first" r:id="rId10"/>
          <w:pgSz w:w="11906" w:h="16838"/>
          <w:pgMar w:top="1440" w:right="1134" w:bottom="1440" w:left="1134" w:header="851" w:footer="992" w:gutter="0"/>
          <w:pgBorders>
            <w:top w:val="none" w:sz="0" w:space="0" w:color="auto"/>
            <w:left w:val="none" w:sz="0" w:space="0" w:color="auto"/>
            <w:bottom w:val="none" w:sz="0" w:space="0" w:color="auto"/>
            <w:right w:val="none" w:sz="0" w:space="0" w:color="auto"/>
          </w:pgBorders>
          <w:cols w:num="1" w:space="720"/>
          <w:docGrid w:type="lines" w:linePitch="312" w:charSpace="0"/>
        </w:sectPr>
      </w:pPr>
    </w:p>
    <w:tbl>
      <w:tblPr>
        <w:tblStyle w:val="TableNormal"/>
        <w:tblW w:w="8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
      <w:tblGrid>
        <w:gridCol w:w="1123"/>
        <w:gridCol w:w="4996"/>
        <w:gridCol w:w="2721"/>
      </w:tblGrid>
      <w:tr>
        <w:tblPrEx>
          <w:tblW w:w="8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Ex>
        <w:trPr>
          <w:trHeight w:val="167"/>
          <w:jc w:val="center"/>
        </w:trPr>
        <w:tc>
          <w:tcPr>
            <w:tcW w:w="112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B</w:t>
            </w:r>
          </w:p>
        </w:tc>
        <w:tc>
          <w:tcPr>
            <w:tcW w:w="499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同主族元素所表现的性质</w:t>
            </w:r>
          </w:p>
        </w:tc>
        <w:tc>
          <w:tcPr>
            <w:tcW w:w="272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矛盾只有普遍性无特殊性</w:t>
            </w:r>
          </w:p>
        </w:tc>
      </w:tr>
      <w:tr>
        <w:tblPrEx>
          <w:tblW w:w="8840" w:type="dxa"/>
          <w:jc w:val="center"/>
          <w:tblLayout w:type="fixed"/>
          <w:tblCellMar>
            <w:top w:w="120" w:type="dxa"/>
            <w:left w:w="120" w:type="dxa"/>
            <w:bottom w:w="120" w:type="dxa"/>
            <w:right w:w="120" w:type="dxa"/>
          </w:tblCellMar>
        </w:tblPrEx>
        <w:trPr>
          <w:trHeight w:val="430"/>
          <w:jc w:val="center"/>
        </w:trPr>
        <w:tc>
          <w:tcPr>
            <w:tcW w:w="112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C</w:t>
            </w:r>
          </w:p>
        </w:tc>
        <w:tc>
          <w:tcPr>
            <w:tcW w:w="499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NaHCO</w:t>
            </w:r>
            <w:r>
              <w:rPr>
                <w:rFonts w:ascii="Times New Roman" w:eastAsia="宋体" w:hAnsi="Times New Roman" w:cs="Times New Roman"/>
                <w:color w:val="auto"/>
                <w:szCs w:val="21"/>
                <w:vertAlign w:val="subscript"/>
              </w:rPr>
              <w:t>3</w:t>
            </w:r>
            <w:r>
              <w:rPr>
                <w:rFonts w:ascii="Times New Roman" w:eastAsia="宋体" w:hAnsi="Times New Roman" w:cs="Times New Roman"/>
                <w:color w:val="auto"/>
                <w:szCs w:val="21"/>
              </w:rPr>
              <w:t>溶液中既有HCO</w:t>
            </w:r>
            <w:r>
              <w:rPr>
                <w:rFonts w:ascii="Times New Roman" w:eastAsia="宋体" w:hAnsi="Times New Roman" w:cs="Times New Roman"/>
                <w:color w:val="auto"/>
                <w:szCs w:val="21"/>
                <w:vertAlign w:val="subscript"/>
              </w:rPr>
              <w:t>3</w:t>
            </w:r>
            <w:r>
              <w:rPr>
                <w:rFonts w:ascii="Times New Roman" w:eastAsia="宋体" w:hAnsi="Times New Roman" w:cs="Times New Roman"/>
                <w:color w:val="auto"/>
                <w:szCs w:val="21"/>
                <w:vertAlign w:val="superscript"/>
              </w:rPr>
              <w:t>−</w:t>
            </w:r>
            <w:r>
              <w:rPr>
                <w:rFonts w:ascii="Times New Roman" w:hAnsi="Times New Roman" w:cs="Times New Roman"/>
                <w:color w:val="auto"/>
                <w:kern w:val="0"/>
                <w:szCs w:val="21"/>
              </w:rPr>
              <w:drawing>
                <wp:inline distT="0" distB="0" distL="114300" distR="114300">
                  <wp:extent cx="323850" cy="142875"/>
                  <wp:effectExtent l="0" t="0" r="0" b="9525"/>
                  <wp:docPr id="2" name="图片 14" descr="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 descr="106"/>
                          <pic:cNvPicPr>
                            <a:picLocks noChangeAspect="1"/>
                          </pic:cNvPicPr>
                        </pic:nvPicPr>
                        <pic:blipFill>
                          <a:blip xmlns:r="http://schemas.openxmlformats.org/officeDocument/2006/relationships" r:embed="rId11"/>
                          <a:stretch>
                            <a:fillRect/>
                          </a:stretch>
                        </pic:blipFill>
                        <pic:spPr>
                          <a:xfrm>
                            <a:off x="0" y="0"/>
                            <a:ext cx="323850" cy="142875"/>
                          </a:xfrm>
                          <a:prstGeom prst="rect">
                            <a:avLst/>
                          </a:prstGeom>
                          <a:noFill/>
                          <a:ln w="9525">
                            <a:noFill/>
                          </a:ln>
                        </pic:spPr>
                      </pic:pic>
                    </a:graphicData>
                  </a:graphic>
                </wp:inline>
              </w:drawing>
            </w:r>
            <w:r>
              <w:rPr>
                <w:rFonts w:ascii="Times New Roman" w:eastAsia="宋体" w:hAnsi="Times New Roman" w:cs="Times New Roman"/>
                <w:color w:val="auto"/>
                <w:szCs w:val="21"/>
              </w:rPr>
              <w:t>H</w:t>
            </w:r>
            <w:r>
              <w:rPr>
                <w:rFonts w:ascii="Times New Roman" w:eastAsia="宋体" w:hAnsi="Times New Roman" w:cs="Times New Roman"/>
                <w:color w:val="auto"/>
                <w:szCs w:val="21"/>
                <w:vertAlign w:val="superscript"/>
              </w:rPr>
              <w:t>+</w:t>
            </w:r>
            <w:r>
              <w:rPr>
                <w:rFonts w:ascii="Times New Roman" w:eastAsia="宋体" w:hAnsi="Times New Roman" w:cs="Times New Roman"/>
                <w:color w:val="auto"/>
                <w:szCs w:val="21"/>
              </w:rPr>
              <w:t>+CO</w:t>
            </w:r>
            <w:r>
              <w:rPr>
                <w:rFonts w:ascii="Times New Roman" w:eastAsia="宋体" w:hAnsi="Times New Roman" w:cs="Times New Roman"/>
                <w:color w:val="auto"/>
                <w:szCs w:val="21"/>
                <w:vertAlign w:val="subscript"/>
              </w:rPr>
              <w:t>3</w:t>
            </w:r>
            <w:r>
              <w:rPr>
                <w:rFonts w:ascii="Times New Roman" w:eastAsia="宋体" w:hAnsi="Times New Roman" w:cs="Times New Roman"/>
                <w:color w:val="auto"/>
                <w:szCs w:val="21"/>
                <w:vertAlign w:val="superscript"/>
              </w:rPr>
              <w:t>2−</w:t>
            </w:r>
            <w:r>
              <w:rPr>
                <w:rFonts w:ascii="Times New Roman" w:eastAsia="宋体" w:hAnsi="Times New Roman" w:cs="Times New Roman"/>
                <w:color w:val="auto"/>
                <w:szCs w:val="21"/>
              </w:rPr>
              <w:t>的转换关系又有HCO</w:t>
            </w:r>
            <w:r>
              <w:rPr>
                <w:rFonts w:ascii="Times New Roman" w:eastAsia="宋体" w:hAnsi="Times New Roman" w:cs="Times New Roman"/>
                <w:color w:val="auto"/>
                <w:szCs w:val="21"/>
                <w:vertAlign w:val="subscript"/>
              </w:rPr>
              <w:t>3</w:t>
            </w:r>
            <w:r>
              <w:rPr>
                <w:rFonts w:ascii="Times New Roman" w:eastAsia="宋体" w:hAnsi="Times New Roman" w:cs="Times New Roman"/>
                <w:color w:val="auto"/>
                <w:szCs w:val="21"/>
                <w:vertAlign w:val="superscript"/>
              </w:rPr>
              <w:t>−</w:t>
            </w:r>
            <w:r>
              <w:rPr>
                <w:rFonts w:ascii="Times New Roman" w:eastAsia="宋体" w:hAnsi="Times New Roman" w:cs="Times New Roman"/>
                <w:color w:val="auto"/>
                <w:szCs w:val="21"/>
              </w:rPr>
              <w:t>+H</w:t>
            </w:r>
            <w:r>
              <w:rPr>
                <w:rFonts w:ascii="Times New Roman" w:eastAsia="宋体" w:hAnsi="Times New Roman" w:cs="Times New Roman"/>
                <w:color w:val="auto"/>
                <w:szCs w:val="21"/>
                <w:vertAlign w:val="subscript"/>
              </w:rPr>
              <w:t>2</w:t>
            </w:r>
            <w:r>
              <w:rPr>
                <w:rFonts w:ascii="Times New Roman" w:eastAsia="宋体" w:hAnsi="Times New Roman" w:cs="Times New Roman"/>
                <w:color w:val="auto"/>
                <w:szCs w:val="21"/>
              </w:rPr>
              <w:t>O</w:t>
            </w:r>
            <w:r>
              <w:rPr>
                <w:rFonts w:ascii="Times New Roman" w:hAnsi="Times New Roman" w:cs="Times New Roman"/>
                <w:color w:val="auto"/>
                <w:kern w:val="0"/>
                <w:szCs w:val="21"/>
              </w:rPr>
              <w:drawing>
                <wp:inline distT="0" distB="0" distL="114300" distR="114300">
                  <wp:extent cx="323850" cy="142875"/>
                  <wp:effectExtent l="0" t="0" r="0" b="9525"/>
                  <wp:docPr id="3" name="图片 14" descr="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4" descr="106"/>
                          <pic:cNvPicPr>
                            <a:picLocks noChangeAspect="1"/>
                          </pic:cNvPicPr>
                        </pic:nvPicPr>
                        <pic:blipFill>
                          <a:blip xmlns:r="http://schemas.openxmlformats.org/officeDocument/2006/relationships" r:embed="rId11"/>
                          <a:stretch>
                            <a:fillRect/>
                          </a:stretch>
                        </pic:blipFill>
                        <pic:spPr>
                          <a:xfrm>
                            <a:off x="0" y="0"/>
                            <a:ext cx="323850" cy="142875"/>
                          </a:xfrm>
                          <a:prstGeom prst="rect">
                            <a:avLst/>
                          </a:prstGeom>
                          <a:noFill/>
                          <a:ln w="9525">
                            <a:noFill/>
                          </a:ln>
                        </pic:spPr>
                      </pic:pic>
                    </a:graphicData>
                  </a:graphic>
                </wp:inline>
              </w:drawing>
            </w:r>
            <w:r>
              <w:rPr>
                <w:rFonts w:ascii="Times New Roman" w:eastAsia="宋体" w:hAnsi="Times New Roman" w:cs="Times New Roman"/>
                <w:color w:val="auto"/>
                <w:szCs w:val="21"/>
              </w:rPr>
              <w:t>HCO</w:t>
            </w:r>
            <w:r>
              <w:rPr>
                <w:rFonts w:ascii="Times New Roman" w:eastAsia="宋体" w:hAnsi="Times New Roman" w:cs="Times New Roman"/>
                <w:color w:val="auto"/>
                <w:szCs w:val="21"/>
                <w:vertAlign w:val="subscript"/>
              </w:rPr>
              <w:t>3</w:t>
            </w:r>
            <w:r>
              <w:rPr>
                <w:rFonts w:ascii="Times New Roman" w:eastAsia="宋体" w:hAnsi="Times New Roman" w:cs="Times New Roman"/>
                <w:color w:val="auto"/>
                <w:szCs w:val="21"/>
                <w:vertAlign w:val="superscript"/>
              </w:rPr>
              <w:t>−</w:t>
            </w:r>
            <w:r>
              <w:rPr>
                <w:rFonts w:ascii="Times New Roman" w:eastAsia="宋体" w:hAnsi="Times New Roman" w:cs="Times New Roman"/>
                <w:color w:val="auto"/>
                <w:szCs w:val="21"/>
              </w:rPr>
              <w:t>+OH</w:t>
            </w:r>
            <w:r>
              <w:rPr>
                <w:rFonts w:ascii="Times New Roman" w:eastAsia="宋体" w:hAnsi="Times New Roman" w:cs="Times New Roman"/>
                <w:color w:val="auto"/>
                <w:szCs w:val="21"/>
                <w:vertAlign w:val="superscript"/>
              </w:rPr>
              <w:t>−</w:t>
            </w:r>
            <w:r>
              <w:rPr>
                <w:rFonts w:ascii="Times New Roman" w:eastAsia="宋体" w:hAnsi="Times New Roman" w:cs="Times New Roman"/>
                <w:color w:val="auto"/>
                <w:szCs w:val="21"/>
              </w:rPr>
              <w:t>的转换关系</w:t>
            </w:r>
          </w:p>
        </w:tc>
        <w:tc>
          <w:tcPr>
            <w:tcW w:w="272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对立统一</w:t>
            </w:r>
          </w:p>
        </w:tc>
      </w:tr>
      <w:tr>
        <w:tblPrEx>
          <w:tblW w:w="8840" w:type="dxa"/>
          <w:jc w:val="center"/>
          <w:tblLayout w:type="fixed"/>
          <w:tblCellMar>
            <w:top w:w="120" w:type="dxa"/>
            <w:left w:w="120" w:type="dxa"/>
            <w:bottom w:w="120" w:type="dxa"/>
            <w:right w:w="120" w:type="dxa"/>
          </w:tblCellMar>
        </w:tblPrEx>
        <w:trPr>
          <w:trHeight w:val="483"/>
          <w:jc w:val="center"/>
        </w:trPr>
        <w:tc>
          <w:tcPr>
            <w:tcW w:w="112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D</w:t>
            </w:r>
          </w:p>
        </w:tc>
        <w:tc>
          <w:tcPr>
            <w:tcW w:w="499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苯硝化时生成硝基苯而甲苯硝化时生成三硝基甲苯</w:t>
            </w:r>
            <w:r>
              <w:rPr>
                <w:rFonts w:ascii="宋体" w:eastAsia="宋体" w:hAnsi="宋体" w:cs="宋体" w:hint="eastAsia"/>
                <w:color w:val="auto"/>
                <w:szCs w:val="21"/>
              </w:rPr>
              <w:t>，甲苯能被酸性高锰酸钾氧化为苯甲酸</w:t>
            </w:r>
          </w:p>
        </w:tc>
        <w:tc>
          <w:tcPr>
            <w:tcW w:w="272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auto"/>
              <w:spacing w:line="360" w:lineRule="auto"/>
              <w:contextualSpacing/>
              <w:jc w:val="center"/>
              <w:textAlignment w:val="center"/>
              <w:rPr>
                <w:color w:val="auto"/>
                <w:szCs w:val="21"/>
              </w:rPr>
            </w:pPr>
            <w:r>
              <w:rPr>
                <w:rFonts w:ascii="Times New Roman" w:eastAsia="宋体" w:hAnsi="Times New Roman" w:cs="Times New Roman"/>
                <w:color w:val="auto"/>
                <w:szCs w:val="21"/>
              </w:rPr>
              <w:t>相互影响</w:t>
            </w:r>
          </w:p>
        </w:tc>
      </w:tr>
    </w:tbl>
    <w:p>
      <w:pPr>
        <w:shd w:val="clear" w:color="auto" w:fill="auto"/>
        <w:spacing w:line="360" w:lineRule="auto"/>
        <w:contextualSpacing/>
        <w:jc w:val="left"/>
        <w:textAlignment w:val="center"/>
        <w:rPr>
          <w:color w:val="auto"/>
          <w:szCs w:val="21"/>
        </w:rPr>
      </w:pPr>
      <w:r>
        <w:rPr>
          <w:rFonts w:ascii="Times New Roman" w:eastAsia="宋体" w:hAnsi="Times New Roman" w:cs="Times New Roman"/>
          <w:color w:val="auto"/>
          <w:szCs w:val="21"/>
        </w:rPr>
        <w:t>【答案】B</w:t>
      </w:r>
    </w:p>
    <w:p>
      <w:pPr>
        <w:shd w:val="clear" w:color="auto" w:fill="auto"/>
        <w:spacing w:line="360" w:lineRule="auto"/>
        <w:contextualSpacing/>
        <w:jc w:val="left"/>
        <w:textAlignment w:val="center"/>
        <w:rPr>
          <w:color w:val="auto"/>
          <w:szCs w:val="21"/>
        </w:rPr>
      </w:pPr>
      <w:r>
        <w:rPr>
          <w:rFonts w:ascii="Times New Roman" w:eastAsia="宋体" w:hAnsi="Times New Roman" w:cs="Times New Roman"/>
          <w:color w:val="auto"/>
          <w:szCs w:val="21"/>
        </w:rPr>
        <w:t>【解析】A、“水滴石穿”是指石头在水滴或雨滴的长期侵蚀作用下发生了的物理变化和化学变化而溶解，从而使石头穿孔,故A符合；B．同主族元素所表现的性质体现了矛盾既有普遍性也有特殊性，例如同主族元素的最高正化合价相同，但是氧和氟没有正价，故B不符合；C．NaHCO</w:t>
      </w:r>
      <w:r>
        <w:rPr>
          <w:rFonts w:ascii="Times New Roman" w:eastAsia="宋体" w:hAnsi="Times New Roman" w:cs="Times New Roman"/>
          <w:color w:val="auto"/>
          <w:szCs w:val="21"/>
          <w:vertAlign w:val="subscript"/>
        </w:rPr>
        <w:t>3</w:t>
      </w:r>
      <w:r>
        <w:rPr>
          <w:rFonts w:ascii="Times New Roman" w:eastAsia="宋体" w:hAnsi="Times New Roman" w:cs="Times New Roman"/>
          <w:color w:val="auto"/>
          <w:szCs w:val="21"/>
        </w:rPr>
        <w:t>溶液中HCO</w:t>
      </w:r>
      <w:r>
        <w:rPr>
          <w:rFonts w:ascii="Times New Roman" w:eastAsia="宋体" w:hAnsi="Times New Roman" w:cs="Times New Roman"/>
          <w:color w:val="auto"/>
          <w:szCs w:val="21"/>
          <w:vertAlign w:val="subscript"/>
        </w:rPr>
        <w:t>3</w:t>
      </w:r>
      <w:r>
        <w:rPr>
          <w:rFonts w:ascii="Times New Roman" w:eastAsia="宋体" w:hAnsi="Times New Roman" w:cs="Times New Roman"/>
          <w:color w:val="auto"/>
          <w:szCs w:val="21"/>
          <w:vertAlign w:val="superscript"/>
        </w:rPr>
        <w:t>−</w:t>
      </w:r>
      <w:r>
        <w:rPr>
          <w:rFonts w:ascii="Times New Roman" w:eastAsia="宋体" w:hAnsi="Times New Roman" w:cs="Times New Roman"/>
          <w:color w:val="auto"/>
          <w:szCs w:val="21"/>
        </w:rPr>
        <w:t>既发生电离：HCO</w:t>
      </w:r>
      <w:r>
        <w:rPr>
          <w:rFonts w:ascii="Times New Roman" w:eastAsia="宋体" w:hAnsi="Times New Roman" w:cs="Times New Roman"/>
          <w:color w:val="auto"/>
          <w:szCs w:val="21"/>
          <w:vertAlign w:val="subscript"/>
        </w:rPr>
        <w:t>3</w:t>
      </w:r>
      <w:r>
        <w:rPr>
          <w:rFonts w:ascii="Times New Roman" w:eastAsia="宋体" w:hAnsi="Times New Roman" w:cs="Times New Roman"/>
          <w:color w:val="auto"/>
          <w:szCs w:val="21"/>
          <w:vertAlign w:val="superscript"/>
        </w:rPr>
        <w:t>−</w:t>
      </w:r>
      <w:r>
        <w:rPr>
          <w:rFonts w:ascii="Times New Roman" w:hAnsi="Times New Roman" w:cs="Times New Roman"/>
          <w:color w:val="auto"/>
          <w:kern w:val="0"/>
          <w:szCs w:val="21"/>
        </w:rPr>
        <w:drawing>
          <wp:inline distT="0" distB="0" distL="114300" distR="114300">
            <wp:extent cx="323850" cy="142875"/>
            <wp:effectExtent l="0" t="0" r="0" b="9525"/>
            <wp:docPr id="1" name="图片 14" descr="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4" descr="106"/>
                    <pic:cNvPicPr>
                      <a:picLocks noChangeAspect="1"/>
                    </pic:cNvPicPr>
                  </pic:nvPicPr>
                  <pic:blipFill>
                    <a:blip xmlns:r="http://schemas.openxmlformats.org/officeDocument/2006/relationships" r:embed="rId11"/>
                    <a:stretch>
                      <a:fillRect/>
                    </a:stretch>
                  </pic:blipFill>
                  <pic:spPr>
                    <a:xfrm>
                      <a:off x="0" y="0"/>
                      <a:ext cx="323850" cy="142875"/>
                    </a:xfrm>
                    <a:prstGeom prst="rect">
                      <a:avLst/>
                    </a:prstGeom>
                    <a:noFill/>
                    <a:ln w="9525">
                      <a:noFill/>
                    </a:ln>
                  </pic:spPr>
                </pic:pic>
              </a:graphicData>
            </a:graphic>
          </wp:inline>
        </w:drawing>
      </w:r>
      <w:r>
        <w:rPr>
          <w:rFonts w:ascii="Times New Roman" w:eastAsia="宋体" w:hAnsi="Times New Roman" w:cs="Times New Roman"/>
          <w:color w:val="auto"/>
          <w:szCs w:val="21"/>
        </w:rPr>
        <w:t>H</w:t>
      </w:r>
      <w:r>
        <w:rPr>
          <w:rFonts w:ascii="Times New Roman" w:eastAsia="宋体" w:hAnsi="Times New Roman" w:cs="Times New Roman"/>
          <w:color w:val="auto"/>
          <w:szCs w:val="21"/>
          <w:vertAlign w:val="superscript"/>
        </w:rPr>
        <w:t>+</w:t>
      </w:r>
      <w:r>
        <w:rPr>
          <w:rFonts w:ascii="Times New Roman" w:eastAsia="宋体" w:hAnsi="Times New Roman" w:cs="Times New Roman"/>
          <w:color w:val="auto"/>
          <w:szCs w:val="21"/>
        </w:rPr>
        <w:t>+CO</w:t>
      </w:r>
      <w:r>
        <w:rPr>
          <w:rFonts w:ascii="Times New Roman" w:eastAsia="宋体" w:hAnsi="Times New Roman" w:cs="Times New Roman"/>
          <w:color w:val="auto"/>
          <w:szCs w:val="21"/>
          <w:vertAlign w:val="subscript"/>
        </w:rPr>
        <w:t>3</w:t>
      </w:r>
      <w:r>
        <w:rPr>
          <w:rFonts w:ascii="Times New Roman" w:eastAsia="宋体" w:hAnsi="Times New Roman" w:cs="Times New Roman"/>
          <w:color w:val="auto"/>
          <w:szCs w:val="21"/>
          <w:vertAlign w:val="superscript"/>
        </w:rPr>
        <w:t>2−</w:t>
      </w:r>
      <w:r>
        <w:rPr>
          <w:rFonts w:ascii="Times New Roman" w:eastAsia="宋体" w:hAnsi="Times New Roman" w:cs="Times New Roman"/>
          <w:color w:val="auto"/>
          <w:szCs w:val="21"/>
        </w:rPr>
        <w:t>，也发生水解：HCO</w:t>
      </w:r>
      <w:r>
        <w:rPr>
          <w:rFonts w:ascii="Times New Roman" w:eastAsia="宋体" w:hAnsi="Times New Roman" w:cs="Times New Roman"/>
          <w:color w:val="auto"/>
          <w:szCs w:val="21"/>
          <w:vertAlign w:val="subscript"/>
        </w:rPr>
        <w:t>3</w:t>
      </w:r>
      <w:r>
        <w:rPr>
          <w:rFonts w:ascii="Times New Roman" w:eastAsia="宋体" w:hAnsi="Times New Roman" w:cs="Times New Roman"/>
          <w:color w:val="auto"/>
          <w:szCs w:val="21"/>
          <w:vertAlign w:val="superscript"/>
        </w:rPr>
        <w:t>−</w:t>
      </w:r>
      <w:r>
        <w:rPr>
          <w:rFonts w:ascii="Times New Roman" w:eastAsia="宋体" w:hAnsi="Times New Roman" w:cs="Times New Roman"/>
          <w:color w:val="auto"/>
          <w:szCs w:val="21"/>
        </w:rPr>
        <w:t>+H</w:t>
      </w:r>
      <w:r>
        <w:rPr>
          <w:rFonts w:ascii="Times New Roman" w:eastAsia="宋体" w:hAnsi="Times New Roman" w:cs="Times New Roman"/>
          <w:color w:val="auto"/>
          <w:szCs w:val="21"/>
          <w:vertAlign w:val="subscript"/>
        </w:rPr>
        <w:t>2</w:t>
      </w:r>
      <w:r>
        <w:rPr>
          <w:rFonts w:ascii="Times New Roman" w:eastAsia="宋体" w:hAnsi="Times New Roman" w:cs="Times New Roman"/>
          <w:color w:val="auto"/>
          <w:szCs w:val="21"/>
        </w:rPr>
        <w:t>O</w:t>
      </w:r>
      <w:r>
        <w:rPr>
          <w:rFonts w:ascii="Times New Roman" w:hAnsi="Times New Roman" w:cs="Times New Roman"/>
          <w:color w:val="auto"/>
          <w:kern w:val="0"/>
          <w:szCs w:val="21"/>
        </w:rPr>
        <w:drawing>
          <wp:inline distT="0" distB="0" distL="114300" distR="114300">
            <wp:extent cx="323850" cy="142875"/>
            <wp:effectExtent l="0" t="0" r="0" b="9525"/>
            <wp:docPr id="34" name="图片 14" descr="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4" descr="106"/>
                    <pic:cNvPicPr>
                      <a:picLocks noChangeAspect="1"/>
                    </pic:cNvPicPr>
                  </pic:nvPicPr>
                  <pic:blipFill>
                    <a:blip xmlns:r="http://schemas.openxmlformats.org/officeDocument/2006/relationships" r:embed="rId11"/>
                    <a:stretch>
                      <a:fillRect/>
                    </a:stretch>
                  </pic:blipFill>
                  <pic:spPr>
                    <a:xfrm>
                      <a:off x="0" y="0"/>
                      <a:ext cx="323850" cy="142875"/>
                    </a:xfrm>
                    <a:prstGeom prst="rect">
                      <a:avLst/>
                    </a:prstGeom>
                    <a:noFill/>
                    <a:ln w="9525">
                      <a:noFill/>
                    </a:ln>
                  </pic:spPr>
                </pic:pic>
              </a:graphicData>
            </a:graphic>
          </wp:inline>
        </w:drawing>
      </w:r>
      <w:r>
        <w:rPr>
          <w:rFonts w:ascii="Times New Roman" w:eastAsia="宋体" w:hAnsi="Times New Roman" w:cs="Times New Roman"/>
          <w:color w:val="auto"/>
          <w:szCs w:val="21"/>
        </w:rPr>
        <w:t>HCO</w:t>
      </w:r>
      <w:r>
        <w:rPr>
          <w:rFonts w:ascii="Times New Roman" w:eastAsia="宋体" w:hAnsi="Times New Roman" w:cs="Times New Roman"/>
          <w:color w:val="auto"/>
          <w:szCs w:val="21"/>
          <w:vertAlign w:val="subscript"/>
        </w:rPr>
        <w:t>3</w:t>
      </w:r>
      <w:r>
        <w:rPr>
          <w:rFonts w:ascii="Times New Roman" w:eastAsia="宋体" w:hAnsi="Times New Roman" w:cs="Times New Roman"/>
          <w:color w:val="auto"/>
          <w:szCs w:val="21"/>
          <w:vertAlign w:val="superscript"/>
        </w:rPr>
        <w:t>−</w:t>
      </w:r>
      <w:r>
        <w:rPr>
          <w:rFonts w:ascii="Times New Roman" w:eastAsia="宋体" w:hAnsi="Times New Roman" w:cs="Times New Roman"/>
          <w:color w:val="auto"/>
          <w:szCs w:val="21"/>
        </w:rPr>
        <w:t>+OH</w:t>
      </w:r>
      <w:r>
        <w:rPr>
          <w:rFonts w:ascii="Times New Roman" w:eastAsia="宋体" w:hAnsi="Times New Roman" w:cs="Times New Roman"/>
          <w:color w:val="auto"/>
          <w:szCs w:val="21"/>
          <w:vertAlign w:val="superscript"/>
        </w:rPr>
        <w:t>−</w:t>
      </w:r>
      <w:r>
        <w:rPr>
          <w:rFonts w:ascii="Times New Roman" w:eastAsia="宋体" w:hAnsi="Times New Roman" w:cs="Times New Roman"/>
          <w:color w:val="auto"/>
          <w:szCs w:val="21"/>
        </w:rPr>
        <w:t xml:space="preserve">，能体现对立统一，故C符合；D. </w:t>
      </w:r>
      <w:r>
        <w:rPr>
          <w:rFonts w:ascii="宋体" w:eastAsia="宋体" w:hAnsi="宋体" w:cs="宋体" w:hint="eastAsia"/>
          <w:color w:val="auto"/>
          <w:szCs w:val="21"/>
        </w:rPr>
        <w:t>苯硝化时生成硝基苯而甲苯硝化时生成三硝基甲苯，这体现了甲基对苯环的影响，甲基的邻对位活泼，甲苯能被酸性高锰酸钾氧化为苯甲酸，体现了苯环对侧链的影响</w:t>
      </w:r>
      <w:r>
        <w:rPr>
          <w:rFonts w:ascii="Times New Roman" w:eastAsia="宋体" w:hAnsi="Times New Roman" w:cs="Times New Roman"/>
          <w:color w:val="auto"/>
          <w:szCs w:val="21"/>
        </w:rPr>
        <w:t>，故D符合；答案选B。</w:t>
      </w:r>
    </w:p>
    <w:p>
      <w:pPr>
        <w:shd w:val="clear" w:color="auto" w:fill="auto"/>
        <w:spacing w:line="360" w:lineRule="auto"/>
        <w:contextualSpacing/>
        <w:rPr>
          <w:color w:val="auto"/>
        </w:rPr>
      </w:pPr>
      <w:r>
        <w:rPr>
          <w:rFonts w:ascii="Times New Roman" w:eastAsia="宋体" w:hAnsi="Times New Roman" w:cs="Times New Roman"/>
          <w:color w:val="auto"/>
          <w:szCs w:val="21"/>
        </w:rPr>
        <w:t>3</w:t>
      </w:r>
      <w:r>
        <w:rPr>
          <w:rFonts w:ascii="Times New Roman" w:hAnsi="Times New Roman"/>
          <w:color w:val="auto"/>
        </w:rPr>
        <w:t>．</w:t>
      </w:r>
      <w:r>
        <w:rPr>
          <w:rFonts w:ascii="Times New Roman" w:hAnsi="Times New Roman" w:cs="Times New Roman"/>
          <w:color w:val="auto"/>
        </w:rPr>
        <w:t>工业上生产高纯铜的主要过程如下</w:t>
      </w:r>
      <w:r>
        <w:rPr>
          <w:rFonts w:ascii="Times New Roman" w:hAnsi="Times New Roman" w:cs="Times New Roman" w:hint="eastAsia"/>
          <w:color w:val="auto"/>
        </w:rPr>
        <w:t>图</w:t>
      </w:r>
      <w:r>
        <w:rPr>
          <w:rFonts w:ascii="Times New Roman" w:hAnsi="Times New Roman" w:cs="Times New Roman"/>
          <w:color w:val="auto"/>
        </w:rPr>
        <w:t>所示。</w:t>
      </w:r>
    </w:p>
    <w:p>
      <w:pPr>
        <w:shd w:val="clear" w:color="auto" w:fill="auto"/>
        <w:spacing w:line="360" w:lineRule="auto"/>
        <w:contextualSpacing/>
        <w:jc w:val="center"/>
        <w:rPr>
          <w:color w:val="auto"/>
        </w:rPr>
      </w:pPr>
      <w:r>
        <w:rPr>
          <w:rFonts w:ascii="Times New Roman" w:hAnsi="Times New Roman" w:cs="Times New Roman"/>
          <w:color w:val="auto"/>
        </w:rPr>
        <w:drawing>
          <wp:inline distT="0" distB="0" distL="114300" distR="114300">
            <wp:extent cx="3495675" cy="974725"/>
            <wp:effectExtent l="0" t="0" r="9525" b="15875"/>
            <wp:docPr id="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6"/>
                    <pic:cNvPicPr>
                      <a:picLocks noChangeAspect="1"/>
                    </pic:cNvPicPr>
                  </pic:nvPicPr>
                  <pic:blipFill>
                    <a:blip xmlns:r="http://schemas.openxmlformats.org/officeDocument/2006/relationships" r:embed="rId12"/>
                    <a:stretch>
                      <a:fillRect/>
                    </a:stretch>
                  </pic:blipFill>
                  <pic:spPr>
                    <a:xfrm>
                      <a:off x="0" y="0"/>
                      <a:ext cx="3504415" cy="977265"/>
                    </a:xfrm>
                    <a:prstGeom prst="rect">
                      <a:avLst/>
                    </a:prstGeom>
                    <a:noFill/>
                    <a:ln>
                      <a:noFill/>
                    </a:ln>
                  </pic:spPr>
                </pic:pic>
              </a:graphicData>
            </a:graphic>
          </wp:inline>
        </w:drawing>
      </w:r>
    </w:p>
    <w:p>
      <w:pPr>
        <w:shd w:val="clear" w:color="auto" w:fill="auto"/>
        <w:spacing w:line="360" w:lineRule="auto"/>
        <w:ind w:firstLine="480" w:firstLineChars="200"/>
        <w:contextualSpacing/>
        <w:rPr>
          <w:color w:val="auto"/>
        </w:rPr>
      </w:pPr>
      <w:r>
        <w:rPr>
          <w:rFonts w:ascii="Times New Roman" w:hAnsi="Times New Roman" w:cs="Times New Roman"/>
          <w:color w:val="auto"/>
        </w:rPr>
        <w:t>下列说法错误的是</w:t>
      </w:r>
    </w:p>
    <w:p>
      <w:pPr>
        <w:shd w:val="clear" w:color="auto" w:fill="auto"/>
        <w:spacing w:line="360" w:lineRule="auto"/>
        <w:ind w:firstLine="480" w:firstLineChars="200"/>
        <w:contextualSpacing/>
        <w:jc w:val="left"/>
        <w:textAlignment w:val="center"/>
        <w:rPr>
          <w:color w:val="auto"/>
          <w:szCs w:val="21"/>
        </w:rPr>
      </w:pPr>
      <w:r>
        <w:rPr>
          <w:rFonts w:ascii="Times New Roman" w:eastAsia="宋体" w:hAnsi="Times New Roman" w:cs="Times New Roman"/>
          <w:color w:val="auto"/>
          <w:szCs w:val="21"/>
        </w:rPr>
        <w:t>A．制备冰铜的反应方程式为2</w:t>
      </w:r>
      <w:r>
        <w:rPr>
          <w:rFonts w:ascii="Times New Roman" w:eastAsia="宋体" w:hAnsi="Times New Roman" w:cs="Times New Roman"/>
          <w:bCs/>
          <w:color w:val="auto"/>
          <w:szCs w:val="21"/>
        </w:rPr>
        <w:t>CuFeS</w:t>
      </w:r>
      <w:r>
        <w:rPr>
          <w:rFonts w:ascii="Times New Roman" w:eastAsia="宋体" w:hAnsi="Times New Roman" w:cs="Times New Roman"/>
          <w:bCs/>
          <w:color w:val="auto"/>
          <w:szCs w:val="21"/>
          <w:vertAlign w:val="subscript"/>
        </w:rPr>
        <w:t>2</w:t>
      </w:r>
      <w:r>
        <w:rPr>
          <w:rFonts w:ascii="Times New Roman" w:eastAsia="宋体" w:hAnsi="Times New Roman" w:cs="Times New Roman"/>
          <w:bCs/>
          <w:color w:val="auto"/>
          <w:szCs w:val="21"/>
        </w:rPr>
        <w:t>+</w:t>
      </w:r>
      <w:r>
        <w:rPr>
          <w:rFonts w:ascii="Times New Roman" w:eastAsia="宋体" w:hAnsi="Times New Roman" w:cs="Times New Roman" w:hint="eastAsia"/>
          <w:bCs/>
          <w:color w:val="auto"/>
          <w:szCs w:val="21"/>
        </w:rPr>
        <w:t>4</w:t>
      </w:r>
      <w:r>
        <w:rPr>
          <w:rFonts w:ascii="Times New Roman" w:eastAsia="宋体" w:hAnsi="Times New Roman" w:cs="Times New Roman"/>
          <w:bCs/>
          <w:color w:val="auto"/>
          <w:szCs w:val="21"/>
        </w:rPr>
        <w:t>O</w:t>
      </w:r>
      <w:r>
        <w:rPr>
          <w:rFonts w:ascii="Times New Roman" w:eastAsia="宋体" w:hAnsi="Times New Roman" w:cs="Times New Roman"/>
          <w:bCs/>
          <w:color w:val="auto"/>
          <w:szCs w:val="21"/>
          <w:vertAlign w:val="subscript"/>
        </w:rPr>
        <w:t>2</w:t>
      </w:r>
      <w:r>
        <w:rPr>
          <w:rFonts w:ascii="Times New Roman" w:hAnsi="Times New Roman" w:cs="Times New Roman"/>
          <w:color w:val="auto"/>
        </w:rPr>
        <w:drawing>
          <wp:inline distT="0" distB="0" distL="114300" distR="114300">
            <wp:extent cx="304800" cy="257175"/>
            <wp:effectExtent l="0" t="0" r="0" b="9525"/>
            <wp:docPr id="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1"/>
                    <pic:cNvPicPr>
                      <a:picLocks noChangeAspect="1"/>
                    </pic:cNvPicPr>
                  </pic:nvPicPr>
                  <pic:blipFill>
                    <a:blip xmlns:r="http://schemas.openxmlformats.org/officeDocument/2006/relationships" r:embed="rId13"/>
                    <a:stretch>
                      <a:fillRect/>
                    </a:stretch>
                  </pic:blipFill>
                  <pic:spPr>
                    <a:xfrm>
                      <a:off x="0" y="0"/>
                      <a:ext cx="304800" cy="257175"/>
                    </a:xfrm>
                    <a:prstGeom prst="rect">
                      <a:avLst/>
                    </a:prstGeom>
                    <a:noFill/>
                    <a:ln>
                      <a:noFill/>
                    </a:ln>
                  </pic:spPr>
                </pic:pic>
              </a:graphicData>
            </a:graphic>
          </wp:inline>
        </w:drawing>
      </w:r>
      <w:r>
        <w:rPr>
          <w:rFonts w:ascii="Times New Roman" w:eastAsia="宋体" w:hAnsi="Times New Roman" w:cs="Times New Roman"/>
          <w:bCs/>
          <w:color w:val="auto"/>
          <w:szCs w:val="21"/>
        </w:rPr>
        <w:t>Cu</w:t>
      </w:r>
      <w:r>
        <w:rPr>
          <w:rFonts w:ascii="Times New Roman" w:eastAsia="宋体" w:hAnsi="Times New Roman" w:cs="Times New Roman"/>
          <w:bCs/>
          <w:color w:val="auto"/>
          <w:szCs w:val="21"/>
          <w:vertAlign w:val="subscript"/>
        </w:rPr>
        <w:t>2</w:t>
      </w:r>
      <w:r>
        <w:rPr>
          <w:rFonts w:ascii="Times New Roman" w:eastAsia="宋体" w:hAnsi="Times New Roman" w:cs="Times New Roman"/>
          <w:bCs/>
          <w:color w:val="auto"/>
          <w:szCs w:val="21"/>
        </w:rPr>
        <w:t>S+2FeO+</w:t>
      </w:r>
      <w:r>
        <w:rPr>
          <w:rFonts w:ascii="Times New Roman" w:eastAsia="宋体" w:hAnsi="Times New Roman" w:cs="Times New Roman" w:hint="eastAsia"/>
          <w:bCs/>
          <w:color w:val="auto"/>
          <w:szCs w:val="21"/>
        </w:rPr>
        <w:t>3</w:t>
      </w:r>
      <w:r>
        <w:rPr>
          <w:rFonts w:ascii="Times New Roman" w:eastAsia="宋体" w:hAnsi="Times New Roman" w:cs="Times New Roman"/>
          <w:bCs/>
          <w:color w:val="auto"/>
          <w:szCs w:val="21"/>
        </w:rPr>
        <w:t>SO</w:t>
      </w:r>
      <w:r>
        <w:rPr>
          <w:rFonts w:ascii="Times New Roman" w:eastAsia="宋体" w:hAnsi="Times New Roman" w:cs="Times New Roman"/>
          <w:bCs/>
          <w:color w:val="auto"/>
          <w:szCs w:val="21"/>
          <w:vertAlign w:val="subscript"/>
        </w:rPr>
        <w:t>2</w:t>
      </w:r>
    </w:p>
    <w:p>
      <w:pPr>
        <w:shd w:val="clear" w:color="auto" w:fill="auto"/>
        <w:spacing w:line="360" w:lineRule="auto"/>
        <w:ind w:firstLine="480" w:firstLineChars="200"/>
        <w:contextualSpacing/>
        <w:jc w:val="left"/>
        <w:textAlignment w:val="center"/>
        <w:rPr>
          <w:color w:val="auto"/>
          <w:szCs w:val="21"/>
          <w:vertAlign w:val="superscript"/>
        </w:rPr>
      </w:pPr>
      <w:r>
        <w:rPr>
          <w:rFonts w:ascii="Times New Roman" w:eastAsia="宋体" w:hAnsi="Times New Roman" w:cs="Times New Roman"/>
          <w:color w:val="auto"/>
          <w:szCs w:val="21"/>
        </w:rPr>
        <w:t>B．铜的基态电子排布式为[Ar]4s</w:t>
      </w:r>
      <w:r>
        <w:rPr>
          <w:rFonts w:ascii="Times New Roman" w:eastAsia="宋体" w:hAnsi="Times New Roman" w:cs="Times New Roman"/>
          <w:color w:val="auto"/>
          <w:szCs w:val="21"/>
          <w:vertAlign w:val="superscript"/>
        </w:rPr>
        <w:t>1</w:t>
      </w:r>
    </w:p>
    <w:p>
      <w:pPr>
        <w:shd w:val="clear" w:color="auto" w:fill="auto"/>
        <w:spacing w:line="360" w:lineRule="auto"/>
        <w:ind w:firstLine="480" w:firstLineChars="200"/>
        <w:contextualSpacing/>
        <w:jc w:val="left"/>
        <w:textAlignment w:val="center"/>
        <w:rPr>
          <w:color w:val="auto"/>
          <w:szCs w:val="21"/>
        </w:rPr>
      </w:pPr>
      <w:r>
        <w:rPr>
          <w:rFonts w:ascii="Times New Roman" w:eastAsia="宋体" w:hAnsi="Times New Roman" w:cs="Times New Roman"/>
          <w:color w:val="auto"/>
          <w:szCs w:val="21"/>
        </w:rPr>
        <w:t>C．</w:t>
      </w:r>
      <w:r>
        <w:rPr>
          <w:rFonts w:ascii="Times New Roman" w:hAnsi="Times New Roman" w:cs="Times New Roman"/>
          <w:color w:val="auto"/>
        </w:rPr>
        <w:t>电解精炼铜阴极电极反应式</w:t>
      </w:r>
      <w:r>
        <w:rPr>
          <w:rFonts w:ascii="Times New Roman" w:hAnsi="Times New Roman" w:cs="Times New Roman" w:hint="eastAsia"/>
          <w:color w:val="auto"/>
        </w:rPr>
        <w:t>为</w:t>
      </w:r>
      <w:r>
        <w:rPr>
          <w:rFonts w:ascii="Times New Roman" w:hAnsi="Times New Roman" w:cs="Times New Roman"/>
          <w:color w:val="auto"/>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57b55d2a0b13eee7e9cd60434573c6ab" style="width:1in;height:13.85pt" o:oleicon="f" o:ole="" coordsize="21600,21600" o:preferrelative="t" filled="f" stroked="f">
            <v:stroke joinstyle="miter"/>
            <v:imagedata r:id="rId14" o:title="eqId57b55d2a0b13eee7e9cd60434573c6ab"/>
            <o:lock v:ext="edit" aspectratio="t"/>
            <w10:anchorlock/>
          </v:shape>
          <o:OLEObject Type="Embed" ProgID="Equation.DSMT4" ShapeID="_x0000_i1025" DrawAspect="Content" ObjectID="_1468075725" r:id="rId15"/>
        </w:object>
      </w:r>
    </w:p>
    <w:p>
      <w:pPr>
        <w:shd w:val="clear" w:color="auto" w:fill="auto"/>
        <w:spacing w:line="360" w:lineRule="auto"/>
        <w:ind w:firstLine="480" w:firstLineChars="200"/>
        <w:contextualSpacing/>
        <w:jc w:val="left"/>
        <w:textAlignment w:val="center"/>
        <w:rPr>
          <w:color w:val="auto"/>
          <w:szCs w:val="21"/>
        </w:rPr>
      </w:pPr>
      <w:r>
        <w:rPr>
          <w:rFonts w:ascii="Times New Roman" w:eastAsia="宋体" w:hAnsi="Times New Roman" w:cs="Times New Roman"/>
          <w:color w:val="auto"/>
          <w:szCs w:val="21"/>
        </w:rPr>
        <w:t>D．生产粗铜过程中产生的SO</w:t>
      </w:r>
      <w:r>
        <w:rPr>
          <w:rFonts w:ascii="Times New Roman" w:eastAsia="宋体" w:hAnsi="Times New Roman" w:cs="Times New Roman"/>
          <w:color w:val="auto"/>
          <w:szCs w:val="21"/>
          <w:vertAlign w:val="subscript"/>
        </w:rPr>
        <w:t>2</w:t>
      </w:r>
      <w:r>
        <w:rPr>
          <w:rFonts w:ascii="Times New Roman" w:eastAsia="宋体" w:hAnsi="Times New Roman" w:cs="Times New Roman"/>
          <w:color w:val="auto"/>
          <w:szCs w:val="21"/>
        </w:rPr>
        <w:t>的价层电子对互斥模型为平面三角形</w:t>
      </w:r>
    </w:p>
    <w:p>
      <w:pPr>
        <w:shd w:val="clear" w:color="auto" w:fill="auto"/>
        <w:spacing w:line="360" w:lineRule="auto"/>
        <w:contextualSpacing/>
        <w:jc w:val="left"/>
        <w:textAlignment w:val="center"/>
        <w:rPr>
          <w:color w:val="auto"/>
          <w:szCs w:val="21"/>
        </w:rPr>
      </w:pPr>
      <w:r>
        <w:rPr>
          <w:rFonts w:ascii="Times New Roman" w:eastAsia="宋体" w:hAnsi="Times New Roman" w:cs="Times New Roman"/>
          <w:color w:val="auto"/>
          <w:szCs w:val="21"/>
        </w:rPr>
        <w:t>【答案】B</w:t>
      </w:r>
      <w:r>
        <w:rPr>
          <w:color w:val="auto"/>
          <w:szCs w:val="21"/>
        </w:rPr>
        <w:br/>
      </w:r>
      <w:r>
        <w:rPr>
          <w:color w:val="auto"/>
          <w:szCs w:val="21"/>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https://d.book118.com/916110152125010050</w:t>
        </w:r>
      </w:hyperlink>
    </w:p>
    <w:p>
      <w:pPr>
        <w:shd w:val="clear" w:color="auto" w:fill="auto"/>
        <w:spacing w:line="360" w:lineRule="auto"/>
        <w:contextualSpacing/>
        <w:jc w:val="left"/>
        <w:textAlignment w:val="center"/>
        <w:rPr>
          <w:color w:val="auto"/>
          <w:szCs w:val="21"/>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134" w:bottom="1440" w:left="1134" w:header="851" w:footer="992" w:gutter="0"/>
      <w:pgBorders>
        <w:top w:val="none" w:sz="0" w:space="0" w:color="auto"/>
        <w:left w:val="none" w:sz="0" w:space="0" w:color="auto"/>
        <w:bottom w:val="none" w:sz="0" w:space="0" w:color="auto"/>
        <w:right w:val="none" w:sz="0" w:space="0" w:color="auto"/>
      </w:pgBorders>
      <w:pgNumType w:start="2"/>
      <w:cols w:num="1" w:space="720"/>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4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1</w:t>
    </w:r>
    <w:r>
      <w:fldChar w:fldCharType="end"/>
    </w:r>
  </w:p>
  <w:p>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2</w:t>
    </w:r>
    <w:r>
      <w:fldChar w:fldCharType="end"/>
    </w:r>
  </w:p>
  <w:p>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autoRedefine/>
    <w:qFormat/>
    <w:pPr>
      <w:widowControl w:val="0"/>
      <w:pBdr>
        <w:bottom w:val="single" w:sz="6" w:space="1" w:color="auto"/>
      </w:pBdr>
      <w:tabs>
        <w:tab w:val="center" w:pos="4153"/>
        <w:tab w:val="right" w:pos="8306"/>
      </w:tabs>
      <w:snapToGrid w:val="0"/>
      <w:jc w:val="center"/>
    </w:pPr>
    <w:rPr>
      <w:rFonts w:eastAsia="宋体"/>
      <w:kern w:val="2"/>
      <w:sz w:val="18"/>
      <w:szCs w:val="18"/>
      <w:lang w:eastAsia="zh-CN"/>
    </w:rPr>
  </w:style>
  <w:style w:type="paragraph" w:styleId="Footer">
    <w:name w:val="footer"/>
    <w:basedOn w:val="Normal"/>
    <w:autoRedefine/>
    <w:qFormat/>
    <w:pPr>
      <w:widowControl w:val="0"/>
      <w:tabs>
        <w:tab w:val="center" w:pos="4153"/>
        <w:tab w:val="right" w:pos="8306"/>
      </w:tabs>
      <w:snapToGrid w:val="0"/>
    </w:pPr>
    <w:rPr>
      <w:rFonts w:eastAsia="宋体"/>
      <w:kern w:val="2"/>
      <w:sz w:val="18"/>
      <w:szCs w:val="18"/>
      <w:lang w:eastAsia="zh-CN"/>
    </w:rPr>
  </w:style>
  <w:style w:type="character" w:styleId="PageNumber">
    <w:name w:val="page number"/>
    <w:basedOn w:val="DefaultParagraphFont"/>
    <w:autoRedefine/>
    <w:qFormat/>
  </w:style>
  <w:style w:type="paragraph" w:styleId="BlockText">
    <w:name w:val="Block Text"/>
    <w:basedOn w:val="Normal"/>
    <w:uiPriority w:val="99"/>
    <w:unhideWhenUsed/>
    <w:qFormat/>
    <w:pPr>
      <w:widowControl w:val="0"/>
      <w:spacing w:after="120"/>
      <w:ind w:left="1440" w:right="1440" w:leftChars="700" w:rightChars="700"/>
      <w:jc w:val="both"/>
    </w:pPr>
    <w:rPr>
      <w:rFonts w:eastAsia="宋体"/>
      <w:kern w:val="2"/>
      <w:sz w:val="21"/>
      <w:lang w:eastAsia="zh-CN"/>
    </w:rPr>
  </w:style>
  <w:style w:type="character" w:styleId="Hyperlink">
    <w:name w:val="Hyperlink"/>
    <w:basedOn w:val="DefaultParagraphFont"/>
    <w:uiPriority w:val="99"/>
    <w:semiHidden/>
    <w:unhideWhenUsed/>
    <w:qFormat/>
    <w:rPr>
      <w:color w:val="0000FF"/>
      <w:u w:val="single"/>
    </w:rPr>
  </w:style>
  <w:style w:type="character" w:styleId="Emphasis">
    <w:name w:val="Emphasis"/>
    <w:basedOn w:val="DefaultParagraphFont"/>
    <w:uiPriority w:val="20"/>
    <w:qFormat/>
    <w:rPr>
      <w: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jpeg"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image" Target="media/image5.wmf" /><Relationship Id="rId15" Type="http://schemas.openxmlformats.org/officeDocument/2006/relationships/oleObject" Target="embeddings/oleObject1.bin" /><Relationship Id="rId16" Type="http://schemas.openxmlformats.org/officeDocument/2006/relationships/hyperlink" Target="https://d.book118.com/916110152125010050" TargetMode="External" /><Relationship Id="rId17" Type="http://schemas.openxmlformats.org/officeDocument/2006/relationships/header" Target="header4.xml" /><Relationship Id="rId18" Type="http://schemas.openxmlformats.org/officeDocument/2006/relationships/header" Target="header5.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