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2018-2023年西安高新科技职业学院高职单招（数学／语文／英语）历年常考试题库含答案解析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下列句中加横线的词属意动用法的是（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A.左右皆笑之，以告。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B.冯谖客孟尝君。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C.左右以君贱之也，食以草具。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D.我尝闻少仲尼之闻而轻伯夷之义者。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下列诗人中，诗风苍凉悲壮的是（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A.曹操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B.陶渊明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在《答司马谏议书》中，王安石驳斥司马光指责新法“征利”的观点时，所持的理论依据是（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A.“受命于人主”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B.“举先王之政”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C.“为天下理财”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D.“度义而后动”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下列句子中，画线部分翻译错误的是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915186" cy="2152876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15186" cy="2152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下列作品中，属于记事散文的是（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A.曹禺《日出》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B.郁达夫《故都的秋》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C.茅盾《香市》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D.鲁迅《灯下漫笔》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中国现代小说的奠基人是（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A.沈从文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D.巴金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下列关于《礼记·大同》的表述，不正确的一项是（）。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A.论述了“大同”与“小康”的不同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B.为增强说理气势，多处使用夸张、比喻等修辞手法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C.间接反映了对现实的不满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D.表达了孔子对原始共产主义社会的向往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《再别康桥》是一首（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A.咏物诗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B.借景抒发个人情怀的抒情诗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C.政治抒情诗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D.散文诗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《张中丞传后叙》写张巡“就戮”时，“颜色不乱，阳阳如平常”，这种人物描写方法是（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A.肖像描写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B.行为描写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C.言语描写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D.心理描写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《箱子岩》是一篇（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A.记事散文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B.抒情散文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C.游记散文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D.议论性随笔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李斯的《谏逐客书》选自（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《五代史伶官传序》中，告诫人们要居安思危的警戒性语句是（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A.祸患常积于忽微，智勇多困于所溺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B.满招损，谦得益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C.忧劳可以兴国，逸豫可以亡身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D.盛衰之理，虽曰天命，岂非人事哉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屠格涅夫的成名作是（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A.《罗亭》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B.《猎人笔记》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C.《木木》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https://d.book118.com/916134234230010052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91613423423001005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