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bidi w:val="0"/>
        <w:jc w:val="center"/>
        <w:rPr>
          <w:rFonts w:hint="eastAsia"/>
        </w:rPr>
      </w:pPr>
      <w:bookmarkStart w:id="0" w:name="_Toc13327"/>
      <w:r>
        <w:rPr>
          <w:rFonts w:hint="eastAsia"/>
        </w:rPr>
        <w:t>年产0.5亿支带状疱疹疫苗生产车间工艺设计</w:t>
      </w:r>
      <w:bookmarkEnd w:id="0"/>
    </w:p>
    <w:p>
      <w:pPr>
        <w:rPr>
          <w:rFonts w:hint="eastAsia"/>
        </w:rPr>
      </w:pPr>
    </w:p>
    <w:sdt>
      <w:sdtPr>
        <w:rPr>
          <w:rFonts w:ascii="宋体" w:eastAsia="宋体" w:hAnsi="宋体" w:cstheme="minorBidi"/>
          <w:kern w:val="2"/>
          <w:sz w:val="21"/>
          <w:szCs w:val="24"/>
          <w:lang w:val="en-US" w:eastAsia="zh-CN" w:bidi="ar-SA"/>
        </w:rPr>
        <w:id w:val="147462887"/>
        <w:docPartObj>
          <w:docPartGallery w:val="Table of Contents"/>
          <w:docPartUnique/>
        </w:docPartObj>
        <w15:color w:val="DBDBDB"/>
      </w:sdtPr>
      <w:sdtEndPr>
        <w:rPr>
          <w:rFonts w:ascii="宋体" w:eastAsia="宋体" w:hAnsi="宋体" w:cstheme="minorBidi"/>
          <w:b/>
          <w:kern w:val="2"/>
          <w:sz w:val="21"/>
          <w:szCs w:val="24"/>
          <w:lang w:val="en-US" w:eastAsia="zh-CN" w:bidi="ar-SA"/>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16021" w:history="1">
            <w:r>
              <w:rPr>
                <w:rFonts w:hint="eastAsia"/>
                <w:b/>
              </w:rPr>
              <w:t>摘 要</w:t>
            </w:r>
            <w:r>
              <w:rPr>
                <w:b/>
              </w:rPr>
              <w:tab/>
            </w:r>
            <w:r>
              <w:rPr>
                <w:b/>
              </w:rPr>
              <w:fldChar w:fldCharType="begin"/>
            </w:r>
            <w:r>
              <w:rPr>
                <w:b/>
              </w:rPr>
              <w:instrText xml:space="preserve"> PAGEREF _Toc16021 \h </w:instrText>
            </w:r>
            <w:r>
              <w:rPr>
                <w:b/>
              </w:rPr>
              <w:fldChar w:fldCharType="separate"/>
            </w:r>
            <w:r>
              <w:rPr>
                <w:b/>
              </w:rPr>
              <w:t>3</w:t>
            </w:r>
            <w:r>
              <w:rPr>
                <w:b/>
              </w:rPr>
              <w:fldChar w:fldCharType="end"/>
            </w:r>
          </w:hyperlink>
        </w:p>
        <w:p>
          <w:pPr>
            <w:pStyle w:val="WPSOffice1"/>
            <w:tabs>
              <w:tab w:val="right" w:leader="dot" w:pos="8306"/>
            </w:tabs>
            <w:rPr>
              <w:b/>
            </w:rPr>
          </w:pPr>
          <w:hyperlink w:anchor="_Toc9142" w:history="1">
            <w:r>
              <w:rPr>
                <w:rFonts w:hint="eastAsia"/>
                <w:b/>
              </w:rPr>
              <w:t>前 言</w:t>
            </w:r>
            <w:r>
              <w:rPr>
                <w:b/>
              </w:rPr>
              <w:tab/>
            </w:r>
            <w:r>
              <w:rPr>
                <w:b/>
              </w:rPr>
              <w:fldChar w:fldCharType="begin"/>
            </w:r>
            <w:r>
              <w:rPr>
                <w:b/>
              </w:rPr>
              <w:instrText xml:space="preserve"> PAGEREF _Toc9142 \h </w:instrText>
            </w:r>
            <w:r>
              <w:rPr>
                <w:b/>
              </w:rPr>
              <w:fldChar w:fldCharType="separate"/>
            </w:r>
            <w:r>
              <w:rPr>
                <w:b/>
              </w:rPr>
              <w:t>4</w:t>
            </w:r>
            <w:r>
              <w:rPr>
                <w:b/>
              </w:rPr>
              <w:fldChar w:fldCharType="end"/>
            </w:r>
          </w:hyperlink>
        </w:p>
        <w:p>
          <w:pPr>
            <w:pStyle w:val="WPSOffice1"/>
            <w:tabs>
              <w:tab w:val="right" w:leader="dot" w:pos="8306"/>
            </w:tabs>
            <w:rPr>
              <w:b/>
            </w:rPr>
          </w:pPr>
          <w:hyperlink w:anchor="_Toc19881" w:history="1">
            <w:r>
              <w:rPr>
                <w:rFonts w:hint="eastAsia"/>
                <w:b/>
              </w:rPr>
              <w:t>1 生产工艺设计</w:t>
            </w:r>
            <w:r>
              <w:rPr>
                <w:b/>
              </w:rPr>
              <w:tab/>
            </w:r>
            <w:r>
              <w:rPr>
                <w:b/>
              </w:rPr>
              <w:fldChar w:fldCharType="begin"/>
            </w:r>
            <w:r>
              <w:rPr>
                <w:b/>
              </w:rPr>
              <w:instrText xml:space="preserve"> PAGEREF _Toc19881 \h </w:instrText>
            </w:r>
            <w:r>
              <w:rPr>
                <w:b/>
              </w:rPr>
              <w:fldChar w:fldCharType="separate"/>
            </w:r>
            <w:r>
              <w:rPr>
                <w:b/>
              </w:rPr>
              <w:t>5</w:t>
            </w:r>
            <w:r>
              <w:rPr>
                <w:b/>
              </w:rPr>
              <w:fldChar w:fldCharType="end"/>
            </w:r>
          </w:hyperlink>
        </w:p>
        <w:p>
          <w:pPr>
            <w:pStyle w:val="WPSOffice2"/>
            <w:tabs>
              <w:tab w:val="right" w:leader="dot" w:pos="8306"/>
            </w:tabs>
          </w:pPr>
          <w:hyperlink w:anchor="_Toc19836" w:history="1">
            <w:r>
              <w:rPr>
                <w:rFonts w:hint="eastAsia"/>
              </w:rPr>
              <w:t xml:space="preserve">1.1 </w:t>
            </w:r>
            <w:r>
              <w:rPr>
                <w:rFonts w:hint="eastAsia"/>
                <w:lang w:eastAsia="zh-CN"/>
              </w:rPr>
              <w:t>带状疱疹</w:t>
            </w:r>
            <w:r>
              <w:rPr>
                <w:rFonts w:hint="eastAsia"/>
              </w:rPr>
              <w:t>灭活疫苗的制备方法介绍</w:t>
            </w:r>
            <w:r>
              <w:tab/>
            </w:r>
            <w:r>
              <w:fldChar w:fldCharType="begin"/>
            </w:r>
            <w:r>
              <w:instrText xml:space="preserve"> PAGEREF _Toc19836 \h </w:instrText>
            </w:r>
            <w:r>
              <w:fldChar w:fldCharType="separate"/>
            </w:r>
            <w:r>
              <w:t>5</w:t>
            </w:r>
            <w:r>
              <w:fldChar w:fldCharType="end"/>
            </w:r>
          </w:hyperlink>
        </w:p>
        <w:p>
          <w:pPr>
            <w:pStyle w:val="WPSOffice2"/>
            <w:tabs>
              <w:tab w:val="right" w:leader="dot" w:pos="8306"/>
            </w:tabs>
          </w:pPr>
          <w:hyperlink w:anchor="_Toc30704" w:history="1">
            <w:r>
              <w:rPr>
                <w:rFonts w:hint="eastAsia"/>
              </w:rPr>
              <w:t xml:space="preserve">1.2 </w:t>
            </w:r>
            <w:r>
              <w:rPr>
                <w:rFonts w:hint="eastAsia"/>
                <w:lang w:eastAsia="zh-CN"/>
              </w:rPr>
              <w:t>带状疱疹</w:t>
            </w:r>
            <w:r>
              <w:rPr>
                <w:rFonts w:hint="eastAsia"/>
              </w:rPr>
              <w:t>灭活疫苗制备的工艺流程</w:t>
            </w:r>
            <w:r>
              <w:tab/>
            </w:r>
            <w:r>
              <w:fldChar w:fldCharType="begin"/>
            </w:r>
            <w:r>
              <w:instrText xml:space="preserve"> PAGEREF _Toc30704 \h </w:instrText>
            </w:r>
            <w:r>
              <w:fldChar w:fldCharType="separate"/>
            </w:r>
            <w:r>
              <w:t>5</w:t>
            </w:r>
            <w:r>
              <w:fldChar w:fldCharType="end"/>
            </w:r>
          </w:hyperlink>
        </w:p>
        <w:p>
          <w:pPr>
            <w:pStyle w:val="WPSOffice2"/>
            <w:tabs>
              <w:tab w:val="right" w:leader="dot" w:pos="8306"/>
            </w:tabs>
          </w:pPr>
          <w:hyperlink w:anchor="_Toc20991" w:history="1">
            <w:r>
              <w:rPr>
                <w:rFonts w:hint="eastAsia"/>
              </w:rPr>
              <w:t>1.3 病毒收获液制备</w:t>
            </w:r>
            <w:r>
              <w:tab/>
            </w:r>
            <w:r>
              <w:fldChar w:fldCharType="begin"/>
            </w:r>
            <w:r>
              <w:instrText xml:space="preserve"> PAGEREF _Toc20991 \h </w:instrText>
            </w:r>
            <w:r>
              <w:fldChar w:fldCharType="separate"/>
            </w:r>
            <w:r>
              <w:t>6</w:t>
            </w:r>
            <w:r>
              <w:fldChar w:fldCharType="end"/>
            </w:r>
          </w:hyperlink>
        </w:p>
        <w:p>
          <w:pPr>
            <w:pStyle w:val="WPSOffice2"/>
            <w:tabs>
              <w:tab w:val="right" w:leader="dot" w:pos="8306"/>
            </w:tabs>
          </w:pPr>
          <w:hyperlink w:anchor="_Toc29183" w:history="1">
            <w:r>
              <w:rPr>
                <w:rFonts w:hint="eastAsia"/>
              </w:rPr>
              <w:t>1.4 层析柱纯化及半成品配制</w:t>
            </w:r>
            <w:r>
              <w:tab/>
            </w:r>
            <w:r>
              <w:fldChar w:fldCharType="begin"/>
            </w:r>
            <w:r>
              <w:instrText xml:space="preserve"> PAGEREF _Toc29183 \h </w:instrText>
            </w:r>
            <w:r>
              <w:fldChar w:fldCharType="separate"/>
            </w:r>
            <w:r>
              <w:t>6</w:t>
            </w:r>
            <w:r>
              <w:fldChar w:fldCharType="end"/>
            </w:r>
          </w:hyperlink>
        </w:p>
        <w:p>
          <w:pPr>
            <w:pStyle w:val="WPSOffice2"/>
            <w:tabs>
              <w:tab w:val="right" w:leader="dot" w:pos="8306"/>
            </w:tabs>
          </w:pPr>
          <w:hyperlink w:anchor="_Toc6186" w:history="1">
            <w:r>
              <w:rPr>
                <w:rFonts w:hint="eastAsia"/>
              </w:rPr>
              <w:t>1.5 分包装及冻干</w:t>
            </w:r>
            <w:r>
              <w:tab/>
            </w:r>
            <w:r>
              <w:fldChar w:fldCharType="begin"/>
            </w:r>
            <w:r>
              <w:instrText xml:space="preserve"> PAGEREF _Toc6186 \h </w:instrText>
            </w:r>
            <w:r>
              <w:fldChar w:fldCharType="separate"/>
            </w:r>
            <w:r>
              <w:t>6</w:t>
            </w:r>
            <w:r>
              <w:fldChar w:fldCharType="end"/>
            </w:r>
          </w:hyperlink>
        </w:p>
        <w:p>
          <w:pPr>
            <w:pStyle w:val="WPSOffice1"/>
            <w:tabs>
              <w:tab w:val="right" w:leader="dot" w:pos="8306"/>
            </w:tabs>
            <w:rPr>
              <w:b/>
            </w:rPr>
          </w:pPr>
          <w:hyperlink w:anchor="_Toc8471" w:history="1">
            <w:r>
              <w:rPr>
                <w:rFonts w:hint="eastAsia"/>
                <w:b/>
              </w:rPr>
              <w:t>2 物料衡算</w:t>
            </w:r>
            <w:r>
              <w:rPr>
                <w:b/>
              </w:rPr>
              <w:tab/>
            </w:r>
            <w:r>
              <w:rPr>
                <w:b/>
              </w:rPr>
              <w:fldChar w:fldCharType="begin"/>
            </w:r>
            <w:r>
              <w:rPr>
                <w:b/>
              </w:rPr>
              <w:instrText xml:space="preserve"> PAGEREF _Toc8471 \h </w:instrText>
            </w:r>
            <w:r>
              <w:rPr>
                <w:b/>
              </w:rPr>
              <w:fldChar w:fldCharType="separate"/>
            </w:r>
            <w:r>
              <w:rPr>
                <w:b/>
              </w:rPr>
              <w:t>6</w:t>
            </w:r>
            <w:r>
              <w:rPr>
                <w:b/>
              </w:rPr>
              <w:fldChar w:fldCharType="end"/>
            </w:r>
          </w:hyperlink>
        </w:p>
        <w:p>
          <w:pPr>
            <w:pStyle w:val="WPSOffice2"/>
            <w:tabs>
              <w:tab w:val="right" w:leader="dot" w:pos="8306"/>
            </w:tabs>
          </w:pPr>
          <w:hyperlink w:anchor="_Toc10801" w:history="1">
            <w:r>
              <w:rPr>
                <w:rFonts w:hint="eastAsia"/>
              </w:rPr>
              <w:t>2.1 物料衡算的条件生产制度：单班次生产年工作日：276天</w:t>
            </w:r>
            <w:r>
              <w:tab/>
            </w:r>
            <w:r>
              <w:fldChar w:fldCharType="begin"/>
            </w:r>
            <w:r>
              <w:instrText xml:space="preserve"> PAGEREF _Toc10801 \h </w:instrText>
            </w:r>
            <w:r>
              <w:fldChar w:fldCharType="separate"/>
            </w:r>
            <w:r>
              <w:t>6</w:t>
            </w:r>
            <w:r>
              <w:fldChar w:fldCharType="end"/>
            </w:r>
          </w:hyperlink>
        </w:p>
        <w:p>
          <w:pPr>
            <w:pStyle w:val="WPSOffice1"/>
            <w:tabs>
              <w:tab w:val="right" w:leader="dot" w:pos="8306"/>
            </w:tabs>
            <w:rPr>
              <w:b/>
            </w:rPr>
          </w:pPr>
          <w:hyperlink w:anchor="_Toc8369" w:history="1">
            <w:r>
              <w:rPr>
                <w:rFonts w:hint="eastAsia"/>
                <w:b/>
              </w:rPr>
              <w:t>3 设备选型</w:t>
            </w:r>
            <w:r>
              <w:rPr>
                <w:b/>
              </w:rPr>
              <w:tab/>
            </w:r>
            <w:r>
              <w:rPr>
                <w:b/>
              </w:rPr>
              <w:fldChar w:fldCharType="begin"/>
            </w:r>
            <w:r>
              <w:rPr>
                <w:b/>
              </w:rPr>
              <w:instrText xml:space="preserve"> PAGEREF _Toc8369 \h </w:instrText>
            </w:r>
            <w:r>
              <w:rPr>
                <w:b/>
              </w:rPr>
              <w:fldChar w:fldCharType="separate"/>
            </w:r>
            <w:r>
              <w:rPr>
                <w:b/>
              </w:rPr>
              <w:t>8</w:t>
            </w:r>
            <w:r>
              <w:rPr>
                <w:b/>
              </w:rPr>
              <w:fldChar w:fldCharType="end"/>
            </w:r>
          </w:hyperlink>
        </w:p>
        <w:p>
          <w:pPr>
            <w:pStyle w:val="WPSOffice2"/>
            <w:tabs>
              <w:tab w:val="right" w:leader="dot" w:pos="8306"/>
            </w:tabs>
          </w:pPr>
          <w:hyperlink w:anchor="_Toc20342" w:history="1">
            <w:r>
              <w:rPr>
                <w:rFonts w:hint="eastAsia"/>
              </w:rPr>
              <w:t>3.1工艺设备选型的依据</w:t>
            </w:r>
            <w:r>
              <w:tab/>
            </w:r>
            <w:r>
              <w:fldChar w:fldCharType="begin"/>
            </w:r>
            <w:r>
              <w:instrText xml:space="preserve"> PAGEREF _Toc20342 \h </w:instrText>
            </w:r>
            <w:r>
              <w:fldChar w:fldCharType="separate"/>
            </w:r>
            <w:r>
              <w:t>8</w:t>
            </w:r>
            <w:r>
              <w:fldChar w:fldCharType="end"/>
            </w:r>
          </w:hyperlink>
        </w:p>
        <w:p>
          <w:pPr>
            <w:pStyle w:val="WPSOffice2"/>
            <w:tabs>
              <w:tab w:val="right" w:leader="dot" w:pos="8306"/>
            </w:tabs>
          </w:pPr>
          <w:hyperlink w:anchor="_Toc30025" w:history="1">
            <w:r>
              <w:rPr>
                <w:rFonts w:hint="eastAsia"/>
              </w:rPr>
              <w:t>3.2 制药设备材料的选择</w:t>
            </w:r>
            <w:r>
              <w:tab/>
            </w:r>
            <w:r>
              <w:fldChar w:fldCharType="begin"/>
            </w:r>
            <w:r>
              <w:instrText xml:space="preserve"> PAGEREF _Toc30025 \h </w:instrText>
            </w:r>
            <w:r>
              <w:fldChar w:fldCharType="separate"/>
            </w:r>
            <w:r>
              <w:t>9</w:t>
            </w:r>
            <w:r>
              <w:fldChar w:fldCharType="end"/>
            </w:r>
          </w:hyperlink>
        </w:p>
        <w:p>
          <w:pPr>
            <w:pStyle w:val="WPSOffice2"/>
            <w:tabs>
              <w:tab w:val="right" w:leader="dot" w:pos="8306"/>
            </w:tabs>
          </w:pPr>
          <w:hyperlink w:anchor="_Toc29344" w:history="1">
            <w:r>
              <w:rPr>
                <w:rFonts w:hint="eastAsia"/>
              </w:rPr>
              <w:t>3.3 设备选型参数</w:t>
            </w:r>
            <w:r>
              <w:tab/>
            </w:r>
            <w:r>
              <w:fldChar w:fldCharType="begin"/>
            </w:r>
            <w:r>
              <w:instrText xml:space="preserve"> PAGEREF _Toc29344 \h </w:instrText>
            </w:r>
            <w:r>
              <w:fldChar w:fldCharType="separate"/>
            </w:r>
            <w:r>
              <w:t>9</w:t>
            </w:r>
            <w:r>
              <w:fldChar w:fldCharType="end"/>
            </w:r>
          </w:hyperlink>
        </w:p>
        <w:p>
          <w:pPr>
            <w:pStyle w:val="WPSOffice1"/>
            <w:tabs>
              <w:tab w:val="right" w:leader="dot" w:pos="8306"/>
            </w:tabs>
            <w:rPr>
              <w:b/>
            </w:rPr>
          </w:pPr>
          <w:hyperlink w:anchor="_Toc24215" w:history="1">
            <w:r>
              <w:rPr>
                <w:rFonts w:hint="eastAsia"/>
                <w:b/>
              </w:rPr>
              <w:t>4 车间平面布置设计</w:t>
            </w:r>
            <w:r>
              <w:rPr>
                <w:b/>
              </w:rPr>
              <w:tab/>
            </w:r>
            <w:r>
              <w:rPr>
                <w:b/>
              </w:rPr>
              <w:fldChar w:fldCharType="begin"/>
            </w:r>
            <w:r>
              <w:rPr>
                <w:b/>
              </w:rPr>
              <w:instrText xml:space="preserve"> PAGEREF _Toc24215 \h </w:instrText>
            </w:r>
            <w:r>
              <w:rPr>
                <w:b/>
              </w:rPr>
              <w:fldChar w:fldCharType="separate"/>
            </w:r>
            <w:r>
              <w:rPr>
                <w:b/>
              </w:rPr>
              <w:t>14</w:t>
            </w:r>
            <w:r>
              <w:rPr>
                <w:b/>
              </w:rPr>
              <w:fldChar w:fldCharType="end"/>
            </w:r>
          </w:hyperlink>
        </w:p>
        <w:p>
          <w:pPr>
            <w:pStyle w:val="WPSOffice2"/>
            <w:tabs>
              <w:tab w:val="right" w:leader="dot" w:pos="8306"/>
            </w:tabs>
          </w:pPr>
          <w:hyperlink w:anchor="_Toc7535" w:history="1">
            <w:r>
              <w:rPr>
                <w:rFonts w:hint="eastAsia"/>
              </w:rPr>
              <w:t>4.1 车间平面布置设计</w:t>
            </w:r>
            <w:r>
              <w:tab/>
            </w:r>
            <w:r>
              <w:fldChar w:fldCharType="begin"/>
            </w:r>
            <w:r>
              <w:instrText xml:space="preserve"> PAGEREF _Toc7535 \h </w:instrText>
            </w:r>
            <w:r>
              <w:fldChar w:fldCharType="separate"/>
            </w:r>
            <w:r>
              <w:t>14</w:t>
            </w:r>
            <w:r>
              <w:fldChar w:fldCharType="end"/>
            </w:r>
          </w:hyperlink>
        </w:p>
        <w:p>
          <w:pPr>
            <w:pStyle w:val="WPSOffice2"/>
            <w:tabs>
              <w:tab w:val="right" w:leader="dot" w:pos="8306"/>
            </w:tabs>
          </w:pPr>
          <w:hyperlink w:anchor="_Toc3233" w:history="1">
            <w:r>
              <w:rPr>
                <w:rFonts w:hint="eastAsia"/>
              </w:rPr>
              <w:t>4.2 制剂车间工艺布局设计</w:t>
            </w:r>
            <w:r>
              <w:tab/>
            </w:r>
            <w:r>
              <w:fldChar w:fldCharType="begin"/>
            </w:r>
            <w:r>
              <w:instrText xml:space="preserve"> PAGEREF _Toc3233 \h </w:instrText>
            </w:r>
            <w:r>
              <w:fldChar w:fldCharType="separate"/>
            </w:r>
            <w:r>
              <w:t>14</w:t>
            </w:r>
            <w:r>
              <w:fldChar w:fldCharType="end"/>
            </w:r>
          </w:hyperlink>
        </w:p>
        <w:p>
          <w:pPr>
            <w:pStyle w:val="WPSOffice2"/>
            <w:tabs>
              <w:tab w:val="right" w:leader="dot" w:pos="8306"/>
            </w:tabs>
          </w:pPr>
          <w:hyperlink w:anchor="_Toc24584" w:history="1">
            <w:r>
              <w:rPr>
                <w:rFonts w:hint="eastAsia"/>
              </w:rPr>
              <w:t>4.3 对人员和物料的要求</w:t>
            </w:r>
            <w:r>
              <w:tab/>
            </w:r>
            <w:r>
              <w:fldChar w:fldCharType="begin"/>
            </w:r>
            <w:r>
              <w:instrText xml:space="preserve"> PAGEREF _Toc24584 \h </w:instrText>
            </w:r>
            <w:r>
              <w:fldChar w:fldCharType="separate"/>
            </w:r>
            <w:r>
              <w:t>15</w:t>
            </w:r>
            <w:r>
              <w:fldChar w:fldCharType="end"/>
            </w:r>
          </w:hyperlink>
        </w:p>
        <w:p>
          <w:pPr>
            <w:pStyle w:val="WPSOffice2"/>
            <w:tabs>
              <w:tab w:val="right" w:leader="dot" w:pos="8306"/>
            </w:tabs>
          </w:pPr>
          <w:hyperlink w:anchor="_Toc22090" w:history="1">
            <w:r>
              <w:rPr>
                <w:rFonts w:hint="eastAsia"/>
              </w:rPr>
              <w:t>4.4 空调及排风</w:t>
            </w:r>
            <w:r>
              <w:tab/>
            </w:r>
            <w:r>
              <w:fldChar w:fldCharType="begin"/>
            </w:r>
            <w:r>
              <w:instrText xml:space="preserve"> PAGEREF _Toc22090 \h </w:instrText>
            </w:r>
            <w:r>
              <w:fldChar w:fldCharType="separate"/>
            </w:r>
            <w:r>
              <w:t>15</w:t>
            </w:r>
            <w:r>
              <w:fldChar w:fldCharType="end"/>
            </w:r>
          </w:hyperlink>
        </w:p>
        <w:p>
          <w:pPr>
            <w:pStyle w:val="WPSOffice2"/>
            <w:tabs>
              <w:tab w:val="right" w:leader="dot" w:pos="8306"/>
            </w:tabs>
          </w:pPr>
          <w:hyperlink w:anchor="_Toc26578" w:history="1">
            <w:r>
              <w:rPr>
                <w:rFonts w:hint="eastAsia"/>
              </w:rPr>
              <w:t>4.5 车间平面布局图</w:t>
            </w:r>
            <w:r>
              <w:tab/>
            </w:r>
            <w:r>
              <w:fldChar w:fldCharType="begin"/>
            </w:r>
            <w:r>
              <w:instrText xml:space="preserve"> PAGEREF _Toc26578 \h </w:instrText>
            </w:r>
            <w:r>
              <w:fldChar w:fldCharType="separate"/>
            </w:r>
            <w:r>
              <w:t>15</w:t>
            </w:r>
            <w:r>
              <w:fldChar w:fldCharType="end"/>
            </w:r>
          </w:hyperlink>
        </w:p>
        <w:p>
          <w:pPr>
            <w:pStyle w:val="WPSOffice1"/>
            <w:tabs>
              <w:tab w:val="right" w:leader="dot" w:pos="8306"/>
            </w:tabs>
            <w:rPr>
              <w:b/>
            </w:rPr>
          </w:pPr>
          <w:hyperlink w:anchor="_Toc17726" w:history="1">
            <w:r>
              <w:rPr>
                <w:rFonts w:hint="eastAsia"/>
                <w:b/>
              </w:rPr>
              <w:t>5 药理作用</w:t>
            </w:r>
            <w:r>
              <w:rPr>
                <w:b/>
              </w:rPr>
              <w:tab/>
            </w:r>
            <w:r>
              <w:rPr>
                <w:b/>
              </w:rPr>
              <w:fldChar w:fldCharType="begin"/>
            </w:r>
            <w:r>
              <w:rPr>
                <w:b/>
              </w:rPr>
              <w:instrText xml:space="preserve"> PAGEREF _Toc17726 \h </w:instrText>
            </w:r>
            <w:r>
              <w:rPr>
                <w:b/>
              </w:rPr>
              <w:fldChar w:fldCharType="separate"/>
            </w:r>
            <w:r>
              <w:rPr>
                <w:b/>
              </w:rPr>
              <w:t>16</w:t>
            </w:r>
            <w:r>
              <w:rPr>
                <w:b/>
              </w:rPr>
              <w:fldChar w:fldCharType="end"/>
            </w:r>
          </w:hyperlink>
        </w:p>
        <w:p>
          <w:pPr>
            <w:pStyle w:val="WPSOffice1"/>
            <w:tabs>
              <w:tab w:val="right" w:leader="dot" w:pos="8306"/>
            </w:tabs>
            <w:rPr>
              <w:b/>
            </w:rPr>
          </w:pPr>
          <w:hyperlink w:anchor="_Toc27169" w:history="1">
            <w:r>
              <w:rPr>
                <w:rFonts w:hint="eastAsia"/>
                <w:b/>
              </w:rPr>
              <w:t>6 不良反应</w:t>
            </w:r>
            <w:r>
              <w:rPr>
                <w:b/>
              </w:rPr>
              <w:tab/>
            </w:r>
            <w:r>
              <w:rPr>
                <w:b/>
              </w:rPr>
              <w:fldChar w:fldCharType="begin"/>
            </w:r>
            <w:r>
              <w:rPr>
                <w:b/>
              </w:rPr>
              <w:instrText xml:space="preserve"> PAGEREF _Toc27169 \h </w:instrText>
            </w:r>
            <w:r>
              <w:rPr>
                <w:b/>
              </w:rPr>
              <w:fldChar w:fldCharType="separate"/>
            </w:r>
            <w:r>
              <w:rPr>
                <w:b/>
              </w:rPr>
              <w:t>16</w:t>
            </w:r>
            <w:r>
              <w:rPr>
                <w:b/>
              </w:rPr>
              <w:fldChar w:fldCharType="end"/>
            </w:r>
          </w:hyperlink>
        </w:p>
        <w:p>
          <w:pPr>
            <w:pStyle w:val="WPSOffice1"/>
            <w:tabs>
              <w:tab w:val="right" w:leader="dot" w:pos="8306"/>
            </w:tabs>
            <w:rPr>
              <w:b/>
            </w:rPr>
          </w:pPr>
          <w:hyperlink w:anchor="_Toc10868" w:history="1">
            <w:r>
              <w:rPr>
                <w:rFonts w:hint="eastAsia"/>
                <w:b/>
              </w:rPr>
              <w:t>结 论</w:t>
            </w:r>
            <w:r>
              <w:rPr>
                <w:b/>
              </w:rPr>
              <w:tab/>
            </w:r>
            <w:r>
              <w:rPr>
                <w:b/>
              </w:rPr>
              <w:fldChar w:fldCharType="begin"/>
            </w:r>
            <w:r>
              <w:rPr>
                <w:b/>
              </w:rPr>
              <w:instrText xml:space="preserve"> PAGEREF _Toc10868 \h </w:instrText>
            </w:r>
            <w:r>
              <w:rPr>
                <w:b/>
              </w:rPr>
              <w:fldChar w:fldCharType="separate"/>
            </w:r>
            <w:r>
              <w:rPr>
                <w:b/>
              </w:rPr>
              <w:t>16</w:t>
            </w:r>
            <w:r>
              <w:rPr>
                <w:b/>
              </w:rPr>
              <w:fldChar w:fldCharType="end"/>
            </w:r>
          </w:hyperlink>
        </w:p>
        <w:p>
          <w:pPr>
            <w:pStyle w:val="WPSOffice1"/>
            <w:tabs>
              <w:tab w:val="right" w:leader="dot" w:pos="8306"/>
            </w:tabs>
            <w:rPr>
              <w:b/>
            </w:rPr>
          </w:pPr>
          <w:hyperlink w:anchor="_Toc26937" w:history="1">
            <w:r>
              <w:rPr>
                <w:rFonts w:hint="eastAsia"/>
                <w:b/>
              </w:rPr>
              <w:t>参 考 文 献</w:t>
            </w:r>
            <w:r>
              <w:rPr>
                <w:b/>
              </w:rPr>
              <w:tab/>
            </w:r>
            <w:r>
              <w:rPr>
                <w:b/>
              </w:rPr>
              <w:fldChar w:fldCharType="begin"/>
            </w:r>
            <w:r>
              <w:rPr>
                <w:b/>
              </w:rPr>
              <w:instrText xml:space="preserve"> PAGEREF _Toc26937 \h </w:instrText>
            </w:r>
            <w:r>
              <w:rPr>
                <w:b/>
              </w:rPr>
              <w:fldChar w:fldCharType="separate"/>
            </w:r>
            <w:r>
              <w:rPr>
                <w:b/>
              </w:rPr>
              <w:t>16</w:t>
            </w:r>
            <w:r>
              <w:rPr>
                <w:b/>
              </w:rPr>
              <w:fldChar w:fldCharType="end"/>
            </w:r>
          </w:hyperlink>
        </w:p>
        <w:p>
          <w:pPr>
            <w:pStyle w:val="WPSOffice1"/>
            <w:tabs>
              <w:tab w:val="right" w:leader="dot" w:pos="8306"/>
            </w:tabs>
            <w:rPr>
              <w:b/>
            </w:rPr>
            <w:sectPr>
              <w:headerReference w:type="default" r:id="rId5"/>
              <w:pgSz w:w="11906" w:h="16838"/>
              <w:pgMar w:top="1440" w:right="1800" w:bottom="1440" w:left="1800" w:header="851" w:footer="992" w:gutter="0"/>
              <w:cols w:num="1" w:space="425"/>
              <w:docGrid w:type="lines" w:linePitch="312" w:charSpace="0"/>
            </w:sectPr>
          </w:pPr>
          <w:hyperlink w:anchor="_Toc18337" w:history="1">
            <w:r>
              <w:rPr>
                <w:rFonts w:hint="eastAsia"/>
                <w:b/>
              </w:rPr>
              <w:t>致 谢</w:t>
            </w:r>
            <w:r>
              <w:rPr>
                <w:b/>
              </w:rPr>
              <w:tab/>
            </w:r>
            <w:r>
              <w:rPr>
                <w:b/>
              </w:rPr>
              <w:fldChar w:fldCharType="begin"/>
            </w:r>
            <w:r>
              <w:rPr>
                <w:b/>
              </w:rPr>
              <w:instrText xml:space="preserve"> PAGEREF _Toc18337 \h </w:instrText>
            </w:r>
            <w:r>
              <w:rPr>
                <w:b/>
              </w:rPr>
              <w:fldChar w:fldCharType="separate"/>
            </w:r>
            <w:r>
              <w:rPr>
                <w:b/>
              </w:rPr>
              <w:t>19</w:t>
            </w:r>
            <w:r>
              <w:rPr>
                <w:b/>
              </w:rPr>
              <w:fldChar w:fldCharType="end"/>
            </w:r>
          </w:hyperlink>
        </w:p>
      </w:sdtContent>
    </w:sdt>
    <w:sdt>
      <w:sdtPr>
        <w:rPr>
          <w:rFonts w:ascii="宋体" w:eastAsia="宋体" w:hAnsi="宋体" w:cstheme="minorBidi"/>
          <w:kern w:val="2"/>
          <w:sz w:val="21"/>
          <w:szCs w:val="24"/>
          <w:lang w:val="en-US" w:eastAsia="zh-CN" w:bidi="ar-SA"/>
        </w:rPr>
        <w:id w:val="1356171902"/>
        <w:docPartObj>
          <w:docPartGallery w:val="Table of Contents"/>
          <w:docPartUnique/>
        </w:docPartObj>
        <w15:color w:val="DBDBDB"/>
      </w:sdtPr>
      <w:sdtEndPr>
        <w:rPr>
          <w:rFonts w:ascii="宋体" w:eastAsia="宋体" w:hAnsi="宋体" w:cstheme="minorBidi"/>
          <w:b/>
          <w:kern w:val="2"/>
          <w:sz w:val="21"/>
          <w:szCs w:val="24"/>
          <w:lang w:val="en-US" w:eastAsia="zh-CN" w:bidi="ar-SA"/>
        </w:rPr>
      </w:sdtEndPr>
      <w:sdtContent>
        <w:p>
          <w:pPr>
            <w:sectPr>
              <w:headerReference w:type="default" r:id="rId6"/>
              <w:type w:val="nextPage"/>
              <w:pgSz w:w="11906" w:h="16838"/>
              <w:pgMar w:top="1440" w:right="1800" w:bottom="1440" w:left="1800" w:header="851" w:footer="992" w:gutter="0"/>
              <w:pgNumType w:start="2"/>
              <w:cols w:num="1" w:space="425"/>
              <w:titlePg w:val="0"/>
              <w:docGrid w:type="lines" w:linePitch="312" w:charSpace="0"/>
            </w:sectPr>
          </w:pPr>
          <w:r>
            <w:rPr>
              <w:b/>
            </w:rPr>
            <w:fldChar w:fldCharType="end"/>
          </w:r>
        </w:p>
      </w:sdtContent>
    </w:sdt>
    <w:p>
      <w:pPr>
        <w:pStyle w:val="Heading1"/>
        <w:bidi w:val="0"/>
        <w:jc w:val="center"/>
        <w:rPr>
          <w:rFonts w:hint="eastAsia"/>
        </w:rPr>
      </w:pPr>
      <w:bookmarkStart w:id="1" w:name="_Toc16021"/>
      <w:r>
        <w:rPr>
          <w:rFonts w:hint="eastAsia"/>
        </w:rPr>
        <w:t>摘 要</w:t>
      </w:r>
      <w:bookmarkEnd w:id="1"/>
    </w:p>
    <w:p>
      <w:pPr>
        <w:rPr>
          <w:rFonts w:hint="eastAsia"/>
        </w:rPr>
      </w:pPr>
      <w:r>
        <w:rPr>
          <w:rFonts w:hint="eastAsia"/>
        </w:rPr>
        <w:t>带状疱疹是一种常发生于老龄人群、免疫功能低下和慢性病人群皮肤上的一种簇集型水疱病，由潜伏在神经元内的水痘-带状疱疹病毒重新激活引发。带状疱疹的持续性疼痛使患者饱受痛苦，带来严重的精神负担和经济负担。在临床药物治疗效果不佳的情况下，国外先后有减毒活疫苗和伴佐剂的重组蛋白疫苗上市，根据这两款疫苗的临床数据分析，后者已经成为美国疾病控制和预防中心推荐的首选疫苗，国内多家企业也在开展这两种疫苗的临床研究。然而，由于佐剂来源的限制，重组蛋白疫苗尚未广泛提供。随着新型冠状病毒肺炎疫情的出现，mRNA疫苗的热度也被提升，国内生物制品企业应根据国内的市场需求并结合自身发展，积极开展新型带状疱疹疫苗的研制，填补国内疫苗的空缺，增强市场竞争力。在满足《药品生产质量管理规范》（2012年修订）和《中国药典》（2020年版）的前提下，本文从生产工艺流程、车间布置、生产物料衡算等几个角度出发，通过实例，对其生产工艺进行了归纳和分析。以生产高水准、现代化的生产工艺为技术参考。最终设计出可顺利安全地完成年产量要求、并且产品有效安全的</w:t>
      </w:r>
      <w:r>
        <w:rPr>
          <w:rFonts w:hint="eastAsia"/>
          <w:lang w:eastAsia="zh-CN"/>
        </w:rPr>
        <w:t>带状疱疹</w:t>
      </w:r>
      <w:r>
        <w:rPr>
          <w:rFonts w:hint="eastAsia"/>
        </w:rPr>
        <w:t>灭活疫苗生产车间。</w:t>
      </w:r>
    </w:p>
    <w:p>
      <w:pPr>
        <w:rPr>
          <w:rFonts w:hint="eastAsia"/>
        </w:rPr>
        <w:sectPr>
          <w:headerReference w:type="default" r:id="rId7"/>
          <w:type w:val="nextPage"/>
          <w:pgSz w:w="11906" w:h="16838"/>
          <w:pgMar w:top="1440" w:right="1800" w:bottom="1440" w:left="1800" w:header="851" w:footer="992" w:gutter="0"/>
          <w:pgNumType w:start="3"/>
          <w:cols w:num="1" w:space="425"/>
          <w:titlePg w:val="0"/>
          <w:docGrid w:type="lines" w:linePitch="312" w:charSpace="0"/>
        </w:sectPr>
      </w:pPr>
      <w:r>
        <w:rPr>
          <w:rFonts w:hint="eastAsia"/>
          <w:b/>
          <w:bCs/>
        </w:rPr>
        <w:t>关键词</w:t>
      </w:r>
      <w:r>
        <w:rPr>
          <w:rFonts w:hint="eastAsia"/>
        </w:rPr>
        <w:t>：</w:t>
      </w:r>
      <w:r>
        <w:rPr>
          <w:rFonts w:hint="eastAsia"/>
          <w:lang w:eastAsia="zh-CN"/>
        </w:rPr>
        <w:t>带状疱疹</w:t>
      </w:r>
      <w:r>
        <w:rPr>
          <w:rFonts w:hint="eastAsia"/>
        </w:rPr>
        <w:t>灭活疫苗；车间设计；工艺流程；物料衡算</w:t>
      </w:r>
    </w:p>
    <w:p>
      <w:pPr>
        <w:pStyle w:val="Heading1"/>
        <w:bidi w:val="0"/>
        <w:rPr>
          <w:rFonts w:hint="eastAsia"/>
        </w:rPr>
      </w:pPr>
      <w:bookmarkStart w:id="2" w:name="_Toc9142"/>
      <w:r>
        <w:rPr>
          <w:rFonts w:hint="eastAsia"/>
          <w:lang w:val="en-US" w:eastAsia="zh-CN"/>
        </w:rPr>
        <w:t>A</w:t>
      </w:r>
      <w:r>
        <w:rPr>
          <w:rFonts w:hint="eastAsia"/>
        </w:rPr>
        <w:t>bstract</w:t>
      </w:r>
    </w:p>
    <w:p>
      <w:pPr>
        <w:rPr>
          <w:rFonts w:hint="eastAsia"/>
        </w:rPr>
      </w:pPr>
      <w:r>
        <w:rPr>
          <w:rFonts w:hint="eastAsia"/>
        </w:rPr>
        <w:t>Herpes zoster is a cluster of vesicular disease that often occurs on the skin of elderly, immunocompromised and chronic people, triggered by the reactivation of varicella-zoster virus latent in neurons. The persistent pain of herpes zoster hurts patients, bringing serious mental burden and financial burden. In the case of poor clinical drug treatment effect, foreign has live attenuated vaccine and adjuvant recombinant protein vaccine, according to the clinical data analysis of the two vaccines, the latter has become the center for disease control and prevention recommended preferred vaccine, many domestic companies are also in the clinical research of the two vaccines. However, recombinant protein vaccines are not widely available due to adjuvant limitations. With the emergence of COVID-19, the popularity of mRNA vaccine has also been increased. Domestic biological products enterprises should actively carry out the development of new herpes zoster vaccine according to the domestic market demand and their own development, so as to fill the gap of domestic vaccine and enhance the market competitiveness. On the premise of meeting the Good Manufacturing Practice (revised in 2012) and Chinese Pharmacopoeia (2020 edition), this paper summarizes and analyzes the production process from the perspectives of production process, workshop layout and production material balance. The production of high level, modern production process as a technical reference. Finally, the designed herpes zoster inactivated vaccine production workshop can successfully and safely complete the annual output requirements, and the product is effective and safe.</w:t>
      </w:r>
    </w:p>
    <w:p>
      <w:pPr>
        <w:rPr>
          <w:rFonts w:hint="eastAsia"/>
        </w:rPr>
        <w:sectPr>
          <w:headerReference w:type="default" r:id="rId8"/>
          <w:type w:val="nextPage"/>
          <w:pgSz w:w="11906" w:h="16838"/>
          <w:pgMar w:top="1440" w:right="1800" w:bottom="1440" w:left="1800" w:header="851" w:footer="992" w:gutter="0"/>
          <w:pgNumType w:start="4"/>
          <w:cols w:num="1" w:space="425"/>
          <w:titlePg w:val="0"/>
          <w:docGrid w:type="lines" w:linePitch="312" w:charSpace="0"/>
        </w:sectPr>
      </w:pPr>
      <w:r>
        <w:rPr>
          <w:rFonts w:hint="eastAsia"/>
          <w:b/>
          <w:bCs/>
        </w:rPr>
        <w:t>Key words:</w:t>
      </w:r>
      <w:r>
        <w:rPr>
          <w:rFonts w:hint="eastAsia"/>
        </w:rPr>
        <w:t xml:space="preserve"> herpes zoster inactivated vaccine; workshop design; process flow; material balance</w:t>
      </w:r>
    </w:p>
    <w:p>
      <w:pPr>
        <w:pStyle w:val="Heading1"/>
        <w:bidi w:val="0"/>
        <w:rPr>
          <w:rFonts w:hint="eastAsia"/>
        </w:rPr>
      </w:pPr>
      <w:r>
        <w:rPr>
          <w:rFonts w:hint="eastAsia"/>
        </w:rPr>
        <w:t>前 言</w:t>
      </w:r>
      <w:bookmarkEnd w:id="2"/>
    </w:p>
    <w:p>
      <w:pPr>
        <w:rPr>
          <w:rFonts w:cs="Times New Roman" w:hint="default"/>
        </w:rPr>
      </w:pPr>
      <w:r>
        <w:rPr>
          <w:rFonts w:ascii="Times New Roman" w:hAnsi="Times New Roman" w:cs="Times New Roman" w:hint="default"/>
          <w:lang w:val="en-US" w:eastAsia="zh-CN"/>
        </w:rPr>
        <w:t>带状疱疹是水痘－带状疱疹病毒再激活的临床表现，常出现在某一感觉神经节支配的身体一侧的皮区处，皮损不会超过身体中线，是一种呈带状分布的簇集型水疱病。ＶＺＶ具有双链ＤＮＡ基因组，核衣壳的包膜表面覆盖着多种糖蛋白，在病毒侵染</w:t>
      </w:r>
      <w:r>
        <w:rPr>
          <w:rFonts w:ascii="Times New Roman" w:hAnsi="Times New Roman" w:cs="Times New Roman" w:hint="default"/>
        </w:rPr>
        <w:t>细胞过程中起着重要作用。ＶＺＶ病理学的一个标志是在皮损中形成多核细胞，这种多核细胞是由ＶＺＶ糖蛋白ｇＢ、ｇＨ和ｇＬ介导的细胞间融合构成的［</w:t>
      </w:r>
      <w:r>
        <w:rPr>
          <w:rFonts w:ascii="Times New Roman" w:hAnsi="Times New Roman" w:cs="Times New Roman" w:hint="eastAsia"/>
          <w:lang w:val="en-US" w:eastAsia="zh-CN"/>
        </w:rPr>
        <w:t>1</w:t>
      </w:r>
      <w:r>
        <w:rPr>
          <w:rFonts w:ascii="Times New Roman" w:hAnsi="Times New Roman" w:cs="Times New Roman" w:hint="default"/>
        </w:rPr>
        <w:t>］。其中，糖蛋白Ｅ是ＶＺＶ表达最丰富的一种糖蛋白，并且具有高度的免疫原性，在病毒感染细胞以及病毒在细胞间的扩散中发挥重要作用［</w:t>
      </w:r>
      <w:r>
        <w:rPr>
          <w:rFonts w:ascii="Times New Roman" w:hAnsi="Times New Roman" w:cs="Times New Roman" w:hint="eastAsia"/>
          <w:lang w:val="en-US" w:eastAsia="zh-CN"/>
        </w:rPr>
        <w:t>2</w:t>
      </w:r>
      <w:r>
        <w:rPr>
          <w:rFonts w:ascii="Times New Roman" w:hAnsi="Times New Roman" w:cs="Times New Roman" w:hint="default"/>
        </w:rPr>
        <w:t>］。ＶＺＶ具有高度传染性，一项挪威的单项研究［</w:t>
      </w:r>
      <w:r>
        <w:rPr>
          <w:rFonts w:ascii="Times New Roman" w:hAnsi="Times New Roman" w:cs="Times New Roman" w:hint="eastAsia"/>
          <w:lang w:val="en-US" w:eastAsia="zh-CN"/>
        </w:rPr>
        <w:t>3</w:t>
      </w:r>
      <w:r>
        <w:rPr>
          <w:rFonts w:ascii="Times New Roman" w:hAnsi="Times New Roman" w:cs="Times New Roman" w:hint="default"/>
        </w:rPr>
        <w:t>］显示，ＶＺＶ在儿童中的传播系数（易感染人群中因一个病例直接产生的预期病例数）在３．７～５，而疫苗覆盖率至少要达到７３％～８０％才能有效地阻断传播。与年龄相关的免疫力／免疫抑制下降可重新激活ＶＺＶ，导致带状疱疹。研究表明，Ｔ细胞免疫应答频率下降与ＶＺＶ再激活的发生率增加相关［</w:t>
      </w:r>
      <w:r>
        <w:rPr>
          <w:rFonts w:ascii="Times New Roman" w:hAnsi="Times New Roman" w:cs="Times New Roman" w:hint="eastAsia"/>
          <w:lang w:val="en-US" w:eastAsia="zh-CN"/>
        </w:rPr>
        <w:t>4</w:t>
      </w:r>
      <w:r>
        <w:rPr>
          <w:rFonts w:ascii="Times New Roman" w:hAnsi="Times New Roman" w:cs="Times New Roman" w:hint="default"/>
        </w:rPr>
        <w:t>］。病毒一旦激活就会大量复制，通过感觉神经轴突移行到皮肤，引起带状疱疹及相关并发症。最常见的并发症是带状疱疹后神经痛，在</w:t>
      </w:r>
      <w:r>
        <w:rPr>
          <w:rFonts w:ascii="Times New Roman" w:hAnsi="Times New Roman" w:cs="Times New Roman" w:hint="eastAsia"/>
          <w:lang w:val="en-US" w:eastAsia="zh-CN"/>
        </w:rPr>
        <w:t>60</w:t>
      </w:r>
      <w:r>
        <w:rPr>
          <w:rFonts w:ascii="Times New Roman" w:hAnsi="Times New Roman" w:cs="Times New Roman" w:hint="default"/>
        </w:rPr>
        <w:t>岁或以上的带状疱疹患者中发生率为１０％～２０％。由于一旦出现带状疱疹就无法预防ＰＨＮ，这种持续性疼痛对生活质量和日常生活活动有显著的不利影响。而疼痛主要是由激活的ＶＺＶ对感觉神经节神经元胞体和神经节内的卫星细胞以及神经元轴突造成损害引起的，这种情况难以用止痛药治疗［</w:t>
      </w:r>
      <w:r>
        <w:rPr>
          <w:rFonts w:ascii="Times New Roman" w:hAnsi="Times New Roman" w:cs="Times New Roman" w:hint="eastAsia"/>
          <w:lang w:val="en-US" w:eastAsia="zh-CN"/>
        </w:rPr>
        <w:t>5</w:t>
      </w:r>
      <w:r>
        <w:rPr>
          <w:rFonts w:ascii="Times New Roman" w:hAnsi="Times New Roman" w:cs="Times New Roman" w:hint="default"/>
        </w:rPr>
        <w:t>］。由于带状疱疹的出现与体内ＶＺＶ特异性ＣＤ４＋Ｔ淋巴细胞活性降低有关，带状疱疹疫苗的主要作用是预防和控制ＶＺＶ感染和再激活。对无菌的要求严苛是疫苗生产的特点，应严格控制管理、生产，进而降低污染的风险，以确保疫苗无菌状态[6,7]。在药品生产的全过程做到严格监控，可能产生的污染因素应做到被严格有效清除。生产车间、生产设施和生产设施的设计、生产布局的特点都有很大的差异。在药品的无菌化生产工艺中，原辅材料、人员与药品的相互影响是必须要重点考虑的。</w:t>
      </w:r>
    </w:p>
    <w:p>
      <w:pPr>
        <w:rPr>
          <w:rFonts w:hint="eastAsia"/>
        </w:rPr>
        <w:sectPr>
          <w:headerReference w:type="default" r:id="rId9"/>
          <w:type w:val="nextPage"/>
          <w:pgSz w:w="11906" w:h="16838"/>
          <w:pgMar w:top="1440" w:right="1800" w:bottom="1440" w:left="1800" w:header="851" w:footer="992" w:gutter="0"/>
          <w:pgNumType w:start="5"/>
          <w:cols w:num="1" w:space="425"/>
          <w:titlePg w:val="0"/>
          <w:docGrid w:type="lines" w:linePitch="312" w:charSpace="0"/>
        </w:sectPr>
      </w:pPr>
    </w:p>
    <w:p>
      <w:pPr>
        <w:rPr>
          <w:rFonts w:hint="eastAsia"/>
        </w:rPr>
      </w:pPr>
      <w:r>
        <w:rPr>
          <w:rFonts w:hint="eastAsia"/>
        </w:rPr>
        <w:t>其车间的布置应以最小化错误风险为目标。原辅材料尽量最短路径运输，以避免来回交叉、减少错误和污染[8]。为了使生产区域的环境达到生产要求,常对生产厂房设施、生产工作人员、生产设备、生产用物料进行严格消毒[9]。将疫苗生产场地的洁净度分为A级、局部A级、B级、C级和D级。使用</w:t>
      </w:r>
      <w:r>
        <w:rPr>
          <w:rFonts w:hint="eastAsia"/>
          <w:lang w:eastAsia="zh-CN"/>
        </w:rPr>
        <w:t>带状疱疹</w:t>
      </w:r>
      <w:r>
        <w:rPr>
          <w:rFonts w:hint="eastAsia"/>
        </w:rPr>
        <w:t>病毒森“张”株对原代地鼠肾细胞进行接种，期间经病毒培养、灭活、收获、离心、超滤浓缩、层析纯化后，加入氢氧化铝佐剂和人血白蛋白等相应剂制成</w:t>
      </w:r>
      <w:r>
        <w:rPr>
          <w:rFonts w:hint="eastAsia"/>
          <w:lang w:eastAsia="zh-CN"/>
        </w:rPr>
        <w:t>带状疱疹</w:t>
      </w:r>
      <w:r>
        <w:rPr>
          <w:rFonts w:hint="eastAsia"/>
        </w:rPr>
        <w:t>灭活疫苗。它用来作为对</w:t>
      </w:r>
      <w:r>
        <w:rPr>
          <w:rFonts w:hint="eastAsia"/>
          <w:lang w:eastAsia="zh-CN"/>
        </w:rPr>
        <w:t>带状疱疹</w:t>
      </w:r>
      <w:r>
        <w:rPr>
          <w:rFonts w:hint="eastAsia"/>
        </w:rPr>
        <w:t>疾病的预防药物[10]。</w:t>
      </w:r>
    </w:p>
    <w:p>
      <w:pPr>
        <w:pStyle w:val="Heading1"/>
        <w:bidi w:val="0"/>
        <w:rPr>
          <w:rFonts w:hint="eastAsia"/>
        </w:rPr>
      </w:pPr>
      <w:bookmarkStart w:id="3" w:name="_Toc19881"/>
      <w:r>
        <w:rPr>
          <w:rFonts w:hint="eastAsia"/>
        </w:rPr>
        <w:t>1 生产工艺设计</w:t>
      </w:r>
      <w:bookmarkEnd w:id="3"/>
    </w:p>
    <w:p>
      <w:pPr>
        <w:pStyle w:val="Heading2"/>
        <w:bidi w:val="0"/>
        <w:rPr>
          <w:rFonts w:hint="eastAsia"/>
        </w:rPr>
      </w:pPr>
      <w:bookmarkStart w:id="4" w:name="_Toc19836"/>
      <w:r>
        <w:rPr>
          <w:rFonts w:hint="eastAsia"/>
        </w:rPr>
        <w:t xml:space="preserve">1.1 </w:t>
      </w:r>
      <w:r>
        <w:rPr>
          <w:rFonts w:hint="eastAsia"/>
          <w:lang w:eastAsia="zh-CN"/>
        </w:rPr>
        <w:t>带状疱疹</w:t>
      </w:r>
      <w:r>
        <w:rPr>
          <w:rFonts w:hint="eastAsia"/>
        </w:rPr>
        <w:t>灭活疫苗的制备方法介绍</w:t>
      </w:r>
      <w:bookmarkEnd w:id="4"/>
    </w:p>
    <w:p>
      <w:pPr>
        <w:rPr>
          <w:rFonts w:hint="eastAsia"/>
        </w:rPr>
      </w:pPr>
      <w:r>
        <w:rPr>
          <w:rFonts w:hint="eastAsia"/>
        </w:rPr>
        <w:t>目前国内外的</w:t>
      </w:r>
      <w:r>
        <w:rPr>
          <w:rFonts w:hint="eastAsia"/>
          <w:lang w:eastAsia="zh-CN"/>
        </w:rPr>
        <w:t>带状疱疹</w:t>
      </w:r>
      <w:r>
        <w:rPr>
          <w:rFonts w:hint="eastAsia"/>
        </w:rPr>
        <w:t>灭活疫苗生产一般都采用转瓶及细胞工厂进行细胞培养和病毒培养。采用流加培养方 式，使培养经过处理，细胞膜表面的吸附性得到了显著的增强，相对于细胞工厂工艺技术及转瓶培养技术来说，可以缩小培养区域空间、节约运行时间;并且生物反应器可实现细胞培养的自动化操作,从而显著地降低投资成本和工作强度[11-14]。疫苗生产的工艺过程可以分成三个阶段：制备病毒收获液、纯化和冻干。其中，制备病毒收获液阶段又分为培养细胞阶段（细胞复苏、扩增培养至生物反应器）和培养病毒阶段（培养病毒、病毒的接种、病毒液收加）[15]。纯化阶段包括连续流离心、超滤浓缩、柱层析、半成品配制。</w:t>
      </w:r>
    </w:p>
    <w:p>
      <w:pPr>
        <w:pStyle w:val="Heading2"/>
        <w:bidi w:val="0"/>
        <w:rPr>
          <w:rFonts w:hint="eastAsia"/>
        </w:rPr>
      </w:pPr>
      <w:bookmarkStart w:id="5" w:name="_Toc30704"/>
      <w:r>
        <w:rPr>
          <w:rFonts w:hint="eastAsia"/>
        </w:rPr>
        <w:t xml:space="preserve">1.2 </w:t>
      </w:r>
      <w:r>
        <w:rPr>
          <w:rFonts w:hint="eastAsia"/>
          <w:lang w:eastAsia="zh-CN"/>
        </w:rPr>
        <w:t>带状疱疹</w:t>
      </w:r>
      <w:r>
        <w:rPr>
          <w:rFonts w:hint="eastAsia"/>
        </w:rPr>
        <w:t>灭活疫苗制备的工艺流程</w:t>
      </w:r>
      <w:bookmarkEnd w:id="5"/>
    </w:p>
    <w:p>
      <w:pPr>
        <w:rPr>
          <w:rFonts w:hint="eastAsia"/>
        </w:rPr>
        <w:sectPr>
          <w:headerReference w:type="default" r:id="rId10"/>
          <w:type w:val="nextPage"/>
          <w:pgSz w:w="11906" w:h="16838"/>
          <w:pgMar w:top="1440" w:right="1800" w:bottom="1440" w:left="1800" w:header="851" w:footer="992" w:gutter="0"/>
          <w:pgNumType w:start="6"/>
          <w:cols w:num="1" w:space="425"/>
          <w:titlePg w:val="0"/>
          <w:docGrid w:type="lines" w:linePitch="312" w:charSpace="0"/>
        </w:sectPr>
      </w:pPr>
      <w:r>
        <w:drawing>
          <wp:inline distT="0" distB="0" distL="114300" distR="114300">
            <wp:extent cx="5269865" cy="3996055"/>
            <wp:effectExtent l="0" t="0" r="6985" b="4445"/>
            <wp:docPr id="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
                    <pic:cNvPicPr>
                      <a:picLocks noChangeAspect="1"/>
                    </pic:cNvPicPr>
                  </pic:nvPicPr>
                  <pic:blipFill>
                    <a:blip xmlns:r="http://schemas.openxmlformats.org/officeDocument/2006/relationships" r:embed="rId11"/>
                    <a:stretch>
                      <a:fillRect/>
                    </a:stretch>
                  </pic:blipFill>
                  <pic:spPr>
                    <a:xfrm>
                      <a:off x="0" y="0"/>
                      <a:ext cx="5269865" cy="3996055"/>
                    </a:xfrm>
                    <a:prstGeom prst="rect">
                      <a:avLst/>
                    </a:prstGeom>
                    <a:noFill/>
                    <a:ln>
                      <a:noFill/>
                    </a:ln>
                  </pic:spPr>
                </pic:pic>
              </a:graphicData>
            </a:graphic>
          </wp:inline>
        </w:drawing>
      </w:r>
    </w:p>
    <w:p>
      <w:pPr>
        <w:rPr>
          <w:rFonts w:hint="eastAsia"/>
        </w:rPr>
      </w:pPr>
      <w:r>
        <w:rPr>
          <w:rFonts w:hint="eastAsia"/>
        </w:rPr>
        <w:t>图1-1</w:t>
      </w:r>
      <w:r>
        <w:rPr>
          <w:rFonts w:hint="eastAsia"/>
          <w:lang w:eastAsia="zh-CN"/>
        </w:rPr>
        <w:t>带状疱疹</w:t>
      </w:r>
      <w:r>
        <w:rPr>
          <w:rFonts w:hint="eastAsia"/>
        </w:rPr>
        <w:t>疫苗制备的工艺流程图</w:t>
      </w:r>
    </w:p>
    <w:p>
      <w:pPr>
        <w:pStyle w:val="Heading2"/>
        <w:bidi w:val="0"/>
        <w:rPr>
          <w:rFonts w:hint="eastAsia"/>
        </w:rPr>
      </w:pPr>
      <w:bookmarkStart w:id="6" w:name="_Toc20991"/>
      <w:r>
        <w:rPr>
          <w:rFonts w:hint="eastAsia"/>
        </w:rPr>
        <w:t>1.3 病毒收获液制备</w:t>
      </w:r>
      <w:bookmarkEnd w:id="6"/>
    </w:p>
    <w:p>
      <w:pPr>
        <w:rPr>
          <w:rFonts w:hint="eastAsia"/>
        </w:rPr>
      </w:pPr>
      <w:r>
        <w:rPr>
          <w:rFonts w:hint="eastAsia"/>
        </w:rPr>
        <w:t>取工作种子进行扩增培养，按照1：4-1：6传代比例进行传代，逐步向生物反应器中进行扩建培养。从25cm2的细胞培养瓶逐级放大至125cm2的细胞培养瓶 、250cm2 的细胞培养瓶、细胞工厂、生物反应器进行培育。含有刚出生牛血清的细胞培养液是培育Vero细胞时所使用的，PH为7.0-7.4，培养的温度控制在在36-38℃。待生物反应器内细胞生长至对数生长期时，按照一定比例的MOI进行感染。培养4天后开始进行流加收获。流加速度为20-30L/d，可连续收加10-15天。病毒培养液的PH为7.4-7.8。检验通过以后，将浓度为0.95%-1.25%的甲醛溶液加入到原溶液中， 37℃灭菌时间至多7天。灭活后，低温处于不低于2℃不超过8℃保存。</w:t>
      </w:r>
    </w:p>
    <w:p>
      <w:pPr>
        <w:pStyle w:val="Heading2"/>
        <w:bidi w:val="0"/>
        <w:rPr>
          <w:rFonts w:hint="eastAsia"/>
        </w:rPr>
      </w:pPr>
      <w:bookmarkStart w:id="7" w:name="_Toc29183"/>
      <w:r>
        <w:rPr>
          <w:rFonts w:hint="eastAsia"/>
        </w:rPr>
        <w:t>1.4 层析柱纯化及半成品配制</w:t>
      </w:r>
      <w:bookmarkEnd w:id="7"/>
    </w:p>
    <w:p>
      <w:pPr>
        <w:rPr>
          <w:rFonts w:hint="eastAsia"/>
        </w:rPr>
      </w:pPr>
      <w:r>
        <w:rPr>
          <w:rFonts w:hint="eastAsia"/>
        </w:rPr>
        <w:t>将病毒收获液在离心过程中连续导入，使沉淀留在离心仓中，不断排出上清液。病毒收获液经过连续流离心 后，再进行50倍超滤浓缩。灭活后的浓缩收获液再通过层析纯化，流加速度应为20-40cm/h，温度控制在18-26℃，</w:t>
      </w:r>
    </w:p>
    <w:p>
      <w:pPr>
        <w:rPr>
          <w:rFonts w:hint="eastAsia"/>
        </w:rPr>
      </w:pPr>
      <w:r>
        <w:rPr>
          <w:rFonts w:hint="eastAsia"/>
        </w:rPr>
        <w:t>上样量占层析胶体的5％-7％。 除菌是层析后的重要环节，除菌后所得即为原液。将原液按照1：16进行稀释后用适宜人血白蛋白、适量的氢氧化铝佐剂和硫柳汞抑菌剂进行1：1配制成半成品形式。</w:t>
      </w:r>
    </w:p>
    <w:p>
      <w:pPr>
        <w:pStyle w:val="Heading2"/>
        <w:bidi w:val="0"/>
        <w:rPr>
          <w:rFonts w:hint="eastAsia"/>
        </w:rPr>
      </w:pPr>
      <w:bookmarkStart w:id="8" w:name="_Toc6186"/>
      <w:r>
        <w:rPr>
          <w:rFonts w:hint="eastAsia"/>
        </w:rPr>
        <w:t>1.5 分包装及冻干</w:t>
      </w:r>
      <w:bookmarkEnd w:id="8"/>
    </w:p>
    <w:p>
      <w:pPr>
        <w:rPr>
          <w:rFonts w:hint="eastAsia"/>
        </w:rPr>
      </w:pPr>
      <w:r>
        <w:rPr>
          <w:rFonts w:hint="eastAsia"/>
        </w:rPr>
        <w:t>半成品进行相关检测，检测项目包含病毒滴定、无菌检查、支原体检查、游离甲醛含量、硫柳汞含量、衣原体检查、细菌内毒素检查、异常毒性检查、抗原含量、蛋白质含量、效价测定。检测合格后方可进行分批操作，成品必须按照生物制品的分批规程进行分批，将分批好的疫苗进行分装进盒，分装后的产品放入冷冻干燥机中进行冻干操作。</w:t>
      </w:r>
    </w:p>
    <w:p>
      <w:pPr>
        <w:rPr>
          <w:rFonts w:hint="eastAsia"/>
        </w:rPr>
      </w:pPr>
      <w:r>
        <w:rPr>
          <w:rFonts w:hint="eastAsia"/>
        </w:rPr>
        <w:t>再采用灌封技术，将西林瓶-灌装-封口联动线生成装有疫苗的试剂，需符合生物制品分装规程的规定。</w:t>
      </w:r>
    </w:p>
    <w:p>
      <w:pPr>
        <w:pStyle w:val="Heading1"/>
        <w:bidi w:val="0"/>
        <w:rPr>
          <w:rFonts w:hint="eastAsia"/>
        </w:rPr>
      </w:pPr>
      <w:bookmarkStart w:id="9" w:name="_Toc8471"/>
      <w:r>
        <w:rPr>
          <w:rFonts w:hint="eastAsia"/>
        </w:rPr>
        <w:t>2 物料衡算</w:t>
      </w:r>
      <w:bookmarkEnd w:id="9"/>
    </w:p>
    <w:p>
      <w:pPr>
        <w:outlineLvl w:val="1"/>
        <w:rPr>
          <w:rFonts w:hint="eastAsia"/>
        </w:rPr>
        <w:sectPr>
          <w:headerReference w:type="default" r:id="rId12"/>
          <w:type w:val="nextPage"/>
          <w:pgSz w:w="11906" w:h="16838"/>
          <w:pgMar w:top="1440" w:right="1800" w:bottom="1440" w:left="1800" w:header="851" w:footer="992" w:gutter="0"/>
          <w:pgNumType w:start="7"/>
          <w:cols w:num="1" w:space="425"/>
          <w:titlePg w:val="0"/>
          <w:docGrid w:type="lines" w:linePitch="312" w:charSpace="0"/>
        </w:sectPr>
      </w:pPr>
      <w:bookmarkStart w:id="10" w:name="_Toc10801"/>
      <w:r>
        <w:rPr>
          <w:rFonts w:hint="eastAsia"/>
        </w:rPr>
        <w:t>2.1 物料衡算的条件生产制度：单班次生产年工作日：276天</w:t>
      </w:r>
      <w:bookmarkEnd w:id="10"/>
    </w:p>
    <w:p>
      <w:pPr>
        <w:rPr>
          <w:rFonts w:hint="eastAsia"/>
        </w:rPr>
      </w:pPr>
      <w:r>
        <w:rPr>
          <w:rFonts w:hint="eastAsia"/>
        </w:rPr>
        <w:t>年处理量：</w:t>
      </w:r>
      <w:r>
        <w:rPr>
          <w:rFonts w:hint="eastAsia"/>
          <w:lang w:eastAsia="zh-CN"/>
        </w:rPr>
        <w:t>0.5亿</w:t>
      </w:r>
      <w:r>
        <w:rPr>
          <w:rFonts w:hint="eastAsia"/>
        </w:rPr>
        <w:t>支</w:t>
      </w:r>
    </w:p>
    <w:p>
      <w:pPr>
        <w:rPr>
          <w:rFonts w:hint="eastAsia"/>
        </w:rPr>
      </w:pPr>
      <w:r>
        <w:rPr>
          <w:rFonts w:hint="eastAsia"/>
        </w:rPr>
        <w:t>产品包装：0.5ml 西林瓶，每支含抗原48μg/ml 批产量时间：69天/批</w:t>
      </w:r>
    </w:p>
    <w:p>
      <w:pPr>
        <w:rPr>
          <w:rFonts w:hint="eastAsia"/>
        </w:rPr>
      </w:pPr>
      <w:r>
        <w:rPr>
          <w:rFonts w:hint="eastAsia"/>
        </w:rPr>
        <w:t>物料所需：500×104支×0.5ml/支=250×104ml</w:t>
      </w:r>
    </w:p>
    <w:p>
      <w:pPr>
        <w:rPr>
          <w:rFonts w:hint="eastAsia"/>
        </w:rPr>
      </w:pPr>
      <w:r>
        <w:rPr>
          <w:rFonts w:hint="eastAsia"/>
        </w:rPr>
        <w:t>考虑10％的物料损失： (250-250÷10％)×104＝278×104ml</w:t>
      </w:r>
    </w:p>
    <w:p>
      <w:pPr>
        <w:rPr>
          <w:rFonts w:hint="eastAsia"/>
        </w:rPr>
      </w:pPr>
      <w:r>
        <w:rPr>
          <w:rFonts w:hint="eastAsia"/>
        </w:rPr>
        <w:t>原液在半成品配制前需按照1：16进行稀释，原液和佐剂在配制的过程中比例约为1：1，考虑到10％的物料损耗，所以配制前的原液的量为：[（278÷2÷16）÷（1-10%）]×104≈9.6×104ml</w:t>
      </w:r>
    </w:p>
    <w:p>
      <w:pPr>
        <w:rPr>
          <w:rFonts w:hint="eastAsia"/>
        </w:rPr>
      </w:pPr>
      <w:r>
        <w:rPr>
          <w:rFonts w:hint="eastAsia"/>
        </w:rPr>
        <w:t>考虑到层析10％的损耗，可得出层析前的液量为：(9.6-9.6÷10％)×104≈10.7×104ml 考虑到50倍超滤和10％的损耗，超滤前液量为:[10.7-10.7÷10％]×50×104＝595×104ml</w:t>
      </w:r>
    </w:p>
    <w:p>
      <w:pPr>
        <w:rPr>
          <w:rFonts w:hint="eastAsia"/>
        </w:rPr>
      </w:pPr>
      <w:r>
        <w:rPr>
          <w:rFonts w:hint="eastAsia"/>
        </w:rPr>
        <w:t>考虑到连续流离心10％的损耗，病毒收获液的总量为：[595-595÷10％]×104=662×104ml＝6620L 所以所需批次为6620÷1800≈4批</w:t>
      </w:r>
    </w:p>
    <w:p>
      <w:pPr>
        <w:rPr>
          <w:rFonts w:hint="eastAsia"/>
        </w:rPr>
      </w:pPr>
      <w:r>
        <w:rPr>
          <w:rFonts w:hint="eastAsia"/>
        </w:rPr>
        <w:t>表2-1 每批所需时间</w:t>
      </w:r>
    </w:p>
    <w:tbl>
      <w:tblPr>
        <w:tblStyle w:val="TableGrid0"/>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2"/>
      </w:tblGrid>
      <w:tr>
        <w:tblPrEx>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8522" w:type="dxa"/>
          </w:tcPr>
          <w:p>
            <w:r>
              <w:rPr>
                <w:rFonts w:hint="eastAsia"/>
              </w:rPr>
              <w:t>操作名称</w:t>
            </w:r>
            <w:r>
              <w:rPr>
                <w:rFonts w:hint="eastAsia"/>
              </w:rPr>
              <w:tab/>
            </w:r>
            <w:r>
              <w:rPr>
                <w:rFonts w:hint="eastAsia"/>
                <w:lang w:val="en-US" w:eastAsia="zh-CN"/>
              </w:rPr>
              <w:t xml:space="preserve">                </w:t>
            </w:r>
            <w:r>
              <w:rPr>
                <w:rFonts w:hint="eastAsia"/>
              </w:rPr>
              <w:t>所需时间</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生物反应器预处理</w:t>
            </w:r>
            <w:r>
              <w:rPr>
                <w:rFonts w:hint="eastAsia"/>
              </w:rPr>
              <w:tab/>
            </w:r>
            <w:r>
              <w:rPr>
                <w:rFonts w:hint="eastAsia"/>
                <w:lang w:val="en-US" w:eastAsia="zh-CN"/>
              </w:rPr>
              <w:t xml:space="preserve">           </w:t>
            </w:r>
            <w:r>
              <w:rPr>
                <w:rFonts w:hint="eastAsia"/>
              </w:rPr>
              <w:t>7天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病毒培养</w:t>
            </w:r>
            <w:r>
              <w:rPr>
                <w:rFonts w:hint="eastAsia"/>
              </w:rPr>
              <w:tab/>
            </w:r>
            <w:r>
              <w:rPr>
                <w:rFonts w:hint="eastAsia"/>
                <w:lang w:val="en-US" w:eastAsia="zh-CN"/>
              </w:rPr>
              <w:t xml:space="preserve">                  </w:t>
            </w:r>
            <w:r>
              <w:rPr>
                <w:rFonts w:hint="eastAsia"/>
              </w:rPr>
              <w:t>4天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病毒液收加</w:t>
            </w:r>
            <w:r>
              <w:rPr>
                <w:rFonts w:hint="eastAsia"/>
              </w:rPr>
              <w:tab/>
            </w:r>
            <w:r>
              <w:rPr>
                <w:rFonts w:hint="eastAsia"/>
                <w:lang w:val="en-US" w:eastAsia="zh-CN"/>
              </w:rPr>
              <w:t xml:space="preserve">              </w:t>
            </w:r>
            <w:r>
              <w:rPr>
                <w:rFonts w:hint="eastAsia"/>
              </w:rPr>
              <w:t>15天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离心</w:t>
            </w:r>
            <w:r>
              <w:rPr>
                <w:rFonts w:hint="eastAsia"/>
              </w:rPr>
              <w:tab/>
            </w:r>
            <w:r>
              <w:rPr>
                <w:rFonts w:hint="eastAsia"/>
                <w:lang w:val="en-US" w:eastAsia="zh-CN"/>
              </w:rPr>
              <w:t xml:space="preserve">                     </w:t>
            </w:r>
            <w:r>
              <w:rPr>
                <w:rFonts w:hint="eastAsia"/>
              </w:rPr>
              <w:t>2天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超滤</w:t>
            </w:r>
            <w:r>
              <w:rPr>
                <w:rFonts w:hint="eastAsia"/>
              </w:rPr>
              <w:tab/>
            </w:r>
            <w:r>
              <w:rPr>
                <w:rFonts w:hint="eastAsia"/>
                <w:lang w:val="en-US" w:eastAsia="zh-CN"/>
              </w:rPr>
              <w:t xml:space="preserve">                     </w:t>
            </w:r>
            <w:r>
              <w:rPr>
                <w:rFonts w:hint="eastAsia"/>
              </w:rPr>
              <w:t>2天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层析</w:t>
            </w:r>
            <w:r>
              <w:rPr>
                <w:rFonts w:hint="eastAsia"/>
              </w:rPr>
              <w:tab/>
            </w:r>
            <w:r>
              <w:rPr>
                <w:rFonts w:hint="eastAsia"/>
                <w:lang w:val="en-US" w:eastAsia="zh-CN"/>
              </w:rPr>
              <w:t xml:space="preserve">                     </w:t>
            </w:r>
            <w:r>
              <w:rPr>
                <w:rFonts w:hint="eastAsia"/>
              </w:rPr>
              <w:t>2天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各项检验</w:t>
            </w:r>
            <w:r>
              <w:rPr>
                <w:rFonts w:hint="eastAsia"/>
              </w:rPr>
              <w:tab/>
            </w:r>
            <w:r>
              <w:rPr>
                <w:rFonts w:hint="eastAsia"/>
                <w:lang w:val="en-US" w:eastAsia="zh-CN"/>
              </w:rPr>
              <w:t xml:space="preserve">                 </w:t>
            </w:r>
            <w:r>
              <w:rPr>
                <w:rFonts w:hint="eastAsia"/>
              </w:rPr>
              <w:t>30天</w:t>
            </w:r>
          </w:p>
        </w:tc>
      </w:tr>
      <w:tr>
        <w:tblPrEx>
          <w:tblW w:w="8522" w:type="dxa"/>
          <w:tblInd w:w="0" w:type="dxa"/>
          <w:tblLayout w:type="fixed"/>
          <w:tblCellMar>
            <w:top w:w="0" w:type="dxa"/>
            <w:left w:w="108" w:type="dxa"/>
            <w:bottom w:w="0" w:type="dxa"/>
            <w:right w:w="108" w:type="dxa"/>
          </w:tblCellMar>
        </w:tblPrEx>
        <w:tc>
          <w:tcPr>
            <w:tcW w:w="8522" w:type="dxa"/>
          </w:tcPr>
          <w:p>
            <w:r>
              <w:rPr>
                <w:rFonts w:hint="eastAsia"/>
              </w:rPr>
              <w:t>细胞培养</w:t>
            </w:r>
            <w:r>
              <w:rPr>
                <w:rFonts w:hint="eastAsia"/>
                <w:lang w:val="en-US" w:eastAsia="zh-CN"/>
              </w:rPr>
              <w:t xml:space="preserve">                </w:t>
            </w:r>
            <w:r>
              <w:rPr>
                <w:rFonts w:hint="eastAsia"/>
              </w:rPr>
              <w:tab/>
            </w:r>
            <w:r>
              <w:rPr>
                <w:rFonts w:hint="eastAsia"/>
              </w:rPr>
              <w:t>7天</w:t>
            </w:r>
          </w:p>
        </w:tc>
      </w:tr>
    </w:tbl>
    <w:p>
      <w:pPr>
        <w:sectPr>
          <w:headerReference w:type="default" r:id="rId13"/>
          <w:type w:val="nextPage"/>
          <w:pgSz w:w="11906" w:h="16838"/>
          <w:pgMar w:top="1440" w:right="1800" w:bottom="1440" w:left="1800" w:header="851" w:footer="992" w:gutter="0"/>
          <w:pgNumType w:start="8"/>
          <w:cols w:num="1" w:space="425"/>
          <w:titlePg w:val="0"/>
          <w:docGrid w:type="lines" w:linePitch="312" w:charSpace="0"/>
        </w:sectPr>
      </w:pPr>
    </w:p>
    <w:tbl>
      <w:tblPr>
        <w:tblStyle w:val="TableGrid1"/>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2"/>
      </w:tblGrid>
      <w:tr>
        <w:tblPrEx>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8522" w:type="dxa"/>
          </w:tcPr>
          <w:p>
            <w:r>
              <w:rPr>
                <w:rFonts w:hint="eastAsia"/>
              </w:rPr>
              <w:t>每批次用时</w:t>
            </w:r>
            <w:r>
              <w:rPr>
                <w:rFonts w:hint="eastAsia"/>
                <w:lang w:val="en-US" w:eastAsia="zh-CN"/>
              </w:rPr>
              <w:t xml:space="preserve">               </w:t>
            </w:r>
            <w:r>
              <w:rPr>
                <w:rFonts w:hint="eastAsia"/>
              </w:rPr>
              <w:tab/>
            </w:r>
            <w:r>
              <w:rPr>
                <w:rFonts w:hint="eastAsia"/>
              </w:rPr>
              <w:t>69天</w:t>
            </w:r>
          </w:p>
        </w:tc>
      </w:tr>
    </w:tbl>
    <w:p>
      <w:pPr>
        <w:rPr>
          <w:rFonts w:hint="eastAsia"/>
        </w:rPr>
      </w:pPr>
      <w:r>
        <w:rPr>
          <w:rFonts w:hint="eastAsia"/>
        </w:rPr>
        <w:t>根据5%损耗计算西林瓶年用量，即生产量为550万，考虑外包装损耗量小，所以按照5%损耗进行计算</w:t>
      </w:r>
    </w:p>
    <w:p>
      <w:r>
        <w:drawing>
          <wp:inline distT="0" distB="0" distL="114300" distR="114300">
            <wp:extent cx="4476750" cy="5772150"/>
            <wp:effectExtent l="0" t="0" r="0" b="0"/>
            <wp:docPr id="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
                    <pic:cNvPicPr>
                      <a:picLocks noChangeAspect="1"/>
                    </pic:cNvPicPr>
                  </pic:nvPicPr>
                  <pic:blipFill>
                    <a:blip xmlns:r="http://schemas.openxmlformats.org/officeDocument/2006/relationships" r:embed="rId14"/>
                    <a:stretch>
                      <a:fillRect/>
                    </a:stretch>
                  </pic:blipFill>
                  <pic:spPr>
                    <a:xfrm>
                      <a:off x="0" y="0"/>
                      <a:ext cx="4476750" cy="5772150"/>
                    </a:xfrm>
                    <a:prstGeom prst="rect">
                      <a:avLst/>
                    </a:prstGeom>
                    <a:noFill/>
                    <a:ln>
                      <a:noFill/>
                    </a:ln>
                  </pic:spPr>
                </pic:pic>
              </a:graphicData>
            </a:graphic>
          </wp:inline>
        </w:drawing>
      </w:r>
    </w:p>
    <w:p>
      <w:pPr>
        <w:rPr>
          <w:rFonts w:hint="eastAsia"/>
        </w:rPr>
      </w:pPr>
      <w:r>
        <w:rPr>
          <w:rFonts w:hint="eastAsia"/>
        </w:rPr>
        <w:t>图2-1分包装流程消耗图</w:t>
      </w:r>
    </w:p>
    <w:p>
      <w:pPr>
        <w:rPr>
          <w:rFonts w:hint="eastAsia"/>
        </w:rPr>
      </w:pPr>
      <w:r>
        <w:rPr>
          <w:rFonts w:hint="eastAsia"/>
        </w:rPr>
        <w:t>包装盒：5×106盒/年÷0.95=5.26×106盒/年说明书：5×106张/年÷0.95=5.26×106张/年标签：5×106张/年÷0.95=5.26×106张/年</w:t>
      </w:r>
    </w:p>
    <w:p>
      <w:pPr>
        <w:rPr>
          <w:rFonts w:hint="eastAsia"/>
        </w:rPr>
      </w:pPr>
      <w:r>
        <w:rPr>
          <w:rFonts w:hint="eastAsia"/>
        </w:rPr>
        <w:t>纸箱：5×106瓶/年÷200瓶/箱=2.5×104箱/年西林瓶：5×106瓶/年÷0.95＝5.26×106 瓶/年</w:t>
      </w:r>
      <w:r>
        <w:rPr>
          <w:rFonts w:hint="eastAsia"/>
        </w:rPr>
        <w:br/>
      </w:r>
      <w:r>
        <w:rPr>
          <w:rFonts w:hint="eastAsia"/>
        </w:rPr>
        <w:br/>
      </w:r>
    </w:p>
    <w:p>
      <w:pPr>
        <w:widowControl/>
        <w:spacing w:after="0"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https://d.book118.com/916212010005010033</w:t>
        </w:r>
      </w:hyperlink>
    </w:p>
    <w:p>
      <w:pPr>
        <w:rPr>
          <w:rFonts w:hint="eastAsia"/>
        </w:rPr>
      </w:pPr>
    </w:p>
    <w:sectPr>
      <w:headerReference w:type="default" r:id="rId16"/>
      <w:type w:val="nextPage"/>
      <w:pgSz w:w="11906" w:h="16838"/>
      <w:pgMar w:top="1440" w:right="1800" w:bottom="1440" w:left="1800" w:header="851" w:footer="992"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AFF" w:usb1="C0007841" w:usb2="00000009" w:usb3="00000000" w:csb0="4004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rFonts w:hint="default"/>
        <w:sz w:val="2"/>
        <w:szCs w:val="2"/>
        <w:lang w:val="en-US" w:eastAsia="zh-CN"/>
      </w:rPr>
      <w:t>读完这篇小说，我发现，老人的故事不仅象征着人与自然的关系，而且象征着人类坚不可摧的精神。在现实中，他虽然失败了，但在精神上得人们去学习，在遇到困难和挫折时，要相信自己，敢于拼困难与挫折，遇到挫折，只会求助于他人或置一次，努力决定着成败，在这短暂而又漫长的搏，否则将永远停滞于困境之中。人生就像是一场捕鱼，，他却是胜利者，他那顽强搏击的精神，展示了人的高贵和尊严。遍顾所有的人生，谁没有经历过失败呢?无论是在生活中还是在学之不理，缺少毅力。如果我们都像书中的老人一样，那么困难将永远无法阻拦我们前进的步伐。生命只有习中，我们都会遇到许多困难，但是在面对他们的时候我们的态度各有不同，有的惧怕困难，有的逃避困难，迎流而上。比如在我们的生活中遇到难题，大部分时候我们会因为太难而放弃，但是如果我们通过自己的独立思考去解决，那样的喜悦是不言而喻的。我想，险恶的人生环境和坚韧的人生态度，正是这部作品越来越吸引人的原因。人生本来就是一种无止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A4614B"/>
    <w:rsid w:val="00423BEA"/>
    <w:rsid w:val="0066795B"/>
    <w:rsid w:val="00FF393A"/>
    <w:rsid w:val="030B0FEA"/>
    <w:rsid w:val="03137278"/>
    <w:rsid w:val="039542EB"/>
    <w:rsid w:val="03D9499D"/>
    <w:rsid w:val="03E5107E"/>
    <w:rsid w:val="059B1E55"/>
    <w:rsid w:val="060B5E69"/>
    <w:rsid w:val="063B53E6"/>
    <w:rsid w:val="06A664D9"/>
    <w:rsid w:val="06F060AC"/>
    <w:rsid w:val="07534192"/>
    <w:rsid w:val="07C5765D"/>
    <w:rsid w:val="084710F9"/>
    <w:rsid w:val="088E330A"/>
    <w:rsid w:val="08B62A49"/>
    <w:rsid w:val="08D756FA"/>
    <w:rsid w:val="0A5B70CB"/>
    <w:rsid w:val="0A9A3E05"/>
    <w:rsid w:val="0B192BC2"/>
    <w:rsid w:val="0B2148EB"/>
    <w:rsid w:val="0B786794"/>
    <w:rsid w:val="0C54627E"/>
    <w:rsid w:val="0C656375"/>
    <w:rsid w:val="0D627DDB"/>
    <w:rsid w:val="0D723519"/>
    <w:rsid w:val="0DB52379"/>
    <w:rsid w:val="0E2403EF"/>
    <w:rsid w:val="0E5176EE"/>
    <w:rsid w:val="0EF206D0"/>
    <w:rsid w:val="0F294770"/>
    <w:rsid w:val="103F5E03"/>
    <w:rsid w:val="10B34A8B"/>
    <w:rsid w:val="114601F9"/>
    <w:rsid w:val="11CC1DC3"/>
    <w:rsid w:val="130D61DC"/>
    <w:rsid w:val="13183FE3"/>
    <w:rsid w:val="134C1D3F"/>
    <w:rsid w:val="138F09C8"/>
    <w:rsid w:val="139979B7"/>
    <w:rsid w:val="13FA7C1A"/>
    <w:rsid w:val="14504752"/>
    <w:rsid w:val="147815B3"/>
    <w:rsid w:val="14904841"/>
    <w:rsid w:val="14CD756D"/>
    <w:rsid w:val="15325B4D"/>
    <w:rsid w:val="16232CE1"/>
    <w:rsid w:val="164C1A04"/>
    <w:rsid w:val="17263548"/>
    <w:rsid w:val="17481711"/>
    <w:rsid w:val="17B62B1E"/>
    <w:rsid w:val="18C143C7"/>
    <w:rsid w:val="1A5D2D0B"/>
    <w:rsid w:val="1BB0109C"/>
    <w:rsid w:val="1CB708F0"/>
    <w:rsid w:val="1DC07A0D"/>
    <w:rsid w:val="1E616809"/>
    <w:rsid w:val="1E6D7F40"/>
    <w:rsid w:val="1E7B4030"/>
    <w:rsid w:val="1E9236CD"/>
    <w:rsid w:val="1EB12E8E"/>
    <w:rsid w:val="1FD04999"/>
    <w:rsid w:val="20C20786"/>
    <w:rsid w:val="20D46572"/>
    <w:rsid w:val="20DC0A16"/>
    <w:rsid w:val="21EB5ABA"/>
    <w:rsid w:val="2240793E"/>
    <w:rsid w:val="22FD3CF7"/>
    <w:rsid w:val="2372283E"/>
    <w:rsid w:val="237C3DA7"/>
    <w:rsid w:val="23867E3E"/>
    <w:rsid w:val="2393632C"/>
    <w:rsid w:val="239A5AB6"/>
    <w:rsid w:val="23A4614B"/>
    <w:rsid w:val="23BF2B98"/>
    <w:rsid w:val="23D902C0"/>
    <w:rsid w:val="241A4916"/>
    <w:rsid w:val="242F6132"/>
    <w:rsid w:val="247D5C25"/>
    <w:rsid w:val="247E27C7"/>
    <w:rsid w:val="24AA68E6"/>
    <w:rsid w:val="24BB1255"/>
    <w:rsid w:val="24BD69E5"/>
    <w:rsid w:val="25447981"/>
    <w:rsid w:val="257537E5"/>
    <w:rsid w:val="261D1819"/>
    <w:rsid w:val="261D3C52"/>
    <w:rsid w:val="26F366C8"/>
    <w:rsid w:val="272D17E7"/>
    <w:rsid w:val="27950C1E"/>
    <w:rsid w:val="285562A0"/>
    <w:rsid w:val="28F324D5"/>
    <w:rsid w:val="28FA4ACB"/>
    <w:rsid w:val="29CA5EA5"/>
    <w:rsid w:val="2A1414B1"/>
    <w:rsid w:val="2B4574C3"/>
    <w:rsid w:val="2B66067C"/>
    <w:rsid w:val="2B8E7D46"/>
    <w:rsid w:val="2C0209D6"/>
    <w:rsid w:val="2C6A329E"/>
    <w:rsid w:val="2CA15CEF"/>
    <w:rsid w:val="2D1E360A"/>
    <w:rsid w:val="2D4016ED"/>
    <w:rsid w:val="2DBD3821"/>
    <w:rsid w:val="2E061FED"/>
    <w:rsid w:val="2E2518E0"/>
    <w:rsid w:val="2E4948CA"/>
    <w:rsid w:val="2E514EF7"/>
    <w:rsid w:val="2EC269CD"/>
    <w:rsid w:val="2F535519"/>
    <w:rsid w:val="2F631C4A"/>
    <w:rsid w:val="2FBE65BC"/>
    <w:rsid w:val="2FC47167"/>
    <w:rsid w:val="300875A9"/>
    <w:rsid w:val="30E55F8A"/>
    <w:rsid w:val="310B70F4"/>
    <w:rsid w:val="31391385"/>
    <w:rsid w:val="315F6F5A"/>
    <w:rsid w:val="31720BAE"/>
    <w:rsid w:val="319133E7"/>
    <w:rsid w:val="31F167D5"/>
    <w:rsid w:val="322934E6"/>
    <w:rsid w:val="323375B5"/>
    <w:rsid w:val="32843928"/>
    <w:rsid w:val="32CC0FF0"/>
    <w:rsid w:val="32F557DA"/>
    <w:rsid w:val="34594B05"/>
    <w:rsid w:val="34E863A6"/>
    <w:rsid w:val="35016BF2"/>
    <w:rsid w:val="35101351"/>
    <w:rsid w:val="352A1C0C"/>
    <w:rsid w:val="36BF25C8"/>
    <w:rsid w:val="375E779B"/>
    <w:rsid w:val="37F3683B"/>
    <w:rsid w:val="38616CA8"/>
    <w:rsid w:val="38EA11EC"/>
    <w:rsid w:val="396F50D3"/>
    <w:rsid w:val="397E2558"/>
    <w:rsid w:val="3A7139C3"/>
    <w:rsid w:val="3A875F9D"/>
    <w:rsid w:val="3AB909A6"/>
    <w:rsid w:val="3AE710BD"/>
    <w:rsid w:val="3B4B262D"/>
    <w:rsid w:val="3B552EF3"/>
    <w:rsid w:val="3BA914AF"/>
    <w:rsid w:val="3BE7506A"/>
    <w:rsid w:val="3D0F049C"/>
    <w:rsid w:val="3DE26057"/>
    <w:rsid w:val="3DF54422"/>
    <w:rsid w:val="3E667DDE"/>
    <w:rsid w:val="3EF205EC"/>
    <w:rsid w:val="3F9F19C9"/>
    <w:rsid w:val="4058011F"/>
    <w:rsid w:val="40C30BAB"/>
    <w:rsid w:val="411A0709"/>
    <w:rsid w:val="41F26F6A"/>
    <w:rsid w:val="424B4B9F"/>
    <w:rsid w:val="42642843"/>
    <w:rsid w:val="42946687"/>
    <w:rsid w:val="436527B6"/>
    <w:rsid w:val="43A714B0"/>
    <w:rsid w:val="442962A2"/>
    <w:rsid w:val="44501024"/>
    <w:rsid w:val="445D5CBD"/>
    <w:rsid w:val="446D5BC7"/>
    <w:rsid w:val="44907631"/>
    <w:rsid w:val="4527236F"/>
    <w:rsid w:val="45586862"/>
    <w:rsid w:val="456C1406"/>
    <w:rsid w:val="45B027E4"/>
    <w:rsid w:val="468A4D12"/>
    <w:rsid w:val="46F87B71"/>
    <w:rsid w:val="470E2E81"/>
    <w:rsid w:val="47A21167"/>
    <w:rsid w:val="489444BE"/>
    <w:rsid w:val="49143163"/>
    <w:rsid w:val="496C2CFC"/>
    <w:rsid w:val="4A021220"/>
    <w:rsid w:val="4A0D6E4C"/>
    <w:rsid w:val="4A17035E"/>
    <w:rsid w:val="4A844C7D"/>
    <w:rsid w:val="4B025F5D"/>
    <w:rsid w:val="4B252038"/>
    <w:rsid w:val="4B260FA5"/>
    <w:rsid w:val="4BBC0C90"/>
    <w:rsid w:val="4BF97F6A"/>
    <w:rsid w:val="4C0D300D"/>
    <w:rsid w:val="4C297BD2"/>
    <w:rsid w:val="4C2C2417"/>
    <w:rsid w:val="4C2F0EF4"/>
    <w:rsid w:val="4C3A7C9E"/>
    <w:rsid w:val="4C4B4A40"/>
    <w:rsid w:val="4CDB40C2"/>
    <w:rsid w:val="4D6E4D26"/>
    <w:rsid w:val="4E854A1D"/>
    <w:rsid w:val="4ED7402D"/>
    <w:rsid w:val="4F14027F"/>
    <w:rsid w:val="4F6050C6"/>
    <w:rsid w:val="508D5E0B"/>
    <w:rsid w:val="50E261E0"/>
    <w:rsid w:val="51122C56"/>
    <w:rsid w:val="51147688"/>
    <w:rsid w:val="516323EB"/>
    <w:rsid w:val="51D33E75"/>
    <w:rsid w:val="51DE0461"/>
    <w:rsid w:val="51F440A6"/>
    <w:rsid w:val="5237715C"/>
    <w:rsid w:val="525D348D"/>
    <w:rsid w:val="53E5497C"/>
    <w:rsid w:val="54AC0539"/>
    <w:rsid w:val="54DA5F6F"/>
    <w:rsid w:val="54E90592"/>
    <w:rsid w:val="553E24E8"/>
    <w:rsid w:val="555C3BBF"/>
    <w:rsid w:val="558D05D9"/>
    <w:rsid w:val="559304F1"/>
    <w:rsid w:val="559E7614"/>
    <w:rsid w:val="561E458A"/>
    <w:rsid w:val="562B4731"/>
    <w:rsid w:val="56332FB1"/>
    <w:rsid w:val="56801ECD"/>
    <w:rsid w:val="56816334"/>
    <w:rsid w:val="56847C8C"/>
    <w:rsid w:val="57420C84"/>
    <w:rsid w:val="57BC3CE6"/>
    <w:rsid w:val="583A2764"/>
    <w:rsid w:val="58B76BDC"/>
    <w:rsid w:val="58E75294"/>
    <w:rsid w:val="590A2B26"/>
    <w:rsid w:val="593E2DC0"/>
    <w:rsid w:val="59510EA8"/>
    <w:rsid w:val="5978082B"/>
    <w:rsid w:val="59D11899"/>
    <w:rsid w:val="5A1F5D26"/>
    <w:rsid w:val="5A493642"/>
    <w:rsid w:val="5B122C7F"/>
    <w:rsid w:val="5BDB358A"/>
    <w:rsid w:val="5C686BB6"/>
    <w:rsid w:val="5CAF2C65"/>
    <w:rsid w:val="5DA4415A"/>
    <w:rsid w:val="5DDF53B2"/>
    <w:rsid w:val="5DED19E8"/>
    <w:rsid w:val="5E244E1C"/>
    <w:rsid w:val="5E5579F0"/>
    <w:rsid w:val="5EDE3E70"/>
    <w:rsid w:val="5F4B7FE5"/>
    <w:rsid w:val="5F5B1C8E"/>
    <w:rsid w:val="5F675BB2"/>
    <w:rsid w:val="5F7268F8"/>
    <w:rsid w:val="5F8D0B10"/>
    <w:rsid w:val="5FBD61E0"/>
    <w:rsid w:val="5FC22FBF"/>
    <w:rsid w:val="603F7208"/>
    <w:rsid w:val="604152F7"/>
    <w:rsid w:val="60674A52"/>
    <w:rsid w:val="60E95AC5"/>
    <w:rsid w:val="618D7676"/>
    <w:rsid w:val="61D33539"/>
    <w:rsid w:val="621D675B"/>
    <w:rsid w:val="62E844C4"/>
    <w:rsid w:val="62EE44E7"/>
    <w:rsid w:val="63196C99"/>
    <w:rsid w:val="63240A94"/>
    <w:rsid w:val="63AA7DA7"/>
    <w:rsid w:val="64183D53"/>
    <w:rsid w:val="6421635A"/>
    <w:rsid w:val="646434FA"/>
    <w:rsid w:val="64E40AED"/>
    <w:rsid w:val="652341F0"/>
    <w:rsid w:val="6564268D"/>
    <w:rsid w:val="65C459D3"/>
    <w:rsid w:val="65DA06A2"/>
    <w:rsid w:val="65E11047"/>
    <w:rsid w:val="65F12A46"/>
    <w:rsid w:val="66E2728C"/>
    <w:rsid w:val="66F80796"/>
    <w:rsid w:val="66FF178B"/>
    <w:rsid w:val="67051242"/>
    <w:rsid w:val="67B53EDE"/>
    <w:rsid w:val="67C33EDD"/>
    <w:rsid w:val="680C10CF"/>
    <w:rsid w:val="68461C23"/>
    <w:rsid w:val="6881582E"/>
    <w:rsid w:val="68946DA9"/>
    <w:rsid w:val="689954CA"/>
    <w:rsid w:val="68EC18B0"/>
    <w:rsid w:val="694806C9"/>
    <w:rsid w:val="69901186"/>
    <w:rsid w:val="69911A31"/>
    <w:rsid w:val="69B01F8E"/>
    <w:rsid w:val="69DA16D1"/>
    <w:rsid w:val="6A6B1B24"/>
    <w:rsid w:val="6AC60508"/>
    <w:rsid w:val="6AE15A5F"/>
    <w:rsid w:val="6B190103"/>
    <w:rsid w:val="6B5259F4"/>
    <w:rsid w:val="6B9176B7"/>
    <w:rsid w:val="6BBB78A9"/>
    <w:rsid w:val="6C6D2EA2"/>
    <w:rsid w:val="6C8C6B1F"/>
    <w:rsid w:val="6C9636BD"/>
    <w:rsid w:val="6CD720E9"/>
    <w:rsid w:val="6CEB71F2"/>
    <w:rsid w:val="6D0105DA"/>
    <w:rsid w:val="6D1A7C61"/>
    <w:rsid w:val="6DF83A97"/>
    <w:rsid w:val="6E61240C"/>
    <w:rsid w:val="6EBF6A15"/>
    <w:rsid w:val="6ED24CBD"/>
    <w:rsid w:val="6EE51F90"/>
    <w:rsid w:val="6F173B21"/>
    <w:rsid w:val="6F59718C"/>
    <w:rsid w:val="6FC61481"/>
    <w:rsid w:val="6FEC6252"/>
    <w:rsid w:val="706D0560"/>
    <w:rsid w:val="7075143A"/>
    <w:rsid w:val="70AB1C6A"/>
    <w:rsid w:val="720037DC"/>
    <w:rsid w:val="725B5A75"/>
    <w:rsid w:val="72D1324F"/>
    <w:rsid w:val="73672556"/>
    <w:rsid w:val="73DA58ED"/>
    <w:rsid w:val="74145D78"/>
    <w:rsid w:val="74185868"/>
    <w:rsid w:val="74367ECD"/>
    <w:rsid w:val="74A64A33"/>
    <w:rsid w:val="74AC2F2C"/>
    <w:rsid w:val="75012C40"/>
    <w:rsid w:val="750E369A"/>
    <w:rsid w:val="757D0556"/>
    <w:rsid w:val="758053D5"/>
    <w:rsid w:val="75DF0C72"/>
    <w:rsid w:val="76366AAF"/>
    <w:rsid w:val="765E152C"/>
    <w:rsid w:val="766D0CBE"/>
    <w:rsid w:val="77575627"/>
    <w:rsid w:val="778B65C6"/>
    <w:rsid w:val="778F41AB"/>
    <w:rsid w:val="77BC410A"/>
    <w:rsid w:val="77E55235"/>
    <w:rsid w:val="7960092F"/>
    <w:rsid w:val="79C45FF2"/>
    <w:rsid w:val="79DF2E57"/>
    <w:rsid w:val="7A1E6388"/>
    <w:rsid w:val="7A9B3AB3"/>
    <w:rsid w:val="7B713AB0"/>
    <w:rsid w:val="7C7A2BA3"/>
    <w:rsid w:val="7C83001F"/>
    <w:rsid w:val="7CE3438F"/>
    <w:rsid w:val="7CE64029"/>
    <w:rsid w:val="7D291948"/>
    <w:rsid w:val="7DD16DE5"/>
    <w:rsid w:val="7E8A188A"/>
    <w:rsid w:val="7EB44B61"/>
    <w:rsid w:val="7F804481"/>
  </w:rsids>
  <w:docVars>
    <w:docVar w:name="commondata" w:val="eyJoZGlkIjoiZmUzY2Y5ZDE0Mzc4NzNmNzAzODEyNzNhZWJhNDc5NT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qFormat="1"/>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link w:val="NormalCharacter"/>
    <w:qFormat/>
    <w:pPr>
      <w:widowControl w:val="0"/>
      <w:spacing w:line="360" w:lineRule="auto"/>
      <w:ind w:firstLine="420" w:firstLineChars="200"/>
      <w:jc w:val="both"/>
    </w:pPr>
    <w:rPr>
      <w:rFonts w:ascii="Times New Roman" w:eastAsia="宋体" w:hAnsi="Times New Roman" w:cstheme="minorBidi"/>
      <w:kern w:val="2"/>
      <w:sz w:val="24"/>
      <w:szCs w:val="24"/>
      <w:lang w:val="en-US" w:eastAsia="zh-CN" w:bidi="ar-SA"/>
    </w:rPr>
  </w:style>
  <w:style w:type="paragraph" w:styleId="Heading1">
    <w:name w:val="heading 1"/>
    <w:basedOn w:val="Normal"/>
    <w:next w:val="Normal"/>
    <w:link w:val="1Char"/>
    <w:qFormat/>
    <w:pPr>
      <w:keepNext/>
      <w:jc w:val="center"/>
      <w:outlineLvl w:val="0"/>
    </w:pPr>
    <w:rPr>
      <w:rFonts w:ascii="Times New Roman" w:eastAsia="黑体" w:hAnsi="Times New Roman" w:cs="Times New Roman"/>
      <w:bCs/>
      <w:sz w:val="36"/>
    </w:rPr>
  </w:style>
  <w:style w:type="paragraph" w:styleId="Heading2">
    <w:name w:val="heading 2"/>
    <w:basedOn w:val="Normal"/>
    <w:next w:val="Normal"/>
    <w:link w:val="2Char"/>
    <w:unhideWhenUsed/>
    <w:qFormat/>
    <w:pPr>
      <w:snapToGrid w:val="0"/>
      <w:spacing w:before="50" w:beforeLines="50" w:after="50" w:afterLines="50" w:line="280" w:lineRule="exact"/>
      <w:ind w:firstLine="480" w:firstLineChars="200"/>
      <w:jc w:val="left"/>
      <w:outlineLvl w:val="1"/>
    </w:pPr>
    <w:rPr>
      <w:rFonts w:ascii="Cambria" w:eastAsia="黑体" w:hAnsi="Cambria" w:cs="Times New Roman"/>
      <w:bCs/>
      <w:sz w:val="28"/>
      <w:szCs w:val="32"/>
    </w:rPr>
  </w:style>
  <w:style w:type="paragraph" w:styleId="Heading3">
    <w:name w:val="heading 3"/>
    <w:basedOn w:val="Normal"/>
    <w:next w:val="Normal"/>
    <w:link w:val="3Char"/>
    <w:unhideWhenUsed/>
    <w:qFormat/>
    <w:pPr>
      <w:keepNext/>
      <w:keepLines/>
      <w:spacing w:before="260" w:after="260" w:line="413" w:lineRule="auto"/>
      <w:jc w:val="left"/>
      <w:outlineLvl w:val="2"/>
    </w:pPr>
    <w:rPr>
      <w:rFonts w:ascii="Times New Roman" w:eastAsia="宋体" w:hAnsi="Times New Roman" w:cs="Times New Roman"/>
    </w:rPr>
  </w:style>
  <w:style w:type="character" w:default="1" w:styleId="DefaultParagraphFont">
    <w:name w:val="Default Paragraph Font"/>
    <w:uiPriority w:val="1"/>
    <w:semiHidden/>
    <w:unhideWhenUsed/>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link w:val="a"/>
    <w:qFormat/>
    <w:pPr>
      <w:spacing w:line="360" w:lineRule="auto"/>
      <w:ind w:firstLine="420" w:firstLineChars="200"/>
      <w:jc w:val="center"/>
    </w:pPr>
    <w:rPr>
      <w:rFonts w:ascii="Times New Roman" w:eastAsia="宋体" w:hAnsi="Times New Roman"/>
      <w:kern w:val="2"/>
      <w:sz w:val="24"/>
      <w:szCs w:val="20"/>
      <w:lang w:val="en-US" w:eastAsia="zh-CN" w:bidi="ar-SA"/>
    </w:rPr>
  </w:style>
  <w:style w:type="paragraph" w:styleId="TOAHeading">
    <w:name w:val="toa heading"/>
    <w:basedOn w:val="Normal"/>
    <w:next w:val="Normal"/>
    <w:qFormat/>
    <w:pPr>
      <w:spacing w:before="120" w:beforeLines="0" w:beforeAutospacing="0" w:line="360" w:lineRule="auto"/>
      <w:ind w:firstLine="420" w:firstLineChars="200"/>
    </w:pPr>
    <w:rPr>
      <w:rFonts w:ascii="Arial" w:hAnsi="Arial" w:eastAsiaTheme="minorEastAsia" w:cstheme="minorBidi"/>
      <w:sz w:val="24"/>
      <w:szCs w:val="22"/>
    </w:r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DefaultParagraphFont"/>
    <w:link w:val="Heading1"/>
    <w:qFormat/>
    <w:rPr>
      <w:rFonts w:ascii="Times New Roman" w:eastAsia="黑体" w:hAnsi="Times New Roman" w:cs="Times New Roman"/>
      <w:bCs/>
      <w:color w:val="000000" w:themeColor="text1"/>
      <w:kern w:val="44"/>
      <w:sz w:val="36"/>
      <w:szCs w:val="24"/>
      <w:lang w:val="en-US" w:eastAsia="zh-CN" w:bidi="ar-SA"/>
      <w14:textFill>
        <w14:solidFill>
          <w14:schemeClr w14:val="tx1"/>
        </w14:solidFill>
      </w14:textFill>
    </w:rPr>
  </w:style>
  <w:style w:type="character" w:customStyle="1" w:styleId="NormalCharacter">
    <w:name w:val="NormalCharacter"/>
    <w:link w:val="Normal"/>
    <w:qFormat/>
    <w:rPr>
      <w:rFonts w:ascii="Times New Roman" w:eastAsia="宋体" w:hAnsi="Times New Roman" w:cs="Times New Roman"/>
      <w:sz w:val="28"/>
      <w:szCs w:val="22"/>
      <w:lang w:val="zh-CN" w:eastAsia="zh-CN" w:bidi="zh-CN"/>
    </w:rPr>
  </w:style>
  <w:style w:type="character" w:customStyle="1" w:styleId="2Char">
    <w:name w:val="标题 2 Char"/>
    <w:basedOn w:val="DefaultParagraphFont"/>
    <w:link w:val="Heading2"/>
    <w:qFormat/>
    <w:rPr>
      <w:rFonts w:ascii="Cambria" w:eastAsia="黑体" w:hAnsi="Cambria" w:cs="Times New Roman"/>
      <w:bCs/>
      <w:kern w:val="2"/>
      <w:sz w:val="28"/>
      <w:szCs w:val="26"/>
      <w:lang w:val="en-US" w:eastAsia="ja-JP" w:bidi="ar-SA"/>
    </w:rPr>
  </w:style>
  <w:style w:type="character" w:customStyle="1" w:styleId="3Char">
    <w:name w:val="标题 3 Char"/>
    <w:basedOn w:val="DefaultParagraphFont"/>
    <w:link w:val="Heading3"/>
    <w:qFormat/>
    <w:rPr>
      <w:rFonts w:ascii="Times New Roman" w:eastAsia="宋体" w:hAnsi="Times New Roman" w:cs="Times New Roman"/>
      <w:bCs/>
      <w:kern w:val="2"/>
      <w:sz w:val="21"/>
      <w:szCs w:val="24"/>
      <w:lang w:val="en-US" w:eastAsia="zh-CN" w:bidi="ar-SA"/>
    </w:rPr>
  </w:style>
  <w:style w:type="character" w:customStyle="1" w:styleId="a">
    <w:name w:val="正文文本 字符"/>
    <w:link w:val="BodyText"/>
    <w:qFormat/>
    <w:rPr>
      <w:rFonts w:ascii="Times New Roman" w:eastAsia="宋体" w:hAnsi="Times New Roman"/>
      <w:kern w:val="2"/>
      <w:sz w:val="24"/>
      <w:lang w:val="en-US" w:eastAsia="zh-CN" w:bidi="ar-SA"/>
    </w:rPr>
  </w:style>
  <w:style w:type="paragraph" w:customStyle="1" w:styleId="TableParagraph">
    <w:name w:val="Table Paragraph"/>
    <w:basedOn w:val="Normal"/>
    <w:uiPriority w:val="1"/>
    <w:qFormat/>
    <w:pPr>
      <w:spacing w:before="15" w:line="265" w:lineRule="exact"/>
      <w:ind w:left="7"/>
    </w:pPr>
    <w:rPr>
      <w:rFonts w:ascii="宋体" w:eastAsia="宋体" w:hAnsi="宋体" w:cs="宋体"/>
      <w:lang w:val="zh-CN" w:eastAsia="zh-CN" w:bidi="zh-CN"/>
    </w:rPr>
  </w:style>
  <w:style w:type="paragraph" w:customStyle="1" w:styleId="WPSOffice1">
    <w:name w:val="WPSOffice手动目录 1"/>
    <w:pPr>
      <w:ind w:leftChars="0"/>
    </w:pPr>
    <w:rPr>
      <w:rFonts w:ascii="Times New Roman" w:eastAsia="宋体" w:hAnsi="Times New Roman" w:cs="Times New Roman"/>
      <w:sz w:val="20"/>
      <w:szCs w:val="20"/>
    </w:rPr>
  </w:style>
  <w:style w:type="paragraph" w:customStyle="1" w:styleId="WPSOffice2">
    <w:name w:val="WPSOffice手动目录 2"/>
    <w:pPr>
      <w:ind w:leftChars="200"/>
    </w:pPr>
    <w:rPr>
      <w:rFonts w:ascii="Times New Roman" w:eastAsia="宋体" w:hAnsi="Times New Roman" w:cs="Times New Roman"/>
      <w:sz w:val="20"/>
      <w:szCs w:val="20"/>
    </w:rPr>
  </w:style>
  <w:style w:type="table" w:customStyle="1" w:styleId="TableGrid0">
    <w:name w:val="Table Grid_0"/>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image" Target="media/image1.png"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image" Target="media/image2.png" /><Relationship Id="rId15" Type="http://schemas.openxmlformats.org/officeDocument/2006/relationships/hyperlink" Target="https://d.book118.com/916212010005010033" TargetMode="External" /><Relationship Id="rId16" Type="http://schemas.openxmlformats.org/officeDocument/2006/relationships/header" Target="header9.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奔跑懒熊</dc:creator>
  <cp:lastModifiedBy>Administrator</cp:lastModifiedBy>
  <cp:revision>1</cp:revision>
  <dcterms:created xsi:type="dcterms:W3CDTF">2023-02-09T06:25:00Z</dcterms:created>
  <dcterms:modified xsi:type="dcterms:W3CDTF">2024-01-10T01:51:10Z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762FF8E08B8F42519F2F413FC3D69B4C</vt:lpwstr>
  </property>
  <property fmtid="{D5CDD505-2E9C-101B-9397-08002B2CF9AE}" pid="3" name="KSOProductBuildVer">
    <vt:lpwstr>2052-11.8.2.8621</vt:lpwstr>
  </property>
</Properties>
</file>