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1、[题干]与呕血颜色无关的因素是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A.出血原因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B.出血速度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C.出血发生时间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D.出血量。E,血液在胃内停留时间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【解析】呕血颜色与出血量、出血速度、出血发生时间、血液在胃内停留时间有关与出血原因无关。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23天，男孩，不规则发热10天。皮肤黄染，有少许小脓疱，肝、脾肿大。白细胞18.0×109/L，NO.86，黄疸指数为50U，胆红素5mg/dl，SGPT30U，尿胆红素阳性，母血型为B型，小儿血型为O型，大便黄软。最可能的诊断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A.生理性黄疸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B.新生儿肝炎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C.先天性胆道闭锁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D.新生儿败血症。E,ABO血型不合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3、[题干]法洛四联症的病理畸形为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A.主动脉缩窄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B.肺动脉扩张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C.左心室肥大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D.房间隔缺损。E,主动脉骑跨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4、[题干]小儿急性肝功能衰竭时，哪项检查结果说明有肝细胞再生(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A.白蛋白降低，球蛋白升高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B.转氨酶胆红素分离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C.甲胎蛋白阳性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D.凝血酶原时间延长。E,凝血酶原时间正常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5、流行性感冒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A.发热伴尿频、尿急、尿痛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B.发热伴口角疱疹、流涕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C.发热伴肝脾肿大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D.发热伴出血。E,发热伴昏迷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https://d.book118.com/917014044023006043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17014044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