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Title"/>
      </w:pPr>
      <w:r>
        <w:rPr>
          <w:spacing w:val="-3"/>
        </w:rPr>
        <w:t>毕业论文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after="1"/>
        <w:ind w:left="0"/>
        <w:rPr>
          <w:rFonts w:ascii="Microsoft JhengHei"/>
          <w:b/>
          <w:sz w:val="23"/>
        </w:rPr>
      </w:pPr>
    </w:p>
    <w:tbl>
      <w:tblPr>
        <w:tblStyle w:val="TableNormal"/>
        <w:tblW w:w="0" w:type="auto"/>
        <w:jc w:val="left"/>
        <w:tblInd w:w="1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702"/>
        <w:gridCol w:w="4969"/>
      </w:tblGrid>
      <w:tr>
        <w:tblPrEx>
          <w:tblW w:w="0" w:type="auto"/>
          <w:jc w:val="left"/>
          <w:tblInd w:w="146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3"/>
          <w:jc w:val="left"/>
        </w:trPr>
        <w:tc>
          <w:tcPr>
            <w:tcW w:w="611" w:type="dxa"/>
          </w:tcPr>
          <w:p>
            <w:pPr>
              <w:pStyle w:val="TableParagraph"/>
              <w:spacing w:before="0" w:line="371" w:lineRule="exact"/>
              <w:ind w:left="50"/>
              <w:jc w:val="left"/>
              <w:rPr>
                <w:rFonts w:ascii="等线" w:eastAsia="等线"/>
                <w:b/>
                <w:sz w:val="28"/>
              </w:rPr>
            </w:pPr>
            <w:r>
              <w:rPr>
                <w:rFonts w:ascii="等线" w:eastAsia="等线"/>
                <w:b/>
                <w:sz w:val="28"/>
              </w:rPr>
              <w:t>题</w:t>
            </w:r>
          </w:p>
        </w:tc>
        <w:tc>
          <w:tcPr>
            <w:tcW w:w="702" w:type="dxa"/>
          </w:tcPr>
          <w:p>
            <w:pPr>
              <w:pStyle w:val="TableParagraph"/>
              <w:spacing w:before="0" w:line="371" w:lineRule="exact"/>
              <w:ind w:right="139"/>
              <w:jc w:val="right"/>
              <w:rPr>
                <w:rFonts w:ascii="等线" w:eastAsia="等线"/>
                <w:b/>
                <w:sz w:val="28"/>
              </w:rPr>
            </w:pPr>
            <w:r>
              <w:rPr>
                <w:rFonts w:ascii="等线" w:eastAsia="等线"/>
                <w:b/>
                <w:sz w:val="28"/>
              </w:rPr>
              <w:t>目</w:t>
            </w:r>
          </w:p>
        </w:tc>
        <w:tc>
          <w:tcPr>
            <w:tcW w:w="4969" w:type="dxa"/>
          </w:tcPr>
          <w:p>
            <w:pPr>
              <w:pStyle w:val="TableParagraph"/>
              <w:spacing w:before="0" w:line="371" w:lineRule="exact"/>
              <w:ind w:right="49"/>
              <w:jc w:val="right"/>
              <w:rPr>
                <w:rFonts w:ascii="等线" w:eastAsia="等线"/>
                <w:b/>
                <w:sz w:val="28"/>
              </w:rPr>
            </w:pPr>
            <w:r>
              <w:rPr>
                <w:rFonts w:ascii="等线" w:eastAsia="等线"/>
                <w:b/>
                <w:spacing w:val="-1"/>
                <w:sz w:val="28"/>
                <w:u w:val="thick"/>
              </w:rPr>
              <w:t>血培养病原菌变化趋势分析及药敏分析</w:t>
            </w:r>
          </w:p>
        </w:tc>
      </w:tr>
      <w:tr>
        <w:tblPrEx>
          <w:tblW w:w="0" w:type="auto"/>
          <w:jc w:val="left"/>
          <w:tblInd w:w="146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3"/>
          <w:jc w:val="left"/>
        </w:trPr>
        <w:tc>
          <w:tcPr>
            <w:tcW w:w="611" w:type="dxa"/>
          </w:tcPr>
          <w:p>
            <w:pPr>
              <w:pStyle w:val="TableParagraph"/>
              <w:spacing w:before="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 w:line="332" w:lineRule="exact"/>
              <w:ind w:left="50"/>
              <w:jc w:val="left"/>
              <w:rPr>
                <w:rFonts w:ascii="等线" w:eastAsia="等线"/>
                <w:b/>
                <w:sz w:val="28"/>
              </w:rPr>
            </w:pPr>
            <w:r>
              <w:rPr>
                <w:rFonts w:ascii="等线" w:eastAsia="等线"/>
                <w:b/>
                <w:sz w:val="28"/>
              </w:rPr>
              <w:t>专</w:t>
            </w:r>
          </w:p>
        </w:tc>
        <w:tc>
          <w:tcPr>
            <w:tcW w:w="702" w:type="dxa"/>
          </w:tcPr>
          <w:p>
            <w:pPr>
              <w:pStyle w:val="TableParagraph"/>
              <w:spacing w:before="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before="0" w:line="332" w:lineRule="exact"/>
              <w:ind w:right="139"/>
              <w:jc w:val="right"/>
              <w:rPr>
                <w:rFonts w:ascii="等线" w:eastAsia="等线"/>
                <w:b/>
                <w:sz w:val="28"/>
              </w:rPr>
            </w:pPr>
            <w:r>
              <w:rPr>
                <w:rFonts w:ascii="等线" w:eastAsia="等线"/>
                <w:b/>
                <w:sz w:val="28"/>
              </w:rPr>
              <w:t>业</w:t>
            </w:r>
          </w:p>
        </w:tc>
        <w:tc>
          <w:tcPr>
            <w:tcW w:w="4969" w:type="dxa"/>
          </w:tcPr>
          <w:p>
            <w:pPr>
              <w:pStyle w:val="TableParagraph"/>
              <w:spacing w:before="5"/>
              <w:jc w:val="left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tabs>
                <w:tab w:val="left" w:pos="1539"/>
                <w:tab w:val="left" w:pos="4764"/>
              </w:tabs>
              <w:spacing w:before="0" w:line="332" w:lineRule="exact"/>
              <w:ind w:right="63"/>
              <w:jc w:val="right"/>
              <w:rPr>
                <w:rFonts w:ascii="等线" w:eastAsia="等线"/>
                <w:b/>
                <w:sz w:val="28"/>
              </w:rPr>
            </w:pPr>
            <w:r>
              <w:rPr>
                <w:rFonts w:ascii="Times New Roman" w:eastAsia="Times New Roman"/>
                <w:b/>
                <w:sz w:val="28"/>
                <w:u w:val="thick"/>
              </w:rPr>
              <w:tab/>
            </w:r>
            <w:r>
              <w:rPr>
                <w:rFonts w:ascii="等线" w:eastAsia="等线"/>
                <w:b/>
                <w:sz w:val="28"/>
                <w:u w:val="thick"/>
              </w:rPr>
              <w:t>医</w:t>
            </w:r>
            <w:r>
              <w:rPr>
                <w:rFonts w:ascii="等线" w:eastAsia="等线"/>
                <w:b/>
                <w:spacing w:val="63"/>
                <w:sz w:val="28"/>
                <w:u w:val="thick"/>
              </w:rPr>
              <w:t xml:space="preserve"> </w:t>
            </w:r>
            <w:r>
              <w:rPr>
                <w:rFonts w:ascii="等线" w:eastAsia="等线"/>
                <w:b/>
                <w:sz w:val="28"/>
                <w:u w:val="thick"/>
              </w:rPr>
              <w:t>学</w:t>
            </w:r>
            <w:r>
              <w:rPr>
                <w:rFonts w:ascii="等线" w:eastAsia="等线"/>
                <w:b/>
                <w:spacing w:val="63"/>
                <w:sz w:val="28"/>
                <w:u w:val="thick"/>
              </w:rPr>
              <w:t xml:space="preserve"> </w:t>
            </w:r>
            <w:r>
              <w:rPr>
                <w:rFonts w:ascii="等线" w:eastAsia="等线"/>
                <w:b/>
                <w:sz w:val="28"/>
                <w:u w:val="thick"/>
              </w:rPr>
              <w:t>检</w:t>
            </w:r>
            <w:r>
              <w:rPr>
                <w:rFonts w:ascii="等线" w:eastAsia="等线"/>
                <w:b/>
                <w:spacing w:val="63"/>
                <w:sz w:val="28"/>
                <w:u w:val="thick"/>
              </w:rPr>
              <w:t xml:space="preserve"> </w:t>
            </w:r>
            <w:r>
              <w:rPr>
                <w:rFonts w:ascii="等线" w:eastAsia="等线"/>
                <w:b/>
                <w:spacing w:val="-10"/>
                <w:sz w:val="28"/>
                <w:u w:val="thick"/>
              </w:rPr>
              <w:t>验</w:t>
            </w:r>
            <w:r>
              <w:rPr>
                <w:rFonts w:ascii="等线" w:eastAsia="等线"/>
                <w:b/>
                <w:sz w:val="28"/>
                <w:u w:val="thick"/>
              </w:rPr>
              <w:tab/>
            </w:r>
          </w:p>
        </w:tc>
      </w:tr>
    </w:tbl>
    <w:p>
      <w:pPr>
        <w:pStyle w:val="BodyText"/>
        <w:spacing w:before="12"/>
        <w:ind w:left="0"/>
        <w:rPr>
          <w:rFonts w:ascii="Microsoft JhengHei"/>
          <w:b/>
          <w:sz w:val="28"/>
        </w:rPr>
      </w:pPr>
    </w:p>
    <w:p>
      <w:pPr>
        <w:tabs>
          <w:tab w:val="left" w:pos="1466"/>
          <w:tab w:val="left" w:pos="6291"/>
        </w:tabs>
        <w:spacing w:before="58"/>
        <w:ind w:left="62" w:right="0" w:firstLine="0"/>
        <w:jc w:val="center"/>
        <w:rPr>
          <w:rFonts w:ascii="Times New Roman" w:eastAsia="Times New Roman"/>
          <w:b/>
          <w:sz w:val="28"/>
        </w:rPr>
      </w:pPr>
      <w:r>
        <w:rPr>
          <w:rFonts w:ascii="等线" w:eastAsia="等线"/>
          <w:b/>
          <w:sz w:val="28"/>
        </w:rPr>
        <w:t>学</w:t>
      </w:r>
      <w:r>
        <w:rPr>
          <w:rFonts w:ascii="等线" w:eastAsia="等线"/>
          <w:b/>
          <w:sz w:val="28"/>
        </w:rPr>
        <w:t>生</w:t>
      </w:r>
      <w:r>
        <w:rPr>
          <w:rFonts w:ascii="等线" w:eastAsia="等线"/>
          <w:b/>
          <w:sz w:val="28"/>
        </w:rPr>
        <w:t>姓</w:t>
      </w:r>
      <w:r>
        <w:rPr>
          <w:rFonts w:ascii="等线" w:eastAsia="等线"/>
          <w:b/>
          <w:spacing w:val="-10"/>
          <w:sz w:val="28"/>
        </w:rPr>
        <w:t>名</w:t>
      </w:r>
      <w:r>
        <w:rPr>
          <w:rFonts w:ascii="等线" w:eastAsia="等线"/>
          <w:b/>
          <w:sz w:val="28"/>
        </w:rPr>
        <w:tab/>
      </w:r>
      <w:r>
        <w:rPr>
          <w:rFonts w:ascii="Times New Roman" w:eastAsia="Times New Roman"/>
          <w:b/>
          <w:sz w:val="28"/>
          <w:u w:val="thick"/>
        </w:rPr>
        <w:tab/>
      </w:r>
    </w:p>
    <w:p>
      <w:pPr>
        <w:pStyle w:val="BodyText"/>
        <w:ind w:left="0"/>
        <w:rPr>
          <w:rFonts w:ascii="Times New Roman"/>
          <w:b/>
          <w:sz w:val="20"/>
        </w:rPr>
      </w:pPr>
    </w:p>
    <w:p>
      <w:pPr>
        <w:pStyle w:val="BodyText"/>
        <w:spacing w:before="5"/>
        <w:ind w:left="0"/>
        <w:rPr>
          <w:rFonts w:ascii="Times New Roman"/>
          <w:b/>
          <w:sz w:val="20"/>
        </w:rPr>
      </w:pPr>
    </w:p>
    <w:p>
      <w:pPr>
        <w:tabs>
          <w:tab w:val="left" w:pos="901"/>
          <w:tab w:val="left" w:pos="1462"/>
          <w:tab w:val="left" w:pos="6287"/>
        </w:tabs>
        <w:spacing w:before="49"/>
        <w:ind w:left="60" w:right="0" w:firstLine="0"/>
        <w:jc w:val="center"/>
        <w:rPr>
          <w:rFonts w:ascii="Times New Roman" w:eastAsia="Times New Roman"/>
          <w:b/>
          <w:sz w:val="28"/>
        </w:rPr>
      </w:pPr>
      <w:r>
        <w:rPr>
          <w:rFonts w:ascii="等线" w:eastAsia="等线"/>
          <w:b/>
          <w:spacing w:val="-10"/>
          <w:sz w:val="28"/>
        </w:rPr>
        <w:t>学</w:t>
      </w:r>
      <w:r>
        <w:rPr>
          <w:rFonts w:ascii="等线" w:eastAsia="等线"/>
          <w:b/>
          <w:sz w:val="28"/>
        </w:rPr>
        <w:tab/>
      </w:r>
      <w:r>
        <w:rPr>
          <w:rFonts w:ascii="等线" w:eastAsia="等线"/>
          <w:b/>
          <w:spacing w:val="-10"/>
          <w:sz w:val="28"/>
        </w:rPr>
        <w:t>号</w:t>
      </w:r>
      <w:r>
        <w:rPr>
          <w:rFonts w:ascii="等线" w:eastAsia="等线"/>
          <w:b/>
          <w:sz w:val="28"/>
        </w:rPr>
        <w:tab/>
      </w:r>
      <w:r>
        <w:rPr>
          <w:rFonts w:ascii="Times New Roman" w:eastAsia="Times New Roman"/>
          <w:b/>
          <w:sz w:val="28"/>
          <w:u w:val="thick"/>
        </w:rPr>
        <w:tab/>
      </w:r>
    </w:p>
    <w:p>
      <w:pPr>
        <w:spacing w:after="0"/>
        <w:jc w:val="center"/>
        <w:rPr>
          <w:rFonts w:ascii="Times New Roman" w:eastAsia="Times New Roman"/>
          <w:sz w:val="28"/>
        </w:rPr>
        <w:sectPr>
          <w:headerReference w:type="default" r:id="rId4"/>
          <w:type w:val="continuous"/>
          <w:pgSz w:w="11910" w:h="16840"/>
          <w:pgMar w:top="1380" w:right="1140" w:bottom="280" w:left="1580" w:header="893" w:footer="0"/>
          <w:pgNumType w:start="1"/>
          <w:cols w:space="708"/>
        </w:sectPr>
      </w:pPr>
    </w:p>
    <w:p>
      <w:pPr>
        <w:pStyle w:val="BodyText"/>
        <w:ind w:left="0"/>
        <w:rPr>
          <w:rFonts w:ascii="Times New Roman"/>
          <w:b/>
          <w:sz w:val="20"/>
        </w:rPr>
      </w:pPr>
    </w:p>
    <w:p>
      <w:pPr>
        <w:pStyle w:val="BodyText"/>
        <w:spacing w:before="10"/>
        <w:ind w:left="0"/>
        <w:rPr>
          <w:rFonts w:ascii="Times New Roman"/>
          <w:b/>
          <w:sz w:val="16"/>
        </w:rPr>
      </w:pPr>
    </w:p>
    <w:p>
      <w:pPr>
        <w:pStyle w:val="Heading1"/>
        <w:ind w:left="0"/>
        <w:jc w:val="center"/>
      </w:pPr>
      <w:r>
        <w:rPr>
          <w:spacing w:val="-1"/>
        </w:rPr>
        <w:t>血培养病原菌变化趋势分析及药敏分析</w:t>
      </w:r>
    </w:p>
    <w:p>
      <w:pPr>
        <w:pStyle w:val="BodyText"/>
        <w:spacing w:before="93"/>
        <w:ind w:left="374"/>
        <w:jc w:val="center"/>
      </w:pPr>
      <w:r>
        <w:rPr>
          <w:spacing w:val="-3"/>
        </w:rPr>
        <w:t>医学检验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Heading1"/>
        <w:ind w:left="280"/>
      </w:pPr>
      <w:r>
        <w:rPr>
          <w:spacing w:val="-2"/>
        </w:rPr>
        <w:t>【摘 要】</w:t>
      </w:r>
    </w:p>
    <w:p>
      <w:pPr>
        <w:pStyle w:val="BodyText"/>
        <w:spacing w:before="187" w:line="364" w:lineRule="auto"/>
        <w:ind w:left="280" w:right="537" w:firstLine="480"/>
      </w:pPr>
      <w:r>
        <w:rPr>
          <w:spacing w:val="1"/>
        </w:rPr>
        <w:t>目的：回顾性分析血培养标本各病原菌变化趋势及主要病原菌对抗菌药物</w:t>
      </w:r>
      <w:r>
        <w:rPr>
          <w:spacing w:val="-10"/>
        </w:rPr>
        <w:t>的敏感性，为临床合理选择抗菌药物提供依据。方法：</w:t>
      </w:r>
      <w:r>
        <w:t>2013</w:t>
      </w:r>
      <w:r>
        <w:rPr>
          <w:spacing w:val="-40"/>
        </w:rPr>
        <w:t xml:space="preserve"> 年 </w:t>
      </w:r>
      <w:r>
        <w:t>1</w:t>
      </w:r>
      <w:r>
        <w:rPr>
          <w:spacing w:val="-30"/>
        </w:rPr>
        <w:t xml:space="preserve"> 月至 </w:t>
      </w:r>
      <w:r>
        <w:t>2015</w:t>
      </w:r>
      <w:r>
        <w:rPr>
          <w:spacing w:val="-40"/>
        </w:rPr>
        <w:t xml:space="preserve"> 年 </w:t>
      </w:r>
      <w:r>
        <w:t>12</w:t>
      </w:r>
      <w:r>
        <w:rPr>
          <w:spacing w:val="-3"/>
        </w:rPr>
        <w:t xml:space="preserve">月,我院门诊和住院病人的血液和骨髓标本 </w:t>
      </w:r>
      <w:r>
        <w:t>4743</w:t>
      </w:r>
      <w:r>
        <w:rPr>
          <w:spacing w:val="-6"/>
        </w:rPr>
        <w:t xml:space="preserve"> 份，不同患者选择合适的需氧</w:t>
      </w:r>
      <w:r>
        <w:rPr>
          <w:spacing w:val="-10"/>
        </w:rPr>
        <w:t xml:space="preserve">瓶、厌氧瓶及儿童专用培养瓶，采用 </w:t>
      </w:r>
      <w:r>
        <w:t>Bact/Alert3D</w:t>
      </w:r>
      <w:r>
        <w:rPr>
          <w:spacing w:val="-8"/>
        </w:rPr>
        <w:t xml:space="preserve"> 全自动血培养仪进行培养用</w:t>
      </w:r>
      <w:r>
        <w:rPr>
          <w:spacing w:val="-15"/>
        </w:rPr>
        <w:t xml:space="preserve">传统手工方法和 </w:t>
      </w:r>
      <w:r>
        <w:t>Vitek-32</w:t>
      </w:r>
      <w:r>
        <w:rPr>
          <w:spacing w:val="-10"/>
        </w:rPr>
        <w:t xml:space="preserve"> 全自动微生物仪及其鉴定卡对病原菌进行鉴定，采用 K-B</w:t>
      </w:r>
      <w:r>
        <w:rPr>
          <w:spacing w:val="-30"/>
        </w:rPr>
        <w:t xml:space="preserve"> 法和 </w:t>
      </w:r>
      <w:r>
        <w:t>Vitek-32</w:t>
      </w:r>
      <w:r>
        <w:rPr>
          <w:spacing w:val="-11"/>
        </w:rPr>
        <w:t xml:space="preserve"> 全自动微生物仪进行药敏。结果：共检出病原菌 </w:t>
      </w:r>
      <w:r>
        <w:t>635</w:t>
      </w:r>
      <w:r>
        <w:rPr>
          <w:spacing w:val="-15"/>
        </w:rPr>
        <w:t xml:space="preserve"> 株，其</w:t>
      </w:r>
      <w:r>
        <w:rPr>
          <w:spacing w:val="-22"/>
        </w:rPr>
        <w:t xml:space="preserve">中革兰阳性菌 </w:t>
      </w:r>
      <w:r>
        <w:t>247</w:t>
      </w:r>
      <w:r>
        <w:rPr>
          <w:spacing w:val="-76"/>
        </w:rPr>
        <w:t xml:space="preserve"> 株</w:t>
      </w:r>
      <w:r>
        <w:t>（38.9%</w:t>
      </w:r>
      <w:r>
        <w:rPr>
          <w:spacing w:val="-120"/>
        </w:rPr>
        <w:t>）</w:t>
      </w:r>
      <w:r>
        <w:rPr>
          <w:spacing w:val="-18"/>
        </w:rPr>
        <w:t xml:space="preserve">；革兰阴性菌 </w:t>
      </w:r>
      <w:r>
        <w:t>322</w:t>
      </w:r>
      <w:r>
        <w:rPr>
          <w:spacing w:val="-76"/>
        </w:rPr>
        <w:t xml:space="preserve"> 株</w:t>
      </w:r>
      <w:r>
        <w:t>（50.7%</w:t>
      </w:r>
      <w:r>
        <w:rPr>
          <w:spacing w:val="-120"/>
        </w:rPr>
        <w:t>）</w:t>
      </w:r>
      <w:r>
        <w:rPr>
          <w:spacing w:val="-30"/>
        </w:rPr>
        <w:t xml:space="preserve">；真菌 </w:t>
      </w:r>
      <w:r>
        <w:t>66</w:t>
      </w:r>
      <w:r>
        <w:rPr>
          <w:spacing w:val="-76"/>
        </w:rPr>
        <w:t xml:space="preserve"> 株</w:t>
      </w:r>
      <w:r>
        <w:t>（10.4%</w:t>
      </w:r>
      <w:r>
        <w:rPr>
          <w:spacing w:val="-120"/>
        </w:rPr>
        <w:t>）</w:t>
      </w:r>
      <w:r>
        <w:rPr>
          <w:spacing w:val="-15"/>
        </w:rPr>
        <w:t>。</w:t>
      </w:r>
      <w:r>
        <w:rPr>
          <w:spacing w:val="7"/>
        </w:rPr>
        <w:t>前几位病原菌依次为表皮葡萄球菌（</w:t>
      </w:r>
      <w:r>
        <w:t>118</w:t>
      </w:r>
      <w:r>
        <w:rPr>
          <w:spacing w:val="-16"/>
        </w:rPr>
        <w:t xml:space="preserve"> 株，</w:t>
      </w:r>
      <w:r>
        <w:t>18.6%</w:t>
      </w:r>
      <w:r>
        <w:rPr>
          <w:spacing w:val="-113"/>
        </w:rPr>
        <w:t>）</w:t>
      </w:r>
      <w:r>
        <w:rPr>
          <w:spacing w:val="7"/>
        </w:rPr>
        <w:t>、大肠埃希菌（</w:t>
      </w:r>
      <w:r>
        <w:t>118</w:t>
      </w:r>
      <w:r>
        <w:rPr>
          <w:spacing w:val="-18"/>
        </w:rPr>
        <w:t xml:space="preserve"> 株， 18.6%</w:t>
      </w:r>
      <w:r>
        <w:rPr>
          <w:spacing w:val="-120"/>
        </w:rPr>
        <w:t>）</w:t>
      </w:r>
      <w:r>
        <w:rPr>
          <w:spacing w:val="-8"/>
        </w:rPr>
        <w:t>、甲型副伤寒沙门菌</w:t>
      </w:r>
      <w:r>
        <w:t>（109</w:t>
      </w:r>
      <w:r>
        <w:rPr>
          <w:spacing w:val="-29"/>
        </w:rPr>
        <w:t xml:space="preserve"> 株，</w:t>
      </w:r>
      <w:r>
        <w:t>17.2%</w:t>
      </w:r>
      <w:r>
        <w:rPr>
          <w:spacing w:val="-120"/>
        </w:rPr>
        <w:t>）</w:t>
      </w:r>
      <w:r>
        <w:rPr>
          <w:spacing w:val="-8"/>
        </w:rPr>
        <w:t>、金黄色葡萄球菌</w:t>
      </w:r>
      <w:r>
        <w:t>（32</w:t>
      </w:r>
      <w:r>
        <w:rPr>
          <w:spacing w:val="-29"/>
        </w:rPr>
        <w:t xml:space="preserve"> 株，</w:t>
      </w:r>
      <w:r>
        <w:t>5.0%</w:t>
      </w:r>
      <w:r>
        <w:rPr>
          <w:spacing w:val="-120"/>
        </w:rPr>
        <w:t>）</w:t>
      </w:r>
      <w:r>
        <w:rPr>
          <w:spacing w:val="-15"/>
        </w:rPr>
        <w:t>。</w:t>
      </w:r>
      <w:r>
        <w:rPr>
          <w:spacing w:val="1"/>
        </w:rPr>
        <w:t>结论：革兰阳性菌呈逐年上升趋势，真菌也有较大上升幅度。临床医生应及时了解血培养阳性病原菌的分布特征及耐药情况，合理使用抗生素，减少医院感染。</w:t>
      </w:r>
    </w:p>
    <w:p>
      <w:pPr>
        <w:pStyle w:val="BodyText"/>
        <w:ind w:left="0"/>
      </w:pPr>
    </w:p>
    <w:p>
      <w:pPr>
        <w:pStyle w:val="BodyText"/>
        <w:spacing w:before="167"/>
        <w:ind w:left="700"/>
      </w:pPr>
      <w:r>
        <w:rPr>
          <w:rFonts w:ascii="黑体" w:eastAsia="黑体"/>
        </w:rPr>
        <w:t>关键词</w:t>
      </w:r>
      <w:r>
        <w:rPr>
          <w:spacing w:val="-1"/>
        </w:rPr>
        <w:t>：血培养，病原菌，分布趋势，敏感性，抗菌药物</w:t>
      </w:r>
    </w:p>
    <w:p>
      <w:pPr>
        <w:spacing w:after="0"/>
        <w:sectPr>
          <w:headerReference w:type="default" r:id="rId5"/>
          <w:pgSz w:w="11910" w:h="16840"/>
          <w:pgMar w:top="1380" w:right="1140" w:bottom="280" w:left="1580" w:header="893" w:footer="0"/>
          <w:pgNumType w:start="2"/>
          <w:cols w:space="708"/>
        </w:sectPr>
      </w:pPr>
    </w:p>
    <w:p>
      <w:pPr>
        <w:pStyle w:val="BodyText"/>
        <w:spacing w:before="11"/>
        <w:ind w:left="0"/>
        <w:rPr>
          <w:sz w:val="8"/>
        </w:rPr>
      </w:pPr>
    </w:p>
    <w:p>
      <w:pPr>
        <w:pStyle w:val="Heading1"/>
        <w:ind w:left="0" w:right="439"/>
        <w:jc w:val="center"/>
      </w:pPr>
      <w:r>
        <w:rPr>
          <w:spacing w:val="-4"/>
        </w:rPr>
        <w:t>目 录</w:t>
      </w:r>
    </w:p>
    <w:sdt>
      <w:sdtPr>
        <w:id w:val="911120944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right" w:leader="dot" w:pos="8259"/>
            </w:tabs>
            <w:spacing w:before="499"/>
            <w:ind w:left="220" w:firstLine="0"/>
            <w:rPr>
              <w:rFonts w:ascii="Times New Roman" w:eastAsia="Times New Roman"/>
              <w:b w:val="0"/>
              <w:i w:val="0"/>
              <w:sz w:val="24"/>
            </w:rPr>
          </w:pPr>
          <w:hyperlink w:anchor="_TOC_250016" w:history="1">
            <w:r>
              <w:rPr>
                <w:b w:val="0"/>
                <w:i w:val="0"/>
                <w:sz w:val="24"/>
              </w:rPr>
              <w:t>前</w:t>
            </w:r>
            <w:r>
              <w:rPr>
                <w:b w:val="0"/>
                <w:i w:val="0"/>
                <w:spacing w:val="-10"/>
                <w:sz w:val="24"/>
              </w:rPr>
              <w:t>言</w:t>
            </w:r>
            <w:r>
              <w:rPr>
                <w:rFonts w:ascii="Times New Roman" w:eastAsia="Times New Roman"/>
                <w:i w:val="0"/>
                <w:sz w:val="24"/>
              </w:rPr>
              <w:tab/>
            </w:r>
            <w:r>
              <w:rPr>
                <w:rFonts w:ascii="Times New Roman" w:eastAsia="Times New Roman"/>
                <w:b w:val="0"/>
                <w:i w:val="0"/>
                <w:spacing w:val="-10"/>
                <w:sz w:val="24"/>
              </w:rPr>
              <w:t>4</w:t>
            </w:r>
          </w:hyperlink>
        </w:p>
        <w:p>
          <w:pPr>
            <w:pStyle w:val="TOC1"/>
            <w:numPr>
              <w:ilvl w:val="0"/>
              <w:numId w:val="14"/>
            </w:numPr>
            <w:tabs>
              <w:tab w:val="left" w:pos="520"/>
              <w:tab w:val="right" w:leader="dot" w:pos="8259"/>
            </w:tabs>
            <w:spacing w:before="161" w:after="0" w:line="240" w:lineRule="auto"/>
            <w:ind w:left="520" w:right="0" w:hanging="300"/>
            <w:jc w:val="left"/>
            <w:rPr>
              <w:rFonts w:ascii="Times New Roman" w:eastAsia="Times New Roman"/>
            </w:rPr>
          </w:pPr>
          <w:r>
            <w:t>材料与方</w:t>
          </w:r>
          <w:r>
            <w:rPr>
              <w:spacing w:val="-10"/>
            </w:rPr>
            <w:t>法</w:t>
          </w:r>
          <w:r>
            <w:rPr>
              <w:rFonts w:ascii="Times New Roman" w:eastAsia="Times New Roman"/>
              <w:b/>
            </w:rPr>
            <w:tab/>
          </w:r>
          <w:r>
            <w:rPr>
              <w:rFonts w:ascii="Times New Roman" w:eastAsia="Times New Roman"/>
              <w:spacing w:val="-10"/>
            </w:rPr>
            <w:t>4</w:t>
          </w:r>
        </w:p>
        <w:p>
          <w:pPr>
            <w:pStyle w:val="TOC1"/>
            <w:numPr>
              <w:ilvl w:val="1"/>
              <w:numId w:val="14"/>
            </w:numPr>
            <w:tabs>
              <w:tab w:val="left" w:pos="640"/>
              <w:tab w:val="right" w:leader="dot" w:pos="8259"/>
            </w:tabs>
            <w:spacing w:before="160" w:after="0" w:line="240" w:lineRule="auto"/>
            <w:ind w:left="640" w:right="0" w:hanging="420"/>
            <w:jc w:val="left"/>
            <w:rPr>
              <w:rFonts w:ascii="Times New Roman" w:eastAsia="Times New Roman"/>
            </w:rPr>
          </w:pPr>
          <w:r>
            <w:t>标本、仪器与试</w:t>
          </w:r>
          <w:r>
            <w:rPr>
              <w:spacing w:val="-10"/>
            </w:rPr>
            <w:t>剂</w:t>
          </w:r>
          <w:r>
            <w:rPr>
              <w:rFonts w:ascii="Times New Roman" w:eastAsia="Times New Roman"/>
              <w:b/>
            </w:rPr>
            <w:tab/>
          </w:r>
          <w:r>
            <w:rPr>
              <w:rFonts w:ascii="Times New Roman" w:eastAsia="Times New Roman"/>
              <w:spacing w:val="-10"/>
            </w:rPr>
            <w:t>4</w:t>
          </w:r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259"/>
            </w:tabs>
            <w:spacing w:before="161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15" w:history="1">
            <w:r>
              <w:t>标本来</w:t>
            </w:r>
            <w:r>
              <w:rPr>
                <w:spacing w:val="-10"/>
              </w:rPr>
              <w:t>源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259"/>
            </w:tabs>
            <w:spacing w:before="160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14" w:history="1">
            <w:r>
              <w:t>仪器与试</w:t>
            </w:r>
            <w:r>
              <w:rPr>
                <w:spacing w:val="-10"/>
              </w:rPr>
              <w:t>剂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2"/>
            <w:numPr>
              <w:ilvl w:val="1"/>
              <w:numId w:val="14"/>
            </w:numPr>
            <w:tabs>
              <w:tab w:val="left" w:pos="640"/>
              <w:tab w:val="right" w:leader="dot" w:pos="8259"/>
            </w:tabs>
            <w:spacing w:before="161" w:after="0" w:line="240" w:lineRule="auto"/>
            <w:ind w:left="640" w:right="0" w:hanging="420"/>
            <w:jc w:val="left"/>
            <w:rPr>
              <w:rFonts w:ascii="Times New Roman" w:eastAsia="Times New Roman"/>
              <w:b w:val="0"/>
              <w:i w:val="0"/>
              <w:sz w:val="24"/>
            </w:rPr>
          </w:pPr>
          <w:hyperlink w:anchor="_TOC_250013" w:history="1">
            <w:r>
              <w:rPr>
                <w:b w:val="0"/>
                <w:i w:val="0"/>
                <w:sz w:val="24"/>
              </w:rPr>
              <w:t>方</w:t>
            </w:r>
            <w:r>
              <w:rPr>
                <w:b w:val="0"/>
                <w:i w:val="0"/>
                <w:spacing w:val="-10"/>
                <w:sz w:val="24"/>
              </w:rPr>
              <w:t>法</w:t>
            </w:r>
            <w:r>
              <w:rPr>
                <w:rFonts w:ascii="Times New Roman" w:eastAsia="Times New Roman"/>
                <w:i w:val="0"/>
                <w:sz w:val="24"/>
              </w:rPr>
              <w:tab/>
            </w:r>
            <w:r>
              <w:rPr>
                <w:rFonts w:ascii="Times New Roman" w:eastAsia="Times New Roman"/>
                <w:b w:val="0"/>
                <w:i w:val="0"/>
                <w:spacing w:val="-10"/>
                <w:sz w:val="24"/>
              </w:rPr>
              <w:t>4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760"/>
              <w:tab w:val="right" w:leader="dot" w:pos="8299"/>
            </w:tabs>
            <w:spacing w:before="160" w:after="0" w:line="240" w:lineRule="auto"/>
            <w:ind w:left="760" w:right="0" w:hanging="540"/>
            <w:jc w:val="left"/>
            <w:rPr>
              <w:rFonts w:ascii="Times New Roman" w:eastAsia="Times New Roman"/>
            </w:rPr>
          </w:pPr>
          <w:r>
            <w:rPr>
              <w:rFonts w:ascii="Times New Roman" w:eastAsia="Times New Roman"/>
            </w:rPr>
            <w:t>Bact/Alert</w:t>
          </w:r>
          <w:r>
            <w:rPr>
              <w:rFonts w:ascii="Times New Roman" w:eastAsia="Times New Roman"/>
              <w:spacing w:val="-2"/>
            </w:rPr>
            <w:t xml:space="preserve"> </w:t>
          </w:r>
          <w:r>
            <w:t>全自动血培养仪上机检</w:t>
          </w:r>
          <w:r>
            <w:rPr>
              <w:spacing w:val="-10"/>
            </w:rPr>
            <w:t>测</w:t>
          </w:r>
          <w:r>
            <w:rPr>
              <w:rFonts w:ascii="Times New Roman" w:eastAsia="Times New Roman"/>
              <w:b/>
            </w:rPr>
            <w:tab/>
          </w:r>
          <w:r>
            <w:rPr>
              <w:rFonts w:ascii="Times New Roman" w:eastAsia="Times New Roman"/>
              <w:spacing w:val="-10"/>
            </w:rPr>
            <w:t>4</w:t>
          </w:r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319"/>
            </w:tabs>
            <w:spacing w:before="161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12" w:history="1">
            <w:r>
              <w:t>细菌的鉴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319"/>
            </w:tabs>
            <w:spacing w:before="160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11" w:history="1">
            <w:r>
              <w:t>细菌的药</w:t>
            </w:r>
            <w:r>
              <w:rPr>
                <w:spacing w:val="-10"/>
              </w:rPr>
              <w:t>敏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319"/>
            </w:tabs>
            <w:spacing w:before="161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10" w:history="1">
            <w:r>
              <w:t>统计方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2"/>
            <w:numPr>
              <w:ilvl w:val="0"/>
              <w:numId w:val="14"/>
            </w:numPr>
            <w:tabs>
              <w:tab w:val="left" w:pos="520"/>
              <w:tab w:val="right" w:leader="dot" w:pos="8319"/>
            </w:tabs>
            <w:spacing w:before="160" w:after="0" w:line="240" w:lineRule="auto"/>
            <w:ind w:left="520" w:right="0" w:hanging="300"/>
            <w:jc w:val="left"/>
            <w:rPr>
              <w:rFonts w:ascii="Times New Roman" w:eastAsia="Times New Roman"/>
              <w:b w:val="0"/>
              <w:i w:val="0"/>
              <w:sz w:val="24"/>
            </w:rPr>
          </w:pPr>
          <w:hyperlink w:anchor="_TOC_250009" w:history="1">
            <w:r>
              <w:rPr>
                <w:b w:val="0"/>
                <w:i w:val="0"/>
                <w:sz w:val="24"/>
              </w:rPr>
              <w:t>结</w:t>
            </w:r>
            <w:r>
              <w:rPr>
                <w:b w:val="0"/>
                <w:i w:val="0"/>
                <w:spacing w:val="-10"/>
                <w:sz w:val="24"/>
              </w:rPr>
              <w:t>果</w:t>
            </w:r>
            <w:r>
              <w:rPr>
                <w:rFonts w:ascii="Times New Roman" w:eastAsia="Times New Roman"/>
                <w:i w:val="0"/>
                <w:sz w:val="24"/>
              </w:rPr>
              <w:tab/>
            </w:r>
            <w:r>
              <w:rPr>
                <w:rFonts w:ascii="Times New Roman" w:eastAsia="Times New Roman"/>
                <w:b w:val="0"/>
                <w:i w:val="0"/>
                <w:spacing w:val="-10"/>
                <w:sz w:val="24"/>
              </w:rPr>
              <w:t>5</w:t>
            </w:r>
          </w:hyperlink>
        </w:p>
        <w:p>
          <w:pPr>
            <w:pStyle w:val="TOC1"/>
            <w:numPr>
              <w:ilvl w:val="1"/>
              <w:numId w:val="14"/>
            </w:numPr>
            <w:tabs>
              <w:tab w:val="left" w:pos="640"/>
              <w:tab w:val="right" w:leader="dot" w:pos="8319"/>
            </w:tabs>
            <w:spacing w:before="161" w:after="0" w:line="240" w:lineRule="auto"/>
            <w:ind w:left="640" w:right="0" w:hanging="420"/>
            <w:jc w:val="left"/>
            <w:rPr>
              <w:rFonts w:ascii="Times New Roman" w:eastAsia="Times New Roman"/>
            </w:rPr>
          </w:pPr>
          <w:hyperlink w:anchor="_TOC_250008" w:history="1">
            <w:r>
              <w:t>病原菌的分布情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numPr>
              <w:ilvl w:val="1"/>
              <w:numId w:val="14"/>
            </w:numPr>
            <w:tabs>
              <w:tab w:val="left" w:pos="640"/>
              <w:tab w:val="right" w:leader="dot" w:pos="8319"/>
            </w:tabs>
            <w:spacing w:before="160" w:after="0" w:line="240" w:lineRule="auto"/>
            <w:ind w:left="640" w:right="0" w:hanging="420"/>
            <w:jc w:val="left"/>
            <w:rPr>
              <w:rFonts w:ascii="Times New Roman" w:eastAsia="Times New Roman"/>
            </w:rPr>
          </w:pPr>
          <w:hyperlink w:anchor="_TOC_250007" w:history="1">
            <w:r>
              <w:t>病原菌药敏分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319"/>
            </w:tabs>
            <w:spacing w:before="161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06" w:history="1">
            <w:r>
              <w:t>葡萄球菌对抗菌药物的敏感</w:t>
            </w:r>
            <w:r>
              <w:rPr>
                <w:spacing w:val="-10"/>
              </w:rPr>
              <w:t>率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319"/>
            </w:tabs>
            <w:spacing w:before="160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hyperlink w:anchor="_TOC_250005" w:history="1">
            <w:r>
              <w:t>主要革兰阴性菌对抗菌药物的敏感</w:t>
            </w:r>
            <w:r>
              <w:rPr>
                <w:spacing w:val="-10"/>
              </w:rPr>
              <w:t>率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numPr>
              <w:ilvl w:val="2"/>
              <w:numId w:val="14"/>
            </w:numPr>
            <w:tabs>
              <w:tab w:val="left" w:pos="820"/>
              <w:tab w:val="right" w:leader="dot" w:pos="8319"/>
            </w:tabs>
            <w:spacing w:before="161" w:after="0" w:line="240" w:lineRule="auto"/>
            <w:ind w:left="820" w:right="0" w:hanging="600"/>
            <w:jc w:val="left"/>
            <w:rPr>
              <w:rFonts w:ascii="Times New Roman" w:eastAsia="Times New Roman"/>
            </w:rPr>
          </w:pPr>
          <w:r>
            <w:t>真菌的药物敏感</w:t>
          </w:r>
          <w:r>
            <w:rPr>
              <w:spacing w:val="-10"/>
            </w:rPr>
            <w:t>率</w:t>
          </w:r>
          <w:r>
            <w:rPr>
              <w:rFonts w:ascii="Times New Roman" w:eastAsia="Times New Roman"/>
              <w:b/>
            </w:rPr>
            <w:tab/>
          </w:r>
          <w:r>
            <w:rPr>
              <w:rFonts w:ascii="Times New Roman" w:eastAsia="Times New Roman"/>
              <w:spacing w:val="-10"/>
            </w:rPr>
            <w:t>9</w:t>
          </w:r>
        </w:p>
        <w:p>
          <w:pPr>
            <w:pStyle w:val="TOC2"/>
            <w:numPr>
              <w:ilvl w:val="0"/>
              <w:numId w:val="14"/>
            </w:numPr>
            <w:tabs>
              <w:tab w:val="left" w:pos="520"/>
              <w:tab w:val="right" w:leader="dot" w:pos="8319"/>
            </w:tabs>
            <w:spacing w:before="160" w:after="0" w:line="240" w:lineRule="auto"/>
            <w:ind w:left="520" w:right="0" w:hanging="300"/>
            <w:jc w:val="left"/>
            <w:rPr>
              <w:rFonts w:ascii="Times New Roman" w:eastAsia="Times New Roman"/>
              <w:b w:val="0"/>
              <w:i w:val="0"/>
              <w:sz w:val="24"/>
            </w:rPr>
          </w:pPr>
          <w:hyperlink w:anchor="_TOC_250004" w:history="1">
            <w:r>
              <w:rPr>
                <w:b w:val="0"/>
                <w:i w:val="0"/>
                <w:sz w:val="24"/>
              </w:rPr>
              <w:t>讨</w:t>
            </w:r>
            <w:r>
              <w:rPr>
                <w:b w:val="0"/>
                <w:i w:val="0"/>
                <w:spacing w:val="-10"/>
                <w:sz w:val="24"/>
              </w:rPr>
              <w:t>论</w:t>
            </w:r>
            <w:r>
              <w:rPr>
                <w:rFonts w:ascii="Times New Roman" w:eastAsia="Times New Roman"/>
                <w:i w:val="0"/>
                <w:sz w:val="24"/>
              </w:rPr>
              <w:tab/>
            </w:r>
            <w:r>
              <w:rPr>
                <w:rFonts w:ascii="Times New Roman" w:eastAsia="Times New Roman"/>
                <w:b w:val="0"/>
                <w:i w:val="0"/>
                <w:spacing w:val="-10"/>
                <w:sz w:val="24"/>
              </w:rPr>
              <w:t>9</w:t>
            </w:r>
          </w:hyperlink>
        </w:p>
        <w:p>
          <w:pPr>
            <w:pStyle w:val="TOC1"/>
            <w:numPr>
              <w:ilvl w:val="0"/>
              <w:numId w:val="14"/>
            </w:numPr>
            <w:tabs>
              <w:tab w:val="left" w:pos="520"/>
              <w:tab w:val="right" w:leader="dot" w:pos="8379"/>
            </w:tabs>
            <w:spacing w:before="161" w:after="0" w:line="240" w:lineRule="auto"/>
            <w:ind w:left="520" w:right="0" w:hanging="300"/>
            <w:jc w:val="left"/>
            <w:rPr>
              <w:rFonts w:ascii="Times New Roman" w:eastAsia="Times New Roman"/>
            </w:rPr>
          </w:pPr>
          <w:hyperlink w:anchor="_TOC_250003" w:history="1">
            <w: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right" w:leader="dot" w:pos="8379"/>
            </w:tabs>
            <w:ind w:left="220" w:firstLine="0"/>
            <w:rPr>
              <w:rFonts w:ascii="Times New Roman" w:eastAsia="Times New Roman"/>
            </w:rPr>
          </w:pPr>
          <w:hyperlink w:anchor="_TOC_250002" w:history="1">
            <w:r>
              <w:t>参考文</w:t>
            </w:r>
            <w:r>
              <w:rPr>
                <w:spacing w:val="-10"/>
              </w:rPr>
              <w:t>献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right" w:leader="dot" w:pos="8379"/>
            </w:tabs>
            <w:spacing w:before="629"/>
            <w:ind w:left="220" w:firstLine="0"/>
            <w:rPr>
              <w:rFonts w:ascii="Times New Roman" w:eastAsia="Times New Roman"/>
            </w:rPr>
          </w:pPr>
          <w:hyperlink w:anchor="_TOC_250001" w:history="1">
            <w:r>
              <w:t>略缩</w:t>
            </w:r>
            <w:r>
              <w:rPr>
                <w:spacing w:val="-10"/>
              </w:rPr>
              <w:t>词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right" w:leader="dot" w:pos="8379"/>
            </w:tabs>
            <w:ind w:left="220" w:firstLine="0"/>
            <w:rPr>
              <w:rFonts w:ascii="Times New Roman" w:eastAsia="Times New Roman"/>
            </w:rPr>
          </w:pPr>
          <w:hyperlink w:anchor="_TOC_250000" w:history="1">
            <w:r>
              <w:t>附：综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</w:sdtContent>
    </w:sdt>
    <w:p>
      <w:pPr>
        <w:spacing w:after="0"/>
        <w:rPr>
          <w:rFonts w:ascii="Times New Roman" w:eastAsia="Times New Roman"/>
        </w:rPr>
        <w:sectPr>
          <w:headerReference w:type="default" r:id="rId6"/>
          <w:pgSz w:w="11910" w:h="16840"/>
          <w:pgMar w:top="1380" w:right="1140" w:bottom="280" w:left="1580" w:header="893" w:footer="0"/>
          <w:pgNumType w:start="3"/>
          <w:cols w:space="708"/>
        </w:sectPr>
      </w:pPr>
    </w:p>
    <w:p>
      <w:pPr>
        <w:pStyle w:val="Heading1"/>
        <w:spacing w:before="263"/>
        <w:ind w:left="0" w:right="439"/>
        <w:jc w:val="center"/>
      </w:pPr>
      <w:bookmarkStart w:id="0" w:name="_TOC_250016"/>
      <w:bookmarkEnd w:id="0"/>
      <w:r>
        <w:rPr>
          <w:spacing w:val="-4"/>
        </w:rPr>
        <w:t>前 言</w:t>
      </w:r>
    </w:p>
    <w:p>
      <w:pPr>
        <w:pStyle w:val="BodyText"/>
        <w:ind w:left="0"/>
        <w:rPr>
          <w:rFonts w:ascii="黑体"/>
          <w:sz w:val="32"/>
        </w:rPr>
      </w:pPr>
    </w:p>
    <w:p>
      <w:pPr>
        <w:pStyle w:val="BodyText"/>
        <w:spacing w:before="245" w:line="364" w:lineRule="auto"/>
        <w:ind w:right="658" w:firstLine="480"/>
        <w:jc w:val="both"/>
      </w:pPr>
      <w:r>
        <w:rPr>
          <w:spacing w:val="-2"/>
        </w:rPr>
        <w:t>败血症是严重威胁人们健康的疾病之一，尤其是耐药株的增加，使这些感</w:t>
      </w:r>
      <w:r>
        <w:rPr>
          <w:spacing w:val="-2"/>
        </w:rPr>
        <w:t>染的治疗更加困难。败血症无特异的临床表现，目前血培养阳性仍是诊断本病</w:t>
      </w:r>
      <w:r>
        <w:rPr>
          <w:spacing w:val="-2"/>
        </w:rPr>
        <w:t>的金标准。为了解菌血症和败血症患者病原菌的分布及对常用抗生素的耐药情</w:t>
      </w:r>
      <w:r>
        <w:rPr>
          <w:spacing w:val="-5"/>
        </w:rPr>
        <w:t>况， 为及时准确地选择抗生素提供资料，尤其是为早期选用抗生素提供用药依</w:t>
      </w:r>
      <w:r>
        <w:rPr>
          <w:spacing w:val="-11"/>
        </w:rPr>
        <w:t xml:space="preserve">据，因此对 </w:t>
      </w:r>
      <w:r>
        <w:rPr>
          <w:spacing w:val="-4"/>
        </w:rPr>
        <w:t>3</w:t>
      </w:r>
      <w:r>
        <w:rPr>
          <w:spacing w:val="-10"/>
        </w:rPr>
        <w:t xml:space="preserve"> 年来送检的血培养标本病原菌分布、药敏特征进行了回顾性分析。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3"/>
        </w:numPr>
        <w:tabs>
          <w:tab w:val="left" w:pos="541"/>
        </w:tabs>
        <w:spacing w:before="190" w:after="0" w:line="240" w:lineRule="auto"/>
        <w:ind w:left="541" w:right="0" w:hanging="321"/>
        <w:jc w:val="left"/>
      </w:pPr>
      <w:r>
        <w:rPr>
          <w:spacing w:val="-2"/>
        </w:rPr>
        <w:t>资料与方法</w:t>
      </w:r>
    </w:p>
    <w:p>
      <w:pPr>
        <w:pStyle w:val="Heading2"/>
        <w:numPr>
          <w:ilvl w:val="1"/>
          <w:numId w:val="13"/>
        </w:numPr>
        <w:tabs>
          <w:tab w:val="left" w:pos="820"/>
        </w:tabs>
        <w:spacing w:before="227" w:after="0" w:line="240" w:lineRule="auto"/>
        <w:ind w:left="820" w:right="0" w:hanging="600"/>
        <w:jc w:val="left"/>
        <w:rPr>
          <w:rFonts w:ascii="黑体" w:eastAsia="黑体"/>
        </w:rPr>
      </w:pPr>
      <w:r>
        <w:rPr>
          <w:rFonts w:ascii="黑体" w:eastAsia="黑体"/>
          <w:spacing w:val="-2"/>
        </w:rPr>
        <w:t>标本、仪器与试剂法</w:t>
      </w:r>
    </w:p>
    <w:p>
      <w:pPr>
        <w:pStyle w:val="Heading3"/>
        <w:numPr>
          <w:ilvl w:val="2"/>
          <w:numId w:val="13"/>
        </w:numPr>
        <w:tabs>
          <w:tab w:val="left" w:pos="1060"/>
        </w:tabs>
        <w:spacing w:before="252" w:after="0" w:line="240" w:lineRule="auto"/>
        <w:ind w:left="1060" w:right="0" w:hanging="840"/>
        <w:jc w:val="left"/>
      </w:pPr>
      <w:bookmarkStart w:id="1" w:name="_TOC_250015"/>
      <w:bookmarkEnd w:id="1"/>
      <w:r>
        <w:rPr>
          <w:spacing w:val="-3"/>
        </w:rPr>
        <w:t>标本来源</w:t>
      </w:r>
    </w:p>
    <w:p>
      <w:pPr>
        <w:pStyle w:val="BodyText"/>
        <w:spacing w:before="213" w:line="364" w:lineRule="auto"/>
        <w:ind w:right="778" w:firstLine="480"/>
        <w:jc w:val="both"/>
      </w:pPr>
      <w:r>
        <w:rPr>
          <w:spacing w:val="-4"/>
        </w:rPr>
        <w:t>2013</w:t>
      </w:r>
      <w:r>
        <w:rPr>
          <w:spacing w:val="-19"/>
        </w:rPr>
        <w:t xml:space="preserve"> 年 </w:t>
      </w:r>
      <w:r>
        <w:rPr>
          <w:spacing w:val="-4"/>
        </w:rPr>
        <w:t>1</w:t>
      </w:r>
      <w:r>
        <w:rPr>
          <w:spacing w:val="-16"/>
        </w:rPr>
        <w:t xml:space="preserve"> 月至 </w:t>
      </w:r>
      <w:r>
        <w:rPr>
          <w:spacing w:val="-4"/>
        </w:rPr>
        <w:t>2015</w:t>
      </w:r>
      <w:r>
        <w:rPr>
          <w:spacing w:val="-19"/>
        </w:rPr>
        <w:t xml:space="preserve"> 年 </w:t>
      </w:r>
      <w:r>
        <w:rPr>
          <w:spacing w:val="-4"/>
        </w:rPr>
        <w:t>12</w:t>
      </w:r>
      <w:r>
        <w:rPr>
          <w:spacing w:val="-10"/>
        </w:rPr>
        <w:t xml:space="preserve"> 月我院门诊和住院病人的血液和骨髓标本 </w:t>
      </w:r>
      <w:r>
        <w:rPr>
          <w:spacing w:val="-4"/>
        </w:rPr>
        <w:t>4743</w:t>
      </w:r>
      <w:r>
        <w:rPr>
          <w:spacing w:val="-8"/>
        </w:rPr>
        <w:t xml:space="preserve">份，严格无菌方法采血,儿童 </w:t>
      </w:r>
      <w:r>
        <w:rPr>
          <w:spacing w:val="-6"/>
        </w:rPr>
        <w:t>3-5ml</w:t>
      </w:r>
      <w:r>
        <w:rPr>
          <w:spacing w:val="-9"/>
        </w:rPr>
        <w:t xml:space="preserve">，成人采血 </w:t>
      </w:r>
      <w:r>
        <w:rPr>
          <w:spacing w:val="-6"/>
        </w:rPr>
        <w:t>5-10ml,</w:t>
      </w:r>
      <w:r>
        <w:rPr>
          <w:spacing w:val="-12"/>
        </w:rPr>
        <w:t xml:space="preserve">注入 </w:t>
      </w:r>
      <w:r>
        <w:rPr>
          <w:spacing w:val="-6"/>
        </w:rPr>
        <w:t>Bact/Alert3D</w:t>
      </w:r>
      <w:r>
        <w:rPr>
          <w:spacing w:val="-12"/>
        </w:rPr>
        <w:t xml:space="preserve"> 配套</w:t>
      </w:r>
      <w:r>
        <w:rPr>
          <w:spacing w:val="-2"/>
        </w:rPr>
        <w:t>的血培养瓶中送检。标本尽量在抗生素使用前和高热时采集。</w:t>
      </w:r>
    </w:p>
    <w:p>
      <w:pPr>
        <w:pStyle w:val="Heading3"/>
        <w:numPr>
          <w:ilvl w:val="2"/>
          <w:numId w:val="13"/>
        </w:numPr>
        <w:tabs>
          <w:tab w:val="left" w:pos="1120"/>
        </w:tabs>
        <w:spacing w:before="54" w:after="0" w:line="240" w:lineRule="auto"/>
        <w:ind w:left="1120" w:right="0" w:hanging="840"/>
        <w:jc w:val="left"/>
      </w:pPr>
      <w:bookmarkStart w:id="2" w:name="_TOC_250014"/>
      <w:bookmarkEnd w:id="2"/>
      <w:r>
        <w:rPr>
          <w:spacing w:val="-2"/>
        </w:rPr>
        <w:t>仪器与试剂</w:t>
      </w:r>
    </w:p>
    <w:p>
      <w:pPr>
        <w:pStyle w:val="BodyText"/>
        <w:spacing w:before="213" w:line="364" w:lineRule="auto"/>
        <w:ind w:right="778" w:firstLine="480"/>
        <w:jc w:val="both"/>
      </w:pPr>
      <w:r>
        <w:rPr>
          <w:spacing w:val="-2"/>
        </w:rPr>
        <w:t>Bact/Alert3D</w:t>
      </w:r>
      <w:r>
        <w:rPr>
          <w:spacing w:val="-7"/>
        </w:rPr>
        <w:t xml:space="preserve"> 全自动血培养仪及其配套的血培养瓶</w:t>
      </w:r>
      <w:r>
        <w:rPr>
          <w:spacing w:val="-2"/>
        </w:rPr>
        <w:t>,Vitek-32</w:t>
      </w:r>
      <w:r>
        <w:rPr>
          <w:spacing w:val="-7"/>
        </w:rPr>
        <w:t xml:space="preserve"> 全自动微生</w:t>
      </w:r>
      <w:r>
        <w:rPr>
          <w:spacing w:val="-7"/>
        </w:rPr>
        <w:t>物仪及其鉴定卡,均为法国梅里埃公司产品。血平板与巧克力平板购自广州迪景</w:t>
      </w:r>
      <w:r>
        <w:rPr>
          <w:spacing w:val="-15"/>
        </w:rPr>
        <w:t xml:space="preserve">公司。质控菌株:大肠埃希菌 </w:t>
      </w:r>
      <w:r>
        <w:rPr>
          <w:spacing w:val="-2"/>
        </w:rPr>
        <w:t>ATCC25922,</w:t>
      </w:r>
      <w:r>
        <w:rPr>
          <w:spacing w:val="-8"/>
        </w:rPr>
        <w:t xml:space="preserve"> 金黄色葡萄球菌 </w:t>
      </w:r>
      <w:r>
        <w:rPr>
          <w:spacing w:val="-2"/>
        </w:rPr>
        <w:t>ATCC25923,铜绿假单</w:t>
      </w:r>
      <w:r>
        <w:rPr>
          <w:spacing w:val="-14"/>
        </w:rPr>
        <w:t xml:space="preserve">胞菌 </w:t>
      </w:r>
      <w:r>
        <w:t>ATCC27853。</w:t>
      </w:r>
    </w:p>
    <w:p>
      <w:pPr>
        <w:pStyle w:val="Heading2"/>
        <w:numPr>
          <w:ilvl w:val="1"/>
          <w:numId w:val="13"/>
        </w:numPr>
        <w:tabs>
          <w:tab w:val="left" w:pos="880"/>
        </w:tabs>
        <w:spacing w:before="42" w:after="0" w:line="240" w:lineRule="auto"/>
        <w:ind w:left="880" w:right="0" w:hanging="600"/>
        <w:jc w:val="left"/>
        <w:rPr>
          <w:rFonts w:ascii="黑体" w:eastAsia="黑体"/>
        </w:rPr>
      </w:pPr>
      <w:bookmarkStart w:id="3" w:name="_TOC_250013"/>
      <w:bookmarkEnd w:id="3"/>
      <w:r>
        <w:rPr>
          <w:rFonts w:ascii="黑体" w:eastAsia="黑体"/>
          <w:spacing w:val="-5"/>
        </w:rPr>
        <w:t>方法</w:t>
      </w:r>
    </w:p>
    <w:p>
      <w:pPr>
        <w:pStyle w:val="Heading3"/>
        <w:numPr>
          <w:ilvl w:val="2"/>
          <w:numId w:val="13"/>
        </w:numPr>
        <w:tabs>
          <w:tab w:val="left" w:pos="1120"/>
        </w:tabs>
        <w:spacing w:before="253" w:after="0" w:line="240" w:lineRule="auto"/>
        <w:ind w:left="1120" w:right="0" w:hanging="840"/>
        <w:jc w:val="left"/>
      </w:pPr>
      <w:r>
        <w:t>Bact/Alert3D</w:t>
      </w:r>
      <w:r>
        <w:rPr>
          <w:spacing w:val="-10"/>
        </w:rPr>
        <w:t xml:space="preserve"> 全自动血培养仪上机检测</w:t>
      </w:r>
    </w:p>
    <w:p>
      <w:pPr>
        <w:pStyle w:val="BodyText"/>
        <w:spacing w:before="212" w:line="364" w:lineRule="auto"/>
        <w:ind w:left="280" w:right="505" w:firstLine="480"/>
      </w:pPr>
      <w:r>
        <w:t>严格按照说明书操作,仪器给出阳性信号时及时取出培养瓶,转种血平板与</w:t>
      </w:r>
      <w:r>
        <w:rPr>
          <w:spacing w:val="3"/>
        </w:rPr>
        <w:t>巧克力平板（</w:t>
      </w:r>
      <w:r>
        <w:t>C</w:t>
      </w:r>
      <w:r>
        <w:rPr>
          <w:spacing w:val="-1"/>
        </w:rPr>
        <w:t>O</w:t>
      </w:r>
      <w:r>
        <w:t>2</w:t>
      </w:r>
      <w:r>
        <w:rPr>
          <w:spacing w:val="-19"/>
        </w:rPr>
        <w:t xml:space="preserve"> 环境</w:t>
      </w:r>
      <w:r>
        <w:rPr>
          <w:spacing w:val="3"/>
        </w:rPr>
        <w:t>）</w:t>
      </w:r>
      <w:r>
        <w:rPr>
          <w:spacing w:val="-15"/>
        </w:rPr>
        <w:t xml:space="preserve">,放置 </w:t>
      </w:r>
      <w:r>
        <w:t>35</w:t>
      </w:r>
      <w:r>
        <w:rPr>
          <w:spacing w:val="-10"/>
        </w:rPr>
        <w:t xml:space="preserve">℃孵箱孵 </w:t>
      </w:r>
      <w:r>
        <w:t>18-24</w:t>
      </w:r>
      <w:r>
        <w:rPr>
          <w:spacing w:val="-6"/>
        </w:rPr>
        <w:t xml:space="preserve"> 小时,同时进行涂片、革兰染</w:t>
      </w:r>
      <w:r>
        <w:rPr>
          <w:spacing w:val="-3"/>
        </w:rPr>
        <w:t xml:space="preserve">色、镜检。仪器设置的培养时间为 </w:t>
      </w:r>
      <w:r>
        <w:t>5</w:t>
      </w:r>
      <w:r>
        <w:rPr>
          <w:spacing w:val="-24"/>
        </w:rPr>
        <w:t xml:space="preserve"> 天,满 </w:t>
      </w:r>
      <w:r>
        <w:t>5</w:t>
      </w:r>
      <w:r>
        <w:rPr>
          <w:spacing w:val="-6"/>
        </w:rPr>
        <w:t xml:space="preserve"> 天未检测到细菌生长的,仪器发出</w:t>
      </w:r>
      <w:r>
        <w:rPr>
          <w:spacing w:val="-11"/>
        </w:rPr>
        <w:t>阴性信号,及时取出阴性瓶,盲种血平板与巧克力平板,同时进行涂片、革兰染色、</w:t>
      </w:r>
      <w:r>
        <w:t>镜检。</w:t>
      </w:r>
    </w:p>
    <w:p>
      <w:pPr>
        <w:pStyle w:val="Heading3"/>
        <w:numPr>
          <w:ilvl w:val="2"/>
          <w:numId w:val="13"/>
        </w:numPr>
        <w:tabs>
          <w:tab w:val="left" w:pos="990"/>
        </w:tabs>
        <w:spacing w:before="56" w:after="0" w:line="240" w:lineRule="auto"/>
        <w:ind w:left="990" w:right="0" w:hanging="770"/>
        <w:jc w:val="left"/>
      </w:pPr>
      <w:bookmarkStart w:id="4" w:name="_TOC_250012"/>
      <w:bookmarkEnd w:id="4"/>
      <w:r>
        <w:rPr>
          <w:spacing w:val="-2"/>
        </w:rPr>
        <w:t>细菌的鉴定</w:t>
      </w:r>
    </w:p>
    <w:p>
      <w:pPr>
        <w:spacing w:after="0" w:line="240" w:lineRule="auto"/>
        <w:jc w:val="left"/>
        <w:sectPr>
          <w:headerReference w:type="default" r:id="rId7"/>
          <w:pgSz w:w="11910" w:h="16840"/>
          <w:pgMar w:top="1380" w:right="1140" w:bottom="280" w:left="1580" w:header="893" w:footer="0"/>
          <w:pgNumType w:start="4"/>
          <w:cols w:space="708"/>
        </w:sectPr>
      </w:pPr>
    </w:p>
    <w:p>
      <w:pPr>
        <w:pStyle w:val="BodyText"/>
        <w:spacing w:before="142"/>
        <w:ind w:left="700"/>
      </w:pPr>
      <w:r>
        <w:rPr>
          <w:spacing w:val="-30"/>
        </w:rPr>
        <w:t xml:space="preserve">用 </w:t>
      </w:r>
      <w:r>
        <w:t>Vitek-32</w:t>
      </w:r>
      <w:r>
        <w:rPr>
          <w:spacing w:val="-9"/>
        </w:rPr>
        <w:t xml:space="preserve"> 全自动微生物仪及其鉴定卡鉴定。</w:t>
      </w:r>
    </w:p>
    <w:p>
      <w:pPr>
        <w:pStyle w:val="Heading3"/>
        <w:numPr>
          <w:ilvl w:val="2"/>
          <w:numId w:val="13"/>
        </w:numPr>
        <w:tabs>
          <w:tab w:val="left" w:pos="1011"/>
        </w:tabs>
        <w:spacing w:before="213" w:after="0" w:line="240" w:lineRule="auto"/>
        <w:ind w:left="1011" w:right="0" w:hanging="771"/>
        <w:jc w:val="left"/>
      </w:pPr>
      <w:bookmarkStart w:id="5" w:name="_TOC_250011"/>
      <w:bookmarkEnd w:id="5"/>
      <w:r>
        <w:rPr>
          <w:spacing w:val="-2"/>
        </w:rPr>
        <w:t>细菌的药敏</w:t>
      </w:r>
    </w:p>
    <w:p>
      <w:pPr>
        <w:pStyle w:val="BodyText"/>
        <w:spacing w:before="212"/>
        <w:ind w:left="720"/>
      </w:pPr>
      <w:r>
        <w:rPr>
          <w:spacing w:val="-30"/>
        </w:rPr>
        <w:t xml:space="preserve">用 </w:t>
      </w:r>
      <w:r>
        <w:t>K—B</w:t>
      </w:r>
      <w:r>
        <w:rPr>
          <w:spacing w:val="-30"/>
        </w:rPr>
        <w:t xml:space="preserve"> 法和 </w:t>
      </w:r>
      <w:r>
        <w:t>Vitek-32</w:t>
      </w:r>
      <w:r>
        <w:rPr>
          <w:spacing w:val="-9"/>
        </w:rPr>
        <w:t xml:space="preserve"> 全自动微生物仪进行药敏。</w:t>
      </w:r>
    </w:p>
    <w:p>
      <w:pPr>
        <w:pStyle w:val="Heading3"/>
        <w:numPr>
          <w:ilvl w:val="2"/>
          <w:numId w:val="13"/>
        </w:numPr>
        <w:tabs>
          <w:tab w:val="left" w:pos="1011"/>
        </w:tabs>
        <w:spacing w:before="214" w:after="0" w:line="240" w:lineRule="auto"/>
        <w:ind w:left="1011" w:right="0" w:hanging="771"/>
        <w:jc w:val="left"/>
      </w:pPr>
      <w:bookmarkStart w:id="6" w:name="_TOC_250010"/>
      <w:bookmarkEnd w:id="6"/>
      <w:r>
        <w:rPr>
          <w:spacing w:val="-3"/>
        </w:rPr>
        <w:t>统计方法</w:t>
      </w:r>
    </w:p>
    <w:p>
      <w:pPr>
        <w:pStyle w:val="BodyText"/>
        <w:spacing w:before="212" w:line="364" w:lineRule="auto"/>
        <w:ind w:left="240" w:right="1158" w:firstLine="480"/>
      </w:pPr>
      <w:r>
        <w:t>两组阳性率以及阳性百分比用卡方检验，P&lt;0.05</w:t>
      </w:r>
      <w:r>
        <w:rPr>
          <w:spacing w:val="-8"/>
        </w:rPr>
        <w:t xml:space="preserve"> 认为有统计学意义。</w:t>
      </w:r>
      <w:r>
        <w:rPr>
          <w:spacing w:val="-5"/>
        </w:rPr>
        <w:t xml:space="preserve">数据采用 </w:t>
      </w:r>
      <w:r>
        <w:t>SPSS11.5</w:t>
      </w:r>
      <w:r>
        <w:rPr>
          <w:spacing w:val="-5"/>
        </w:rPr>
        <w:t xml:space="preserve"> 统计软件包进行计算。</w:t>
      </w:r>
    </w:p>
    <w:p>
      <w:pPr>
        <w:pStyle w:val="Heading1"/>
        <w:numPr>
          <w:ilvl w:val="0"/>
          <w:numId w:val="13"/>
        </w:numPr>
        <w:tabs>
          <w:tab w:val="left" w:pos="561"/>
        </w:tabs>
        <w:spacing w:before="29" w:after="0" w:line="240" w:lineRule="auto"/>
        <w:ind w:left="561" w:right="0" w:hanging="321"/>
        <w:jc w:val="left"/>
      </w:pPr>
      <w:bookmarkStart w:id="7" w:name="_TOC_250009"/>
      <w:bookmarkEnd w:id="7"/>
      <w:r>
        <w:rPr>
          <w:spacing w:val="-4"/>
        </w:rPr>
        <w:t>结 果</w:t>
      </w:r>
    </w:p>
    <w:p>
      <w:pPr>
        <w:pStyle w:val="Heading2"/>
        <w:numPr>
          <w:ilvl w:val="1"/>
          <w:numId w:val="13"/>
        </w:numPr>
        <w:tabs>
          <w:tab w:val="left" w:pos="766"/>
        </w:tabs>
        <w:spacing w:before="226" w:after="0" w:line="240" w:lineRule="auto"/>
        <w:ind w:left="766" w:right="0" w:hanging="526"/>
        <w:jc w:val="left"/>
        <w:rPr>
          <w:rFonts w:ascii="黑体" w:eastAsia="黑体"/>
        </w:rPr>
      </w:pPr>
      <w:bookmarkStart w:id="8" w:name="_TOC_250008"/>
      <w:bookmarkEnd w:id="8"/>
      <w:r>
        <w:rPr>
          <w:rFonts w:ascii="黑体" w:eastAsia="黑体"/>
          <w:spacing w:val="-2"/>
        </w:rPr>
        <w:t>病原菌的分布情况</w:t>
      </w:r>
    </w:p>
    <w:p>
      <w:pPr>
        <w:pStyle w:val="BodyText"/>
        <w:spacing w:before="200" w:line="364" w:lineRule="auto"/>
        <w:ind w:right="658" w:firstLine="480"/>
        <w:jc w:val="both"/>
      </w:pPr>
      <w:r>
        <w:rPr>
          <w:spacing w:val="-8"/>
        </w:rPr>
        <w:t>2013</w:t>
      </w:r>
      <w:r>
        <w:rPr>
          <w:spacing w:val="-18"/>
        </w:rPr>
        <w:t xml:space="preserve"> 年 </w:t>
      </w:r>
      <w:r>
        <w:rPr>
          <w:spacing w:val="-8"/>
        </w:rPr>
        <w:t>1</w:t>
      </w:r>
      <w:r>
        <w:rPr>
          <w:spacing w:val="-13"/>
        </w:rPr>
        <w:t xml:space="preserve"> 月-</w:t>
      </w:r>
      <w:r>
        <w:rPr>
          <w:spacing w:val="-8"/>
        </w:rPr>
        <w:t>2015</w:t>
      </w:r>
      <w:r>
        <w:rPr>
          <w:spacing w:val="-18"/>
        </w:rPr>
        <w:t xml:space="preserve"> 年 </w:t>
      </w:r>
      <w:r>
        <w:rPr>
          <w:spacing w:val="-8"/>
        </w:rPr>
        <w:t>12</w:t>
      </w:r>
      <w:r>
        <w:rPr>
          <w:spacing w:val="-13"/>
        </w:rPr>
        <w:t xml:space="preserve"> 月期间，从血标本中共分离病原菌株 </w:t>
      </w:r>
      <w:r>
        <w:rPr>
          <w:spacing w:val="-8"/>
        </w:rPr>
        <w:t>635</w:t>
      </w:r>
      <w:r>
        <w:rPr>
          <w:spacing w:val="-12"/>
        </w:rPr>
        <w:t xml:space="preserve"> 株，阳性</w:t>
      </w:r>
      <w:r>
        <w:rPr>
          <w:spacing w:val="-15"/>
        </w:rPr>
        <w:t xml:space="preserve">率 </w:t>
      </w:r>
      <w:r>
        <w:rPr>
          <w:spacing w:val="-12"/>
        </w:rPr>
        <w:t>13.3%</w:t>
      </w:r>
      <w:r>
        <w:rPr>
          <w:spacing w:val="-26"/>
        </w:rPr>
        <w:t xml:space="preserve">。其中革兰阳性菌 </w:t>
      </w:r>
      <w:r>
        <w:rPr>
          <w:spacing w:val="-12"/>
        </w:rPr>
        <w:t>247</w:t>
      </w:r>
      <w:r>
        <w:rPr>
          <w:spacing w:val="-69"/>
        </w:rPr>
        <w:t xml:space="preserve"> 株</w:t>
      </w:r>
      <w:r>
        <w:rPr>
          <w:spacing w:val="-12"/>
        </w:rPr>
        <w:t>（</w:t>
      </w:r>
      <w:r>
        <w:rPr>
          <w:spacing w:val="-15"/>
        </w:rPr>
        <w:t xml:space="preserve">占 </w:t>
      </w:r>
      <w:r>
        <w:rPr>
          <w:spacing w:val="22"/>
        </w:rPr>
        <w:t>38.9%</w:t>
      </w:r>
      <w:r>
        <w:rPr>
          <w:spacing w:val="-98"/>
        </w:rPr>
        <w:t>），</w:t>
      </w:r>
      <w:r>
        <w:rPr>
          <w:spacing w:val="-23"/>
        </w:rPr>
        <w:t xml:space="preserve">呈上升趋势；革兰阴性菌 </w:t>
      </w:r>
      <w:r>
        <w:rPr>
          <w:spacing w:val="-12"/>
        </w:rPr>
        <w:t>322</w:t>
      </w:r>
      <w:r>
        <w:rPr>
          <w:spacing w:val="-69"/>
        </w:rPr>
        <w:t xml:space="preserve"> 株</w:t>
      </w:r>
      <w:r>
        <w:rPr>
          <w:spacing w:val="-12"/>
        </w:rPr>
        <w:t>（占</w:t>
      </w:r>
      <w:r>
        <w:rPr>
          <w:spacing w:val="-12"/>
        </w:rPr>
        <w:t xml:space="preserve"> </w:t>
      </w:r>
      <w:r>
        <w:rPr>
          <w:spacing w:val="7"/>
        </w:rPr>
        <w:t>50.7%</w:t>
      </w:r>
      <w:r>
        <w:rPr>
          <w:spacing w:val="-113"/>
        </w:rPr>
        <w:t>）</w:t>
      </w:r>
      <w:r>
        <w:rPr>
          <w:spacing w:val="-13"/>
        </w:rPr>
        <w:t xml:space="preserve">，也呈上升趋势。肠杆菌科中甲型副伤寒由 </w:t>
      </w:r>
      <w:r>
        <w:rPr>
          <w:spacing w:val="-12"/>
        </w:rPr>
        <w:t>06</w:t>
      </w:r>
      <w:r>
        <w:rPr>
          <w:spacing w:val="-15"/>
        </w:rPr>
        <w:t xml:space="preserve"> 年的 </w:t>
      </w:r>
      <w:r>
        <w:rPr>
          <w:spacing w:val="-12"/>
        </w:rPr>
        <w:t>80</w:t>
      </w:r>
      <w:r>
        <w:rPr>
          <w:spacing w:val="-15"/>
        </w:rPr>
        <w:t xml:space="preserve"> 株减低到 </w:t>
      </w:r>
      <w:r>
        <w:rPr>
          <w:spacing w:val="-12"/>
        </w:rPr>
        <w:t>08</w:t>
      </w:r>
      <w:r>
        <w:rPr>
          <w:spacing w:val="-16"/>
        </w:rPr>
        <w:t xml:space="preserve"> 年 </w:t>
      </w:r>
      <w:r>
        <w:rPr>
          <w:spacing w:val="-12"/>
        </w:rPr>
        <w:t>1</w:t>
      </w:r>
      <w:r>
        <w:rPr>
          <w:spacing w:val="-12"/>
        </w:rPr>
        <w:t>3</w:t>
      </w:r>
      <w:r>
        <w:rPr>
          <w:spacing w:val="-13"/>
        </w:rPr>
        <w:t xml:space="preserve">株， 呈下降趋势； 真菌 </w:t>
      </w:r>
      <w:r>
        <w:rPr>
          <w:spacing w:val="-4"/>
        </w:rPr>
        <w:t>66</w:t>
      </w:r>
      <w:r>
        <w:rPr>
          <w:spacing w:val="-15"/>
        </w:rPr>
        <w:t xml:space="preserve"> 株</w:t>
      </w:r>
      <w:r>
        <w:rPr>
          <w:spacing w:val="-4"/>
        </w:rPr>
        <w:t>（</w:t>
      </w:r>
      <w:r>
        <w:rPr>
          <w:spacing w:val="-19"/>
        </w:rPr>
        <w:t xml:space="preserve"> 占 </w:t>
      </w:r>
      <w:r>
        <w:rPr>
          <w:spacing w:val="-4"/>
        </w:rPr>
        <w:t>10.4%）</w:t>
      </w:r>
      <w:r>
        <w:rPr>
          <w:spacing w:val="-16"/>
        </w:rPr>
        <w:t xml:space="preserve">， 由 </w:t>
      </w:r>
      <w:r>
        <w:rPr>
          <w:spacing w:val="-4"/>
        </w:rPr>
        <w:t>06</w:t>
      </w:r>
      <w:r>
        <w:rPr>
          <w:spacing w:val="-16"/>
        </w:rPr>
        <w:t xml:space="preserve"> 年的 </w:t>
      </w:r>
      <w:r>
        <w:rPr>
          <w:spacing w:val="-4"/>
        </w:rPr>
        <w:t>2.9%</w:t>
      </w:r>
      <w:r>
        <w:rPr>
          <w:spacing w:val="-10"/>
        </w:rPr>
        <w:t xml:space="preserve">上升至 </w:t>
      </w:r>
      <w:r>
        <w:rPr>
          <w:spacing w:val="-4"/>
        </w:rPr>
        <w:t>08</w:t>
      </w:r>
      <w:r>
        <w:rPr>
          <w:spacing w:val="-12"/>
        </w:rPr>
        <w:t xml:space="preserve"> 年的</w:t>
      </w:r>
      <w:r>
        <w:rPr>
          <w:spacing w:val="-4"/>
        </w:rPr>
        <w:t xml:space="preserve"> </w:t>
      </w:r>
      <w:r>
        <w:rPr>
          <w:spacing w:val="-2"/>
        </w:rPr>
        <w:t>15.9%，上升幅度较大。革兰阳性菌以葡萄球菌属的细菌为主，其中表皮葡萄球</w:t>
      </w:r>
      <w:r>
        <w:rPr>
          <w:spacing w:val="-8"/>
        </w:rPr>
        <w:t xml:space="preserve">菌最多，共 </w:t>
      </w:r>
      <w:r>
        <w:rPr>
          <w:spacing w:val="-4"/>
        </w:rPr>
        <w:t>118</w:t>
      </w:r>
      <w:r>
        <w:rPr>
          <w:spacing w:val="-14"/>
        </w:rPr>
        <w:t xml:space="preserve"> 株，占 </w:t>
      </w:r>
      <w:r>
        <w:rPr>
          <w:spacing w:val="-4"/>
        </w:rPr>
        <w:t>18.6%。肠杆菌科的细菌是最常见的革兰阴性菌，其中大</w:t>
      </w:r>
      <w:r>
        <w:rPr>
          <w:spacing w:val="-3"/>
        </w:rPr>
        <w:t xml:space="preserve">肠埃希菌最多，共 </w:t>
      </w:r>
      <w:r>
        <w:t>118</w:t>
      </w:r>
      <w:r>
        <w:rPr>
          <w:spacing w:val="-9"/>
        </w:rPr>
        <w:t xml:space="preserve"> 株，占 </w:t>
      </w:r>
      <w:r>
        <w:t>18.6%</w:t>
      </w:r>
      <w:r>
        <w:rPr>
          <w:spacing w:val="-3"/>
        </w:rPr>
        <w:t xml:space="preserve">。整体分布情况见表 </w:t>
      </w:r>
      <w:r>
        <w:t>1。</w:t>
      </w:r>
    </w:p>
    <w:p>
      <w:pPr>
        <w:pStyle w:val="BodyText"/>
        <w:spacing w:before="4"/>
        <w:ind w:left="1900"/>
        <w:jc w:val="both"/>
      </w:pPr>
      <w:r>
        <w:rPr>
          <w:spacing w:val="-30"/>
        </w:rPr>
        <w:t xml:space="preserve">表 </w:t>
      </w:r>
      <w:r>
        <w:t>1 2013</w:t>
      </w:r>
      <w:r>
        <w:rPr>
          <w:spacing w:val="-20"/>
        </w:rPr>
        <w:t xml:space="preserve"> 年-</w:t>
      </w:r>
      <w:r>
        <w:t>2015</w:t>
      </w:r>
      <w:r>
        <w:rPr>
          <w:spacing w:val="-9"/>
        </w:rPr>
        <w:t xml:space="preserve"> 年血培养病原菌分布</w:t>
      </w:r>
    </w:p>
    <w:p>
      <w:pPr>
        <w:pStyle w:val="BodyText"/>
        <w:tabs>
          <w:tab w:val="left" w:pos="6099"/>
        </w:tabs>
        <w:spacing w:before="161"/>
        <w:ind w:left="1180"/>
      </w:pPr>
      <w:r>
        <w:t xml:space="preserve">Table 1 Distribution of pathogen </w:t>
      </w:r>
      <w:r>
        <w:rPr>
          <w:spacing w:val="-2"/>
        </w:rPr>
        <w:t>during</w:t>
      </w:r>
      <w:r>
        <w:tab/>
        <w:t>2013-</w:t>
      </w:r>
      <w:r>
        <w:rPr>
          <w:spacing w:val="-4"/>
        </w:rPr>
        <w:t>2015</w:t>
      </w:r>
    </w:p>
    <w:p>
      <w:pPr>
        <w:pStyle w:val="BodyText"/>
        <w:spacing w:before="11"/>
        <w:ind w:left="0"/>
        <w:rPr>
          <w:sz w:val="9"/>
        </w:rPr>
      </w:pPr>
      <w:r>
        <w:pict>
          <v:shape id="_x0000_s1025" style="width:440.95pt;height:0.1pt;margin-top:7.54pt;margin-left:90.3pt;mso-position-horizontal-relative:page;mso-wrap-distance-left:0;mso-wrap-distance-right:0;position:absolute;z-index:-251657216" coordorigin="1806,151" coordsize="8819,0" path="m1806,151l10625,151e" filled="f" stroked="t" strokecolor="black" strokeweight="0.75pt">
            <v:stroke dashstyle="solid"/>
            <v:path arrowok="t"/>
            <w10:wrap type="topAndBottom"/>
          </v:shape>
        </w:pict>
      </w:r>
    </w:p>
    <w:p>
      <w:pPr>
        <w:pStyle w:val="BodyText"/>
        <w:tabs>
          <w:tab w:val="left" w:pos="4404"/>
          <w:tab w:val="left" w:pos="5464"/>
          <w:tab w:val="left" w:pos="6084"/>
          <w:tab w:val="left" w:pos="7174"/>
        </w:tabs>
        <w:spacing w:before="69"/>
        <w:ind w:left="2845"/>
      </w:pPr>
      <w:r>
        <w:rPr>
          <w:spacing w:val="-4"/>
        </w:rPr>
        <w:t>2013</w:t>
      </w:r>
      <w:r>
        <w:tab/>
      </w:r>
      <w:r>
        <w:rPr>
          <w:spacing w:val="-4"/>
        </w:rPr>
        <w:t>2014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2015</w:t>
      </w:r>
      <w:r>
        <w:rPr>
          <w:u w:val="single"/>
        </w:rPr>
        <w:tab/>
      </w:r>
    </w:p>
    <w:p>
      <w:pPr>
        <w:spacing w:before="67" w:line="97" w:lineRule="exact"/>
        <w:ind w:left="0" w:right="1623" w:firstLine="0"/>
        <w:jc w:val="right"/>
        <w:rPr>
          <w:rFonts w:ascii="Arial"/>
          <w:sz w:val="1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2089150</wp:posOffset>
            </wp:positionH>
            <wp:positionV relativeFrom="paragraph">
              <wp:posOffset>-15571</wp:posOffset>
            </wp:positionV>
            <wp:extent cx="2818129" cy="50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129" cy="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2"/>
        </w:rPr>
        <w:t>2</w:t>
      </w:r>
    </w:p>
    <w:p>
      <w:pPr>
        <w:pStyle w:val="BodyText"/>
        <w:tabs>
          <w:tab w:val="left" w:pos="2374"/>
          <w:tab w:val="left" w:pos="8255"/>
        </w:tabs>
        <w:spacing w:line="196" w:lineRule="auto"/>
        <w:ind w:left="480"/>
      </w:pPr>
      <w:r>
        <w:t>细菌名</w:t>
      </w:r>
      <w:r>
        <w:rPr>
          <w:spacing w:val="-10"/>
        </w:rPr>
        <w:t>称</w:t>
      </w:r>
      <w:r>
        <w:tab/>
        <w:t>株</w:t>
      </w:r>
      <w:r>
        <w:rPr>
          <w:spacing w:val="-51"/>
        </w:rPr>
        <w:t>数</w:t>
      </w:r>
      <w:r>
        <w:t>（百分率）株</w:t>
      </w:r>
      <w:r>
        <w:rPr>
          <w:spacing w:val="-75"/>
        </w:rPr>
        <w:t>数</w:t>
      </w:r>
      <w:r>
        <w:t>（百分率</w:t>
      </w:r>
      <w:r>
        <w:rPr>
          <w:spacing w:val="-120"/>
        </w:rPr>
        <w:t>）</w:t>
      </w:r>
      <w:r>
        <w:t>株</w:t>
      </w:r>
      <w:r>
        <w:rPr>
          <w:spacing w:val="-72"/>
        </w:rPr>
        <w:t>数</w:t>
      </w:r>
      <w:r>
        <w:t>（百分率）</w:t>
      </w:r>
      <w:r>
        <w:rPr>
          <w:spacing w:val="43"/>
          <w:w w:val="150"/>
        </w:rPr>
        <w:t xml:space="preserve"> </w:t>
      </w:r>
      <w:r>
        <w:rPr>
          <w:rFonts w:ascii="Arial" w:eastAsia="Arial"/>
          <w:spacing w:val="-10"/>
          <w:position w:val="-6"/>
        </w:rPr>
        <w:t>X</w:t>
      </w:r>
      <w:r>
        <w:rPr>
          <w:rFonts w:ascii="Arial" w:eastAsia="Arial"/>
          <w:position w:val="-6"/>
        </w:rPr>
        <w:tab/>
      </w:r>
      <w:r>
        <w:t>P</w:t>
      </w:r>
      <w:r>
        <w:rPr>
          <w:spacing w:val="-60"/>
        </w:rPr>
        <w:t xml:space="preserve"> </w:t>
      </w:r>
      <w:r>
        <w:rPr>
          <w:spacing w:val="-10"/>
        </w:rPr>
        <w:t>值</w:t>
      </w:r>
    </w:p>
    <w:p>
      <w:pPr>
        <w:pStyle w:val="BodyText"/>
        <w:spacing w:before="8"/>
        <w:ind w:left="0"/>
        <w:rPr>
          <w:sz w:val="18"/>
        </w:rPr>
      </w:pPr>
    </w:p>
    <w:tbl>
      <w:tblPr>
        <w:tblStyle w:val="TableNormal0"/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8"/>
        <w:gridCol w:w="2054"/>
        <w:gridCol w:w="1527"/>
        <w:gridCol w:w="1612"/>
        <w:gridCol w:w="1059"/>
        <w:gridCol w:w="860"/>
      </w:tblGrid>
      <w:tr>
        <w:tblPrEx>
          <w:tblW w:w="0" w:type="auto"/>
          <w:jc w:val="left"/>
          <w:tblInd w:w="29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8"/>
          <w:jc w:val="left"/>
        </w:trPr>
        <w:tc>
          <w:tcPr>
            <w:tcW w:w="1668" w:type="dxa"/>
          </w:tcPr>
          <w:p>
            <w:pPr>
              <w:pStyle w:val="TableParagraph"/>
              <w:spacing w:before="0" w:line="286" w:lineRule="exact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葡萄球菌属</w:t>
            </w:r>
          </w:p>
        </w:tc>
        <w:tc>
          <w:tcPr>
            <w:tcW w:w="2054" w:type="dxa"/>
          </w:tcPr>
          <w:p>
            <w:pPr>
              <w:pStyle w:val="TableParagraph"/>
              <w:spacing w:before="0" w:line="286" w:lineRule="exact"/>
              <w:ind w:left="416"/>
              <w:jc w:val="lef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23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16.5%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527" w:type="dxa"/>
          </w:tcPr>
          <w:p>
            <w:pPr>
              <w:pStyle w:val="TableParagraph"/>
              <w:spacing w:before="0" w:line="286" w:lineRule="exact"/>
              <w:ind w:right="67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90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44.6%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612" w:type="dxa"/>
          </w:tcPr>
          <w:p>
            <w:pPr>
              <w:pStyle w:val="TableParagraph"/>
              <w:spacing w:before="0" w:line="286" w:lineRule="exact"/>
              <w:ind w:left="66"/>
              <w:jc w:val="lef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91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30.8%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059" w:type="dxa"/>
          </w:tcPr>
          <w:p>
            <w:pPr>
              <w:pStyle w:val="TableParagraph"/>
              <w:spacing w:before="0" w:line="268" w:lineRule="exact"/>
              <w:ind w:left="100" w:right="195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30.027</w:t>
            </w:r>
          </w:p>
        </w:tc>
        <w:tc>
          <w:tcPr>
            <w:tcW w:w="860" w:type="dxa"/>
          </w:tcPr>
          <w:p>
            <w:pPr>
              <w:pStyle w:val="TableParagraph"/>
              <w:spacing w:before="0" w:line="268" w:lineRule="exact"/>
              <w:ind w:left="15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</w:tr>
      <w:tr>
        <w:tblPrEx>
          <w:tblW w:w="0" w:type="auto"/>
          <w:jc w:val="left"/>
          <w:tblInd w:w="2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1668" w:type="dxa"/>
          </w:tcPr>
          <w:p>
            <w:pPr>
              <w:pStyle w:val="TableParagraph"/>
              <w:spacing w:before="127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金黄色葡萄</w:t>
            </w:r>
          </w:p>
        </w:tc>
        <w:tc>
          <w:tcPr>
            <w:tcW w:w="2054" w:type="dxa"/>
          </w:tcPr>
          <w:p>
            <w:pPr>
              <w:pStyle w:val="TableParagraph"/>
              <w:spacing w:before="141"/>
              <w:ind w:left="28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9</w:t>
            </w:r>
          </w:p>
        </w:tc>
        <w:tc>
          <w:tcPr>
            <w:tcW w:w="1527" w:type="dxa"/>
          </w:tcPr>
          <w:p>
            <w:pPr>
              <w:pStyle w:val="TableParagraph"/>
              <w:spacing w:before="141"/>
              <w:ind w:left="563" w:right="667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16</w:t>
            </w:r>
          </w:p>
        </w:tc>
        <w:tc>
          <w:tcPr>
            <w:tcW w:w="1612" w:type="dxa"/>
          </w:tcPr>
          <w:p>
            <w:pPr>
              <w:pStyle w:val="TableParagraph"/>
              <w:spacing w:before="141"/>
              <w:ind w:right="19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0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1668" w:type="dxa"/>
          </w:tcPr>
          <w:p>
            <w:pPr>
              <w:pStyle w:val="TableParagraph"/>
              <w:spacing w:before="127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表皮葡萄球</w:t>
            </w:r>
          </w:p>
        </w:tc>
        <w:tc>
          <w:tcPr>
            <w:tcW w:w="2054" w:type="dxa"/>
          </w:tcPr>
          <w:p>
            <w:pPr>
              <w:pStyle w:val="TableParagraph"/>
              <w:spacing w:before="141"/>
              <w:ind w:left="1022" w:right="734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13</w:t>
            </w:r>
          </w:p>
        </w:tc>
        <w:tc>
          <w:tcPr>
            <w:tcW w:w="1527" w:type="dxa"/>
          </w:tcPr>
          <w:p>
            <w:pPr>
              <w:pStyle w:val="TableParagraph"/>
              <w:spacing w:before="141"/>
              <w:ind w:left="563" w:right="667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59</w:t>
            </w:r>
          </w:p>
        </w:tc>
        <w:tc>
          <w:tcPr>
            <w:tcW w:w="1612" w:type="dxa"/>
          </w:tcPr>
          <w:p>
            <w:pPr>
              <w:pStyle w:val="TableParagraph"/>
              <w:spacing w:before="141"/>
              <w:ind w:left="562" w:right="75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46</w:t>
            </w:r>
          </w:p>
        </w:tc>
        <w:tc>
          <w:tcPr>
            <w:tcW w:w="10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1668" w:type="dxa"/>
          </w:tcPr>
          <w:p>
            <w:pPr>
              <w:pStyle w:val="TableParagraph"/>
              <w:spacing w:before="127"/>
              <w:ind w:left="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其它葡萄球</w:t>
            </w:r>
          </w:p>
        </w:tc>
        <w:tc>
          <w:tcPr>
            <w:tcW w:w="2054" w:type="dxa"/>
          </w:tcPr>
          <w:p>
            <w:pPr>
              <w:pStyle w:val="TableParagraph"/>
              <w:spacing w:before="141"/>
              <w:ind w:left="28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527" w:type="dxa"/>
          </w:tcPr>
          <w:p>
            <w:pPr>
              <w:pStyle w:val="TableParagraph"/>
              <w:spacing w:before="141"/>
              <w:ind w:left="563" w:right="667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15</w:t>
            </w:r>
          </w:p>
        </w:tc>
        <w:tc>
          <w:tcPr>
            <w:tcW w:w="1612" w:type="dxa"/>
          </w:tcPr>
          <w:p>
            <w:pPr>
              <w:pStyle w:val="TableParagraph"/>
              <w:spacing w:before="141"/>
              <w:ind w:left="562" w:right="75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38</w:t>
            </w:r>
          </w:p>
        </w:tc>
        <w:tc>
          <w:tcPr>
            <w:tcW w:w="10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1668" w:type="dxa"/>
          </w:tcPr>
          <w:p>
            <w:pPr>
              <w:pStyle w:val="TableParagraph"/>
              <w:spacing w:before="127"/>
              <w:ind w:left="5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肠球菌属</w:t>
            </w:r>
          </w:p>
        </w:tc>
        <w:tc>
          <w:tcPr>
            <w:tcW w:w="2054" w:type="dxa"/>
          </w:tcPr>
          <w:p>
            <w:pPr>
              <w:pStyle w:val="TableParagraph"/>
              <w:spacing w:before="127"/>
              <w:ind w:left="861"/>
              <w:jc w:val="lef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0.0%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527" w:type="dxa"/>
          </w:tcPr>
          <w:p>
            <w:pPr>
              <w:pStyle w:val="TableParagraph"/>
              <w:spacing w:before="127"/>
              <w:ind w:right="71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11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5.45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612" w:type="dxa"/>
          </w:tcPr>
          <w:p>
            <w:pPr>
              <w:pStyle w:val="TableParagraph"/>
              <w:spacing w:before="141"/>
              <w:ind w:left="223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10(3.4%)</w:t>
            </w:r>
          </w:p>
        </w:tc>
        <w:tc>
          <w:tcPr>
            <w:tcW w:w="1059" w:type="dxa"/>
          </w:tcPr>
          <w:p>
            <w:pPr>
              <w:pStyle w:val="TableParagraph"/>
              <w:spacing w:before="141"/>
              <w:ind w:left="100" w:right="64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7.661</w:t>
            </w:r>
          </w:p>
        </w:tc>
        <w:tc>
          <w:tcPr>
            <w:tcW w:w="860" w:type="dxa"/>
          </w:tcPr>
          <w:p>
            <w:pPr>
              <w:pStyle w:val="TableParagraph"/>
              <w:spacing w:before="141"/>
              <w:ind w:left="190" w:right="38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0.022</w:t>
            </w:r>
          </w:p>
        </w:tc>
      </w:tr>
      <w:tr>
        <w:tblPrEx>
          <w:tblW w:w="0" w:type="auto"/>
          <w:jc w:val="left"/>
          <w:tblInd w:w="2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1668" w:type="dxa"/>
          </w:tcPr>
          <w:p>
            <w:pPr>
              <w:pStyle w:val="TableParagraph"/>
              <w:spacing w:before="127"/>
              <w:ind w:left="5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屎肠球菌</w:t>
            </w:r>
          </w:p>
        </w:tc>
        <w:tc>
          <w:tcPr>
            <w:tcW w:w="2054" w:type="dxa"/>
          </w:tcPr>
          <w:p>
            <w:pPr>
              <w:pStyle w:val="TableParagraph"/>
              <w:spacing w:before="141"/>
              <w:ind w:left="38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527" w:type="dxa"/>
          </w:tcPr>
          <w:p>
            <w:pPr>
              <w:pStyle w:val="TableParagraph"/>
              <w:spacing w:before="141"/>
              <w:ind w:right="10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1612" w:type="dxa"/>
          </w:tcPr>
          <w:p>
            <w:pPr>
              <w:pStyle w:val="TableParagraph"/>
              <w:spacing w:before="141"/>
              <w:ind w:right="19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0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7"/>
          <w:jc w:val="left"/>
        </w:trPr>
        <w:tc>
          <w:tcPr>
            <w:tcW w:w="1668" w:type="dxa"/>
          </w:tcPr>
          <w:p>
            <w:pPr>
              <w:pStyle w:val="TableParagraph"/>
              <w:spacing w:before="127" w:line="270" w:lineRule="exact"/>
              <w:ind w:left="5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粪肠球菌</w:t>
            </w:r>
          </w:p>
        </w:tc>
        <w:tc>
          <w:tcPr>
            <w:tcW w:w="2054" w:type="dxa"/>
          </w:tcPr>
          <w:p>
            <w:pPr>
              <w:pStyle w:val="TableParagraph"/>
              <w:spacing w:before="141" w:line="256" w:lineRule="exact"/>
              <w:ind w:left="38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527" w:type="dxa"/>
          </w:tcPr>
          <w:p>
            <w:pPr>
              <w:pStyle w:val="TableParagraph"/>
              <w:spacing w:before="141" w:line="256" w:lineRule="exact"/>
              <w:ind w:right="10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1612" w:type="dxa"/>
          </w:tcPr>
          <w:p>
            <w:pPr>
              <w:pStyle w:val="TableParagraph"/>
              <w:spacing w:before="141" w:line="256" w:lineRule="exact"/>
              <w:ind w:right="19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0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4"/>
        </w:rPr>
        <w:sectPr>
          <w:headerReference w:type="default" r:id="rId9"/>
          <w:pgSz w:w="11910" w:h="16840"/>
          <w:pgMar w:top="1380" w:right="1140" w:bottom="280" w:left="1580" w:header="893" w:footer="0"/>
          <w:pgNumType w:start="5"/>
          <w:cols w:space="708"/>
        </w:sectPr>
      </w:pPr>
    </w:p>
    <w:p>
      <w:pPr>
        <w:pStyle w:val="BodyText"/>
        <w:spacing w:before="8"/>
        <w:ind w:left="0"/>
        <w:rPr>
          <w:sz w:val="16"/>
        </w:rPr>
      </w:pPr>
    </w:p>
    <w:tbl>
      <w:tblPr>
        <w:tblStyle w:val="TableNormal1"/>
        <w:tblW w:w="0" w:type="auto"/>
        <w:jc w:val="left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1736"/>
        <w:gridCol w:w="1425"/>
        <w:gridCol w:w="1647"/>
        <w:gridCol w:w="1108"/>
        <w:gridCol w:w="812"/>
      </w:tblGrid>
      <w:tr>
        <w:tblPrEx>
          <w:tblW w:w="0" w:type="auto"/>
          <w:jc w:val="left"/>
          <w:tblInd w:w="22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8"/>
          <w:jc w:val="left"/>
        </w:trPr>
        <w:tc>
          <w:tcPr>
            <w:tcW w:w="2120" w:type="dxa"/>
          </w:tcPr>
          <w:p>
            <w:pPr>
              <w:pStyle w:val="TableParagraph"/>
              <w:spacing w:before="0" w:line="286" w:lineRule="exact"/>
              <w:ind w:left="12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链球菌属</w:t>
            </w:r>
          </w:p>
        </w:tc>
        <w:tc>
          <w:tcPr>
            <w:tcW w:w="1736" w:type="dxa"/>
          </w:tcPr>
          <w:p>
            <w:pPr>
              <w:pStyle w:val="TableParagraph"/>
              <w:spacing w:before="0" w:line="286" w:lineRule="exact"/>
              <w:ind w:right="94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2.2%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425" w:type="dxa"/>
          </w:tcPr>
          <w:p>
            <w:pPr>
              <w:pStyle w:val="TableParagraph"/>
              <w:spacing w:before="0" w:line="286" w:lineRule="exact"/>
              <w:ind w:right="35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12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5.9%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647" w:type="dxa"/>
          </w:tcPr>
          <w:p>
            <w:pPr>
              <w:pStyle w:val="TableParagraph"/>
              <w:spacing w:before="0" w:line="268" w:lineRule="exact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 w:line="268" w:lineRule="exact"/>
              <w:ind w:right="255"/>
              <w:jc w:val="right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5.444</w:t>
            </w:r>
          </w:p>
        </w:tc>
        <w:tc>
          <w:tcPr>
            <w:tcW w:w="812" w:type="dxa"/>
          </w:tcPr>
          <w:p>
            <w:pPr>
              <w:pStyle w:val="TableParagraph"/>
              <w:spacing w:before="0" w:line="268" w:lineRule="exact"/>
              <w:ind w:left="144" w:right="36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0.066</w:t>
            </w: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群溶血性链球菌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甲型溶血性链球菌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7"/>
          <w:jc w:val="left"/>
        </w:trPr>
        <w:tc>
          <w:tcPr>
            <w:tcW w:w="2120" w:type="dxa"/>
          </w:tcPr>
          <w:p>
            <w:pPr>
              <w:pStyle w:val="TableParagraph"/>
              <w:spacing w:before="127" w:line="270" w:lineRule="exact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肺炎链球菌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 w:line="256" w:lineRule="exact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 w:line="256" w:lineRule="exact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 w:line="256" w:lineRule="exact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8"/>
              <w:jc w:val="left"/>
              <w:rPr>
                <w:sz w:val="21"/>
              </w:rPr>
            </w:pPr>
          </w:p>
          <w:p>
            <w:pPr>
              <w:pStyle w:val="TableParagraph"/>
              <w:spacing w:before="0" w:line="271" w:lineRule="exact"/>
              <w:ind w:left="12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肠杆菌科</w:t>
            </w:r>
          </w:p>
        </w:tc>
        <w:tc>
          <w:tcPr>
            <w:tcW w:w="4808" w:type="dxa"/>
            <w:gridSpan w:val="3"/>
          </w:tcPr>
          <w:p>
            <w:pPr>
              <w:pStyle w:val="TableParagraph"/>
              <w:spacing w:before="8"/>
              <w:jc w:val="left"/>
              <w:rPr>
                <w:sz w:val="21"/>
              </w:rPr>
            </w:pPr>
          </w:p>
          <w:p>
            <w:pPr>
              <w:pStyle w:val="TableParagraph"/>
              <w:spacing w:before="0" w:line="271" w:lineRule="exact"/>
              <w:ind w:left="79"/>
              <w:jc w:val="lef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105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75.5%</w:t>
            </w:r>
            <w:r>
              <w:rPr>
                <w:spacing w:val="-2"/>
                <w:sz w:val="24"/>
              </w:rPr>
              <w:t>）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rFonts w:ascii="Arial" w:eastAsia="Arial"/>
                <w:spacing w:val="-2"/>
                <w:sz w:val="24"/>
              </w:rPr>
              <w:t>65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32.2%</w:t>
            </w:r>
            <w:r>
              <w:rPr>
                <w:spacing w:val="-2"/>
                <w:sz w:val="24"/>
              </w:rPr>
              <w:t>）</w:t>
            </w:r>
            <w:r>
              <w:rPr>
                <w:rFonts w:ascii="Arial" w:eastAsia="Arial"/>
                <w:spacing w:val="-2"/>
                <w:sz w:val="24"/>
              </w:rPr>
              <w:t>129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43.7%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108" w:type="dxa"/>
          </w:tcPr>
          <w:p>
            <w:pPr>
              <w:pStyle w:val="TableParagraph"/>
              <w:spacing w:before="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 w:line="257" w:lineRule="exact"/>
              <w:ind w:right="255"/>
              <w:jc w:val="right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64.53</w:t>
            </w:r>
          </w:p>
        </w:tc>
        <w:tc>
          <w:tcPr>
            <w:tcW w:w="812" w:type="dxa"/>
          </w:tcPr>
          <w:p>
            <w:pPr>
              <w:pStyle w:val="TableParagraph"/>
              <w:spacing w:before="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 w:line="257" w:lineRule="exact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5"/>
          <w:jc w:val="left"/>
        </w:trPr>
        <w:tc>
          <w:tcPr>
            <w:tcW w:w="2120" w:type="dxa"/>
          </w:tcPr>
          <w:p>
            <w:pPr>
              <w:pStyle w:val="TableParagraph"/>
              <w:spacing w:before="7"/>
              <w:jc w:val="left"/>
              <w:rPr>
                <w:sz w:val="21"/>
              </w:rPr>
            </w:pPr>
          </w:p>
          <w:p>
            <w:pPr>
              <w:pStyle w:val="TableParagraph"/>
              <w:spacing w:before="0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甲型副伤寒</w:t>
            </w:r>
          </w:p>
        </w:tc>
        <w:tc>
          <w:tcPr>
            <w:tcW w:w="1736" w:type="dxa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25" w:right="684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80</w:t>
            </w:r>
          </w:p>
        </w:tc>
        <w:tc>
          <w:tcPr>
            <w:tcW w:w="1425" w:type="dxa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499" w:right="629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16</w:t>
            </w:r>
          </w:p>
        </w:tc>
        <w:tc>
          <w:tcPr>
            <w:tcW w:w="1647" w:type="dxa"/>
          </w:tcPr>
          <w:p>
            <w:pPr>
              <w:pStyle w:val="TableParagraph"/>
              <w:spacing w:before="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13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伤寒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left="499" w:right="629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10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大肠埃希氏菌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left="625" w:right="684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left="499" w:right="629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27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78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肺炎克雷伯菌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12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其它肠杆菌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18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非发酵菌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27"/>
              <w:ind w:right="94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2.9%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425" w:type="dxa"/>
          </w:tcPr>
          <w:p>
            <w:pPr>
              <w:pStyle w:val="TableParagraph"/>
              <w:spacing w:before="127"/>
              <w:ind w:right="33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4.0%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647" w:type="dxa"/>
          </w:tcPr>
          <w:p>
            <w:pPr>
              <w:pStyle w:val="TableParagraph"/>
              <w:spacing w:before="127"/>
              <w:ind w:left="22" w:right="172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11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3.7%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108" w:type="dxa"/>
          </w:tcPr>
          <w:p>
            <w:pPr>
              <w:pStyle w:val="TableParagraph"/>
              <w:spacing w:before="141"/>
              <w:ind w:right="255"/>
              <w:jc w:val="right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0.297</w:t>
            </w:r>
          </w:p>
        </w:tc>
        <w:tc>
          <w:tcPr>
            <w:tcW w:w="812" w:type="dxa"/>
          </w:tcPr>
          <w:p>
            <w:pPr>
              <w:pStyle w:val="TableParagraph"/>
              <w:spacing w:before="141"/>
              <w:ind w:left="144" w:right="36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0.862</w:t>
            </w: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铜绿假单胞菌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9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不动杆菌属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其它非发酵菌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革兰阳性杆菌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棒状杆菌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真菌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27"/>
              <w:ind w:right="94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2.9%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425" w:type="dxa"/>
          </w:tcPr>
          <w:p>
            <w:pPr>
              <w:pStyle w:val="TableParagraph"/>
              <w:spacing w:before="127"/>
              <w:ind w:right="35"/>
              <w:jc w:val="right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15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7.4%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647" w:type="dxa"/>
          </w:tcPr>
          <w:p>
            <w:pPr>
              <w:pStyle w:val="TableParagraph"/>
              <w:spacing w:before="127"/>
              <w:ind w:left="24" w:right="172"/>
              <w:rPr>
                <w:sz w:val="24"/>
              </w:rPr>
            </w:pPr>
            <w:r>
              <w:rPr>
                <w:rFonts w:ascii="Arial" w:eastAsia="Arial"/>
                <w:spacing w:val="-2"/>
                <w:sz w:val="24"/>
              </w:rPr>
              <w:t>47</w:t>
            </w:r>
            <w:r>
              <w:rPr>
                <w:spacing w:val="-2"/>
                <w:sz w:val="24"/>
              </w:rPr>
              <w:t>（</w:t>
            </w:r>
            <w:r>
              <w:rPr>
                <w:rFonts w:ascii="Arial" w:eastAsia="Arial"/>
                <w:spacing w:val="-2"/>
                <w:sz w:val="24"/>
              </w:rPr>
              <w:t>15.9%</w:t>
            </w:r>
            <w:r>
              <w:rPr>
                <w:spacing w:val="-2"/>
                <w:sz w:val="24"/>
              </w:rPr>
              <w:t>）</w:t>
            </w:r>
          </w:p>
        </w:tc>
        <w:tc>
          <w:tcPr>
            <w:tcW w:w="1108" w:type="dxa"/>
          </w:tcPr>
          <w:p>
            <w:pPr>
              <w:pStyle w:val="TableParagraph"/>
              <w:spacing w:before="141"/>
              <w:ind w:right="255"/>
              <w:jc w:val="right"/>
              <w:rPr>
                <w:rFonts w:ascii="Arial"/>
                <w:sz w:val="24"/>
              </w:rPr>
            </w:pPr>
            <w:r>
              <w:rPr>
                <w:rFonts w:ascii="Arial"/>
                <w:spacing w:val="-2"/>
                <w:sz w:val="24"/>
              </w:rPr>
              <w:t>20.086</w:t>
            </w:r>
          </w:p>
        </w:tc>
        <w:tc>
          <w:tcPr>
            <w:tcW w:w="812" w:type="dxa"/>
          </w:tcPr>
          <w:p>
            <w:pPr>
              <w:pStyle w:val="TableParagraph"/>
              <w:spacing w:before="141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白色假丝酵母菌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12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近平滑假丝酵母菌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热带假丝酵母菌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11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新型隐球菌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3"/>
          <w:jc w:val="left"/>
        </w:trPr>
        <w:tc>
          <w:tcPr>
            <w:tcW w:w="2120" w:type="dxa"/>
          </w:tcPr>
          <w:p>
            <w:pPr>
              <w:pStyle w:val="TableParagraph"/>
              <w:spacing w:before="127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光滑假丝酵母菌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41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41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1647" w:type="dxa"/>
          </w:tcPr>
          <w:p>
            <w:pPr>
              <w:pStyle w:val="TableParagraph"/>
              <w:spacing w:before="141"/>
              <w:ind w:right="14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5"/>
          <w:jc w:val="left"/>
        </w:trPr>
        <w:tc>
          <w:tcPr>
            <w:tcW w:w="2120" w:type="dxa"/>
          </w:tcPr>
          <w:p>
            <w:pPr>
              <w:pStyle w:val="TableParagraph"/>
              <w:spacing w:before="124"/>
              <w:ind w:left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其它假丝酵母菌</w:t>
            </w:r>
          </w:p>
        </w:tc>
        <w:tc>
          <w:tcPr>
            <w:tcW w:w="1736" w:type="dxa"/>
          </w:tcPr>
          <w:p>
            <w:pPr>
              <w:pStyle w:val="TableParagraph"/>
              <w:spacing w:before="138"/>
              <w:ind w:right="59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425" w:type="dxa"/>
          </w:tcPr>
          <w:p>
            <w:pPr>
              <w:pStyle w:val="TableParagraph"/>
              <w:spacing w:before="138"/>
              <w:ind w:right="13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</w:t>
            </w:r>
          </w:p>
        </w:tc>
        <w:tc>
          <w:tcPr>
            <w:tcW w:w="1647" w:type="dxa"/>
          </w:tcPr>
          <w:p>
            <w:pPr>
              <w:pStyle w:val="TableParagraph"/>
              <w:spacing w:before="138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16</w:t>
            </w:r>
          </w:p>
        </w:tc>
        <w:tc>
          <w:tcPr>
            <w:tcW w:w="11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22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8"/>
          <w:jc w:val="left"/>
        </w:trPr>
        <w:tc>
          <w:tcPr>
            <w:tcW w:w="21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0"/>
              <w:ind w:left="12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合计</w:t>
            </w:r>
          </w:p>
        </w:tc>
        <w:tc>
          <w:tcPr>
            <w:tcW w:w="17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4"/>
              <w:ind w:left="625" w:right="684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138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4"/>
              <w:ind w:left="446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202</w:t>
            </w:r>
          </w:p>
        </w:tc>
        <w:tc>
          <w:tcPr>
            <w:tcW w:w="16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4"/>
              <w:ind w:left="23" w:right="172"/>
              <w:rPr>
                <w:rFonts w:ascii="Arial"/>
                <w:sz w:val="24"/>
              </w:rPr>
            </w:pPr>
            <w:r>
              <w:rPr>
                <w:rFonts w:ascii="Arial"/>
                <w:spacing w:val="-5"/>
                <w:sz w:val="24"/>
              </w:rPr>
              <w:t>295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4"/>
        </w:rPr>
        <w:sectPr>
          <w:headerReference w:type="default" r:id="rId10"/>
          <w:pgSz w:w="11910" w:h="16840"/>
          <w:pgMar w:top="1380" w:right="1140" w:bottom="280" w:left="1580" w:header="893" w:footer="0"/>
          <w:pgNumType w:start="6"/>
          <w:cols w:space="708"/>
        </w:sectPr>
      </w:pPr>
    </w:p>
    <w:p>
      <w:pPr>
        <w:pStyle w:val="BodyText"/>
        <w:spacing w:before="8"/>
        <w:ind w:left="0"/>
        <w:rPr>
          <w:sz w:val="9"/>
        </w:rPr>
      </w:pPr>
    </w:p>
    <w:p>
      <w:pPr>
        <w:pStyle w:val="Heading2"/>
        <w:numPr>
          <w:ilvl w:val="1"/>
          <w:numId w:val="13"/>
        </w:numPr>
        <w:tabs>
          <w:tab w:val="left" w:pos="840"/>
        </w:tabs>
        <w:spacing w:before="58" w:after="0" w:line="240" w:lineRule="auto"/>
        <w:ind w:left="840" w:right="0" w:hanging="600"/>
        <w:jc w:val="left"/>
        <w:rPr>
          <w:rFonts w:ascii="黑体" w:eastAsia="黑体"/>
        </w:rPr>
      </w:pPr>
      <w:bookmarkStart w:id="9" w:name="_TOC_250007"/>
      <w:bookmarkEnd w:id="9"/>
      <w:r>
        <w:rPr>
          <w:rFonts w:ascii="黑体" w:eastAsia="黑体"/>
          <w:spacing w:val="-2"/>
        </w:rPr>
        <w:t>病原菌药敏分析</w:t>
      </w:r>
    </w:p>
    <w:p>
      <w:pPr>
        <w:pStyle w:val="Heading3"/>
        <w:numPr>
          <w:ilvl w:val="2"/>
          <w:numId w:val="13"/>
        </w:numPr>
        <w:tabs>
          <w:tab w:val="left" w:pos="990"/>
        </w:tabs>
        <w:spacing w:before="253" w:after="0" w:line="240" w:lineRule="auto"/>
        <w:ind w:left="990" w:right="0" w:hanging="770"/>
        <w:jc w:val="left"/>
      </w:pPr>
      <w:bookmarkStart w:id="10" w:name="_TOC_250006"/>
      <w:bookmarkEnd w:id="10"/>
      <w:r>
        <w:rPr>
          <w:spacing w:val="-1"/>
        </w:rPr>
        <w:t>葡萄球菌对抗菌药物的敏感率</w:t>
      </w:r>
    </w:p>
    <w:p>
      <w:pPr>
        <w:pStyle w:val="BodyText"/>
        <w:spacing w:before="212" w:line="364" w:lineRule="auto"/>
        <w:ind w:right="415" w:firstLine="490"/>
      </w:pPr>
      <w:r>
        <w:t>葡萄球菌是检出株数最多的革兰阳性菌,金黄色葡萄球菌对青霉素 G,四环</w:t>
      </w:r>
      <w:r>
        <w:rPr>
          <w:spacing w:val="80"/>
        </w:rPr>
        <w:t xml:space="preserve"> </w:t>
      </w:r>
      <w:r>
        <w:rPr>
          <w:spacing w:val="-24"/>
        </w:rPr>
        <w:t>素敏感率较低</w:t>
      </w:r>
      <w:r>
        <w:rPr>
          <w:spacing w:val="16"/>
        </w:rPr>
        <w:t>（&lt;40%</w:t>
      </w:r>
      <w:r>
        <w:rPr>
          <w:spacing w:val="-104"/>
        </w:rPr>
        <w:t>）</w:t>
      </w:r>
      <w:r>
        <w:rPr>
          <w:spacing w:val="-26"/>
        </w:rPr>
        <w:t>。呋喃妥因、万古霉素和利奈唑烷的敏感率较高，分别为</w:t>
      </w:r>
      <w:r>
        <w:rPr>
          <w:spacing w:val="-4"/>
        </w:rPr>
        <w:t xml:space="preserve">100%、 </w:t>
      </w:r>
      <w:r>
        <w:rPr>
          <w:spacing w:val="-2"/>
        </w:rPr>
        <w:t>100%</w:t>
      </w:r>
      <w:r>
        <w:rPr>
          <w:spacing w:val="-52"/>
        </w:rPr>
        <w:t>、</w:t>
      </w:r>
      <w:r>
        <w:rPr>
          <w:spacing w:val="-2"/>
        </w:rPr>
        <w:t>96.7%</w:t>
      </w:r>
      <w:r>
        <w:rPr>
          <w:spacing w:val="-7"/>
        </w:rPr>
        <w:t>；凝固酶阴性葡萄球菌对氨苄西林/舒巴坦、苯唑西林、复方新诺明、</w:t>
      </w:r>
      <w:r>
        <w:rPr>
          <w:spacing w:val="-5"/>
        </w:rPr>
        <w:t xml:space="preserve">红霉素、青霉素 </w:t>
      </w:r>
      <w:r>
        <w:t xml:space="preserve">G、头孢唑林的敏感率较低(&lt;40%),对呋喃妥因、万古霉素和利 </w:t>
      </w:r>
      <w:r>
        <w:rPr>
          <w:spacing w:val="-4"/>
        </w:rPr>
        <w:t xml:space="preserve">奈唑烷的敏感率高,分别为 </w:t>
      </w:r>
      <w:r>
        <w:t xml:space="preserve">91.9%、100%、83.1%。金黄色葡萄球菌对大多数药物 </w:t>
      </w:r>
      <w:r>
        <w:rPr>
          <w:spacing w:val="-2"/>
        </w:rPr>
        <w:t>的敏感率均较凝固酶阴性葡萄球菌高。MRSA(耐甲氧西林的金黄色葡萄球菌)与</w:t>
      </w:r>
      <w:r>
        <w:rPr>
          <w:spacing w:val="-2"/>
        </w:rPr>
        <w:t xml:space="preserve"> </w:t>
      </w:r>
      <w:r>
        <w:t>MRCNS(</w:t>
      </w:r>
      <w:r>
        <w:rPr>
          <w:spacing w:val="-2"/>
        </w:rPr>
        <w:t xml:space="preserve">耐甲氧西林的凝固酶阴性葡萄球菌)分别为 </w:t>
      </w:r>
      <w:r>
        <w:t>48.3%、83.3%</w:t>
      </w:r>
      <w:r>
        <w:rPr>
          <w:spacing w:val="-120"/>
        </w:rPr>
        <w:t>。</w:t>
      </w:r>
      <w:r>
        <w:t>（</w:t>
      </w:r>
      <w:r>
        <w:rPr>
          <w:spacing w:val="-7"/>
        </w:rPr>
        <w:t xml:space="preserve">见表 </w:t>
      </w:r>
      <w:r>
        <w:t>2）</w:t>
      </w:r>
    </w:p>
    <w:p>
      <w:pPr>
        <w:pStyle w:val="BodyText"/>
        <w:spacing w:before="4"/>
        <w:ind w:left="2360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1134744</wp:posOffset>
            </wp:positionH>
            <wp:positionV relativeFrom="paragraph">
              <wp:posOffset>138354</wp:posOffset>
            </wp:positionV>
            <wp:extent cx="5165090" cy="444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5090" cy="4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表 2</w:t>
      </w:r>
      <w:r>
        <w:rPr>
          <w:spacing w:val="-1"/>
        </w:rPr>
        <w:t xml:space="preserve"> 葡萄球菌对抗菌药物的敏感率</w:t>
      </w:r>
    </w:p>
    <w:p>
      <w:pPr>
        <w:pStyle w:val="BodyText"/>
        <w:spacing w:before="161" w:line="364" w:lineRule="auto"/>
        <w:ind w:left="4020" w:right="770" w:hanging="3796"/>
      </w:pPr>
      <w:r>
        <w:pict>
          <v:line id="_x0000_s1026" style="mso-position-horizontal-relative:page;position:absolute;z-index:-251654144" from="84.6pt,51pt" to="509.85pt,51pt" stroked="t" strokecolor="black" strokeweight="0.5pt">
            <v:stroke dashstyle="solid"/>
          </v:line>
        </w:pict>
      </w:r>
      <w:r>
        <w:t>Table2</w:t>
      </w:r>
      <w:r>
        <w:rPr>
          <w:spacing w:val="-58"/>
        </w:rPr>
        <w:t xml:space="preserve"> </w:t>
      </w:r>
      <w:r>
        <w:t>Sensitivity</w:t>
      </w:r>
      <w:r>
        <w:rPr>
          <w:spacing w:val="-58"/>
        </w:rPr>
        <w:t xml:space="preserve"> </w:t>
      </w:r>
      <w:r>
        <w:t>rate</w:t>
      </w:r>
      <w:r>
        <w:rPr>
          <w:spacing w:val="-58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Staphylococcus</w:t>
      </w:r>
      <w:r>
        <w:rPr>
          <w:spacing w:val="-58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commonly</w:t>
      </w:r>
      <w:r>
        <w:rPr>
          <w:spacing w:val="-58"/>
        </w:rPr>
        <w:t xml:space="preserve"> </w:t>
      </w:r>
      <w:r>
        <w:t>used</w:t>
      </w:r>
      <w:r>
        <w:rPr>
          <w:spacing w:val="-58"/>
        </w:rPr>
        <w:t xml:space="preserve"> </w:t>
      </w:r>
      <w:r>
        <w:t xml:space="preserve">antimicrobial </w:t>
      </w:r>
      <w:r>
        <w:rPr>
          <w:spacing w:val="-2"/>
        </w:rPr>
        <w:t>agents</w:t>
      </w:r>
    </w:p>
    <w:p>
      <w:pPr>
        <w:pStyle w:val="BodyText"/>
        <w:tabs>
          <w:tab w:val="left" w:pos="5923"/>
        </w:tabs>
        <w:spacing w:before="63" w:line="298" w:lineRule="exact"/>
        <w:ind w:left="2922"/>
      </w:pPr>
      <w:r>
        <w:t>金黄色葡萄球</w:t>
      </w:r>
      <w:r>
        <w:rPr>
          <w:spacing w:val="-10"/>
        </w:rPr>
        <w:t>菌</w:t>
      </w:r>
      <w:r>
        <w:tab/>
        <w:t>凝固酶阴性葡萄球</w:t>
      </w:r>
      <w:r>
        <w:rPr>
          <w:spacing w:val="-10"/>
        </w:rPr>
        <w:t>菌</w:t>
      </w:r>
    </w:p>
    <w:p>
      <w:pPr>
        <w:pStyle w:val="BodyText"/>
        <w:spacing w:line="298" w:lineRule="exact"/>
        <w:ind w:left="46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425.25pt;height:361.1pt;margin-top:7.24pt;margin-left:84.6pt;mso-position-horizontal-relative:page;position:absolute;z-index:251660288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23"/>
                    <w:gridCol w:w="1293"/>
                    <w:gridCol w:w="2084"/>
                    <w:gridCol w:w="1237"/>
                    <w:gridCol w:w="186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7"/>
                      <w:jc w:val="left"/>
                    </w:trPr>
                    <w:tc>
                      <w:tcPr>
                        <w:tcW w:w="2023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1293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株数</w:t>
                        </w:r>
                      </w:p>
                    </w:tc>
                    <w:tc>
                      <w:tcPr>
                        <w:tcW w:w="208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敏感率</w:t>
                        </w:r>
                        <w:r>
                          <w:rPr>
                            <w:spacing w:val="-5"/>
                            <w:sz w:val="24"/>
                          </w:rPr>
                          <w:t>（%）</w:t>
                        </w:r>
                      </w:p>
                    </w:tc>
                    <w:tc>
                      <w:tcPr>
                        <w:tcW w:w="123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40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株数</w:t>
                        </w:r>
                      </w:p>
                    </w:tc>
                    <w:tc>
                      <w:tcPr>
                        <w:tcW w:w="186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敏感率</w:t>
                        </w:r>
                        <w:r>
                          <w:rPr>
                            <w:spacing w:val="-5"/>
                            <w:sz w:val="24"/>
                          </w:rPr>
                          <w:t>（%）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8"/>
                      <w:jc w:val="left"/>
                    </w:trPr>
                    <w:tc>
                      <w:tcPr>
                        <w:tcW w:w="202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氨苄西林/舒巴坦</w:t>
                        </w:r>
                      </w:p>
                    </w:tc>
                    <w:tc>
                      <w:tcPr>
                        <w:tcW w:w="1293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31</w:t>
                        </w:r>
                      </w:p>
                    </w:tc>
                    <w:tc>
                      <w:tcPr>
                        <w:tcW w:w="208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51.7</w:t>
                        </w:r>
                      </w:p>
                    </w:tc>
                    <w:tc>
                      <w:tcPr>
                        <w:tcW w:w="123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160</w:t>
                        </w:r>
                      </w:p>
                    </w:tc>
                    <w:tc>
                      <w:tcPr>
                        <w:tcW w:w="186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1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13.1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7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苯唑西林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29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51.7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156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16.7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6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呋喃妥因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30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100.0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160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91.9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7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复方新诺明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30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70.0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157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24.2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6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红霉素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30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53.3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163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12.9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6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克林霉素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29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58.6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157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42.0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6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利奈唑烷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30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96.7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154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83.1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6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莫西沙星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29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69.0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155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54.2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7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5"/>
                            <w:sz w:val="24"/>
                          </w:rPr>
                          <w:t xml:space="preserve">青霉素 </w:t>
                        </w:r>
                        <w:r>
                          <w:rPr>
                            <w:spacing w:val="-10"/>
                            <w:sz w:val="24"/>
                          </w:rPr>
                          <w:t>G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29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20.7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159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3.8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7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庆大霉素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32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75.0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170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62.4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66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四环素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31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38.7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160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40.0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03"/>
                      <w:jc w:val="left"/>
                    </w:trPr>
                    <w:tc>
                      <w:tcPr>
                        <w:tcW w:w="2023" w:type="dxa"/>
                      </w:tcPr>
                      <w:p>
                        <w:pPr>
                          <w:pStyle w:val="TableParagraph"/>
                          <w:spacing w:before="129" w:line="254" w:lineRule="exact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头孢唑啉</w:t>
                        </w:r>
                      </w:p>
                    </w:tc>
                    <w:tc>
                      <w:tcPr>
                        <w:tcW w:w="1293" w:type="dxa"/>
                      </w:tcPr>
                      <w:p>
                        <w:pPr>
                          <w:pStyle w:val="TableParagraph"/>
                          <w:spacing w:before="129" w:line="254" w:lineRule="exact"/>
                          <w:ind w:left="434" w:right="348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26</w:t>
                        </w:r>
                      </w:p>
                    </w:tc>
                    <w:tc>
                      <w:tcPr>
                        <w:tcW w:w="2084" w:type="dxa"/>
                      </w:tcPr>
                      <w:p>
                        <w:pPr>
                          <w:pStyle w:val="TableParagraph"/>
                          <w:spacing w:before="129" w:line="254" w:lineRule="exact"/>
                          <w:ind w:left="352" w:right="38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51.7</w:t>
                        </w:r>
                      </w:p>
                    </w:tc>
                    <w:tc>
                      <w:tcPr>
                        <w:tcW w:w="1237" w:type="dxa"/>
                      </w:tcPr>
                      <w:p>
                        <w:pPr>
                          <w:pStyle w:val="TableParagraph"/>
                          <w:spacing w:before="129" w:line="254" w:lineRule="exact"/>
                          <w:ind w:left="4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115</w:t>
                        </w:r>
                      </w:p>
                    </w:tc>
                    <w:tc>
                      <w:tcPr>
                        <w:tcW w:w="1867" w:type="dxa"/>
                      </w:tcPr>
                      <w:p>
                        <w:pPr>
                          <w:pStyle w:val="TableParagraph"/>
                          <w:spacing w:before="129" w:line="254" w:lineRule="exact"/>
                          <w:ind w:left="345" w:right="17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17.4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spacing w:val="-2"/>
        </w:rPr>
        <w:t>抗生素/细菌</w:t>
      </w:r>
    </w:p>
    <w:p>
      <w:pPr>
        <w:spacing w:after="0" w:line="298" w:lineRule="exact"/>
        <w:sectPr>
          <w:headerReference w:type="default" r:id="rId12"/>
          <w:pgSz w:w="11910" w:h="16840"/>
          <w:pgMar w:top="1380" w:right="1140" w:bottom="280" w:left="1580" w:header="893" w:footer="0"/>
          <w:pgNumType w:start="7"/>
          <w:cols w:space="708"/>
        </w:sectPr>
      </w:pPr>
    </w:p>
    <w:p>
      <w:pPr>
        <w:pStyle w:val="BodyText"/>
        <w:spacing w:before="7"/>
        <w:ind w:left="0"/>
        <w:rPr>
          <w:sz w:val="17"/>
        </w:rPr>
      </w:pPr>
    </w:p>
    <w:tbl>
      <w:tblPr>
        <w:tblStyle w:val="TableNormal3"/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70"/>
        <w:gridCol w:w="1366"/>
        <w:gridCol w:w="1814"/>
        <w:gridCol w:w="1537"/>
        <w:gridCol w:w="1717"/>
      </w:tblGrid>
      <w:tr>
        <w:tblPrEx>
          <w:tblW w:w="0" w:type="auto"/>
          <w:jc w:val="left"/>
          <w:tblInd w:w="11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3"/>
          <w:jc w:val="left"/>
        </w:trPr>
        <w:tc>
          <w:tcPr>
            <w:tcW w:w="2070" w:type="dxa"/>
          </w:tcPr>
          <w:p>
            <w:pPr>
              <w:pStyle w:val="TableParagraph"/>
              <w:spacing w:before="0" w:line="274" w:lineRule="exact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万古霉素</w:t>
            </w:r>
          </w:p>
        </w:tc>
        <w:tc>
          <w:tcPr>
            <w:tcW w:w="1366" w:type="dxa"/>
          </w:tcPr>
          <w:p>
            <w:pPr>
              <w:pStyle w:val="TableParagraph"/>
              <w:spacing w:before="0" w:line="274" w:lineRule="exact"/>
              <w:ind w:left="508" w:right="58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14" w:type="dxa"/>
          </w:tcPr>
          <w:p>
            <w:pPr>
              <w:pStyle w:val="TableParagraph"/>
              <w:spacing w:before="0" w:line="274" w:lineRule="exact"/>
              <w:ind w:left="589" w:right="594"/>
              <w:rPr>
                <w:sz w:val="24"/>
              </w:rPr>
            </w:pPr>
            <w:r>
              <w:rPr>
                <w:spacing w:val="-2"/>
                <w:sz w:val="24"/>
              </w:rPr>
              <w:t>100.0</w:t>
            </w:r>
          </w:p>
        </w:tc>
        <w:tc>
          <w:tcPr>
            <w:tcW w:w="1537" w:type="dxa"/>
          </w:tcPr>
          <w:p>
            <w:pPr>
              <w:pStyle w:val="TableParagraph"/>
              <w:spacing w:before="0" w:line="274" w:lineRule="exact"/>
              <w:ind w:left="598" w:right="554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1717" w:type="dxa"/>
          </w:tcPr>
          <w:p>
            <w:pPr>
              <w:pStyle w:val="TableParagraph"/>
              <w:spacing w:before="0" w:line="274" w:lineRule="exact"/>
              <w:ind w:left="56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100.0</w:t>
            </w:r>
          </w:p>
        </w:tc>
      </w:tr>
      <w:tr>
        <w:tblPrEx>
          <w:tblW w:w="0" w:type="auto"/>
          <w:jc w:val="left"/>
          <w:tblInd w:w="1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5"/>
          <w:jc w:val="left"/>
        </w:trPr>
        <w:tc>
          <w:tcPr>
            <w:tcW w:w="20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9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左旋氧氟沙星</w:t>
            </w:r>
          </w:p>
        </w:tc>
        <w:tc>
          <w:tcPr>
            <w:tcW w:w="13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9"/>
              <w:ind w:left="508" w:right="58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1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9"/>
              <w:ind w:left="589" w:right="594"/>
              <w:rPr>
                <w:sz w:val="24"/>
              </w:rPr>
            </w:pPr>
            <w:r>
              <w:rPr>
                <w:spacing w:val="-4"/>
                <w:sz w:val="24"/>
              </w:rPr>
              <w:t>71.9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9"/>
              <w:ind w:left="598" w:right="554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171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29"/>
              <w:ind w:left="62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53.3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2"/>
        </w:rPr>
      </w:pPr>
    </w:p>
    <w:p>
      <w:pPr>
        <w:pStyle w:val="Heading3"/>
        <w:numPr>
          <w:ilvl w:val="2"/>
          <w:numId w:val="13"/>
        </w:numPr>
        <w:tabs>
          <w:tab w:val="left" w:pos="990"/>
        </w:tabs>
        <w:spacing w:before="61" w:after="0" w:line="240" w:lineRule="auto"/>
        <w:ind w:left="990" w:right="0" w:hanging="770"/>
        <w:jc w:val="left"/>
      </w:pPr>
      <w:bookmarkStart w:id="11" w:name="_TOC_250005"/>
      <w:bookmarkEnd w:id="11"/>
      <w:r>
        <w:rPr>
          <w:spacing w:val="-1"/>
        </w:rPr>
        <w:t>主要革兰阴性菌对抗菌药物的敏感率</w:t>
      </w:r>
    </w:p>
    <w:p>
      <w:pPr>
        <w:pStyle w:val="BodyText"/>
        <w:spacing w:before="213" w:line="364" w:lineRule="auto"/>
        <w:ind w:right="657" w:firstLine="368"/>
        <w:jc w:val="both"/>
      </w:pPr>
      <w:r>
        <w:rPr>
          <w:spacing w:val="-6"/>
        </w:rPr>
        <w:t xml:space="preserve">大肠埃希菌和肺炎克雷伯菌是主要产 </w:t>
      </w:r>
      <w:r>
        <w:rPr>
          <w:spacing w:val="-4"/>
        </w:rPr>
        <w:t>ESBLs</w:t>
      </w:r>
      <w:r>
        <w:rPr>
          <w:spacing w:val="-12"/>
        </w:rPr>
        <w:t xml:space="preserve"> 的菌株，其产 </w:t>
      </w:r>
      <w:r>
        <w:rPr>
          <w:spacing w:val="-4"/>
        </w:rPr>
        <w:t>ESBLs</w:t>
      </w:r>
      <w:r>
        <w:rPr>
          <w:spacing w:val="-9"/>
        </w:rPr>
        <w:t xml:space="preserve"> 阳性率分别</w:t>
      </w:r>
      <w:r>
        <w:rPr>
          <w:spacing w:val="-15"/>
        </w:rPr>
        <w:t xml:space="preserve">为 </w:t>
      </w:r>
      <w:r>
        <w:rPr>
          <w:spacing w:val="-2"/>
        </w:rPr>
        <w:t>39.9%、17.8%。大肠埃希菌是检出株数最多的革兰阴性菌，其对氨苄西林/舒</w:t>
      </w:r>
      <w:r>
        <w:rPr>
          <w:spacing w:val="-2"/>
        </w:rPr>
        <w:t>巴坦、复方新诺明、头孢唑林、左旋氧氟沙星、头孢呋辛的敏感率较低(&lt;40%),</w:t>
      </w:r>
      <w:r>
        <w:rPr>
          <w:spacing w:val="11"/>
        </w:rPr>
        <w:t xml:space="preserve">对亚胺培南、美洛培南、头孢西丁的敏感率较高， 分别为 </w:t>
      </w:r>
      <w:r>
        <w:t>99.2%</w:t>
      </w:r>
      <w:r>
        <w:rPr>
          <w:spacing w:val="17"/>
        </w:rPr>
        <w:t>、</w:t>
      </w:r>
      <w:r>
        <w:t xml:space="preserve">98.4%、 </w:t>
      </w:r>
      <w:r>
        <w:rPr>
          <w:spacing w:val="-4"/>
        </w:rPr>
        <w:t>95.1%。肺炎克雷伯菌对氨苄西林/舒巴坦、复方新诺明的敏感率较低，对阿米卡</w:t>
      </w:r>
      <w:r>
        <w:rPr>
          <w:spacing w:val="7"/>
        </w:rPr>
        <w:t xml:space="preserve">星、亚胺培南、美洛培南、头孢西丁的敏感率较高，分别为 </w:t>
      </w:r>
      <w:r>
        <w:t>85.7%</w:t>
      </w:r>
      <w:r>
        <w:rPr>
          <w:spacing w:val="10"/>
        </w:rPr>
        <w:t>、</w:t>
      </w:r>
      <w:r>
        <w:t xml:space="preserve">90.9%、 </w:t>
      </w:r>
      <w:r>
        <w:rPr>
          <w:spacing w:val="-2"/>
        </w:rPr>
        <w:t>85.7%、85.7%。铜绿假单胞菌对氨苄西林/舒巴坦、呋喃妥因、复方新诺明、头</w:t>
      </w:r>
      <w:r>
        <w:rPr>
          <w:spacing w:val="-2"/>
        </w:rPr>
        <w:t>孢曲松、头孢唑啉、头孢呋辛钠、头孢呋辛酯敏感率较低(&lt;40%),对阿米卡星、</w:t>
      </w:r>
      <w:r>
        <w:rPr>
          <w:spacing w:val="-2"/>
        </w:rPr>
        <w:t xml:space="preserve">环丙沙星、妥布霉素的敏感率较高,分别为 </w:t>
      </w:r>
      <w:r>
        <w:t>100%、88.9%、88.9%</w:t>
      </w:r>
      <w:r>
        <w:rPr>
          <w:spacing w:val="-120"/>
        </w:rPr>
        <w:t>。</w:t>
      </w:r>
      <w:r>
        <w:t>（</w:t>
      </w:r>
      <w:r>
        <w:rPr>
          <w:spacing w:val="-7"/>
        </w:rPr>
        <w:t xml:space="preserve">见表 </w:t>
      </w:r>
      <w:r>
        <w:t>3）</w:t>
      </w:r>
    </w:p>
    <w:p>
      <w:pPr>
        <w:pStyle w:val="BodyText"/>
        <w:spacing w:before="5"/>
        <w:ind w:left="1840"/>
        <w:jc w:val="both"/>
      </w:pPr>
      <w:r>
        <w:rPr>
          <w:spacing w:val="-30"/>
        </w:rPr>
        <w:t xml:space="preserve">表 </w:t>
      </w:r>
      <w:r>
        <w:t>3</w:t>
      </w:r>
      <w:r>
        <w:rPr>
          <w:spacing w:val="-1"/>
        </w:rPr>
        <w:t xml:space="preserve"> 主要革兰阴性菌对抗菌药物的敏感率</w:t>
      </w:r>
    </w:p>
    <w:p>
      <w:pPr>
        <w:pStyle w:val="BodyText"/>
        <w:spacing w:before="121"/>
        <w:ind w:left="457"/>
        <w:jc w:val="both"/>
      </w:pPr>
      <w:r>
        <w:t>Table</w:t>
      </w:r>
      <w:r>
        <w:rPr>
          <w:spacing w:val="-11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Sensitivity</w:t>
      </w:r>
      <w:r>
        <w:rPr>
          <w:spacing w:val="-11"/>
        </w:rPr>
        <w:t xml:space="preserve"> </w:t>
      </w:r>
      <w:r>
        <w:t>rate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three</w:t>
      </w:r>
      <w:r>
        <w:rPr>
          <w:spacing w:val="-11"/>
        </w:rPr>
        <w:t xml:space="preserve"> </w:t>
      </w:r>
      <w:r>
        <w:t>common</w:t>
      </w:r>
      <w:r>
        <w:rPr>
          <w:spacing w:val="-11"/>
        </w:rPr>
        <w:t xml:space="preserve"> </w:t>
      </w:r>
      <w:r>
        <w:t>gram-negative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2"/>
        </w:rPr>
        <w:t>commonly</w:t>
      </w:r>
    </w:p>
    <w:p>
      <w:pPr>
        <w:pStyle w:val="BodyText"/>
        <w:spacing w:before="81"/>
        <w:ind w:left="3180"/>
        <w:jc w:val="both"/>
      </w:pPr>
      <w:r>
        <w:pict>
          <v:shape id="_x0000_s1028" style="width:439.75pt;height:0.1pt;margin-top:21.61pt;margin-left:84.65pt;mso-position-horizontal-relative:page;mso-wrap-distance-left:0;mso-wrap-distance-right:0;position:absolute;z-index:-251652096" coordorigin="1693,432" coordsize="8795,0" path="m1693,432l10488,432e" filled="f" stroked="t" strokecolor="black" strokeweight="0.5pt">
            <v:stroke dashstyle="solid"/>
            <v:path arrowok="t"/>
            <w10:wrap type="topAndBottom"/>
          </v:shape>
        </w:pict>
      </w:r>
      <w:r>
        <w:t xml:space="preserve">used antimicrobial </w:t>
      </w:r>
      <w:r>
        <w:rPr>
          <w:spacing w:val="-2"/>
        </w:rPr>
        <w:t>agents</w:t>
      </w:r>
    </w:p>
    <w:p>
      <w:pPr>
        <w:pStyle w:val="BodyText"/>
        <w:spacing w:before="82" w:line="273" w:lineRule="exact"/>
        <w:ind w:left="2885"/>
        <w:jc w:val="both"/>
      </w:pPr>
      <w:r>
        <w:t>大肠埃希菌</w:t>
      </w:r>
      <w:r>
        <w:rPr>
          <w:spacing w:val="592"/>
          <w:w w:val="150"/>
        </w:rPr>
        <w:t xml:space="preserve"> </w:t>
      </w:r>
      <w:r>
        <w:t>肺炎克雷伯菌</w:t>
      </w:r>
      <w:r>
        <w:rPr>
          <w:spacing w:val="555"/>
          <w:w w:val="150"/>
        </w:rPr>
        <w:t xml:space="preserve"> </w:t>
      </w:r>
      <w:r>
        <w:rPr>
          <w:spacing w:val="-2"/>
        </w:rPr>
        <w:t>铜绿假单胞菌</w:t>
      </w:r>
    </w:p>
    <w:p>
      <w:pPr>
        <w:pStyle w:val="BodyText"/>
        <w:spacing w:line="274" w:lineRule="exact"/>
        <w:ind w:left="603"/>
      </w:pPr>
      <w:r>
        <w:pict>
          <v:shape id="_x0000_s1029" type="#_x0000_t202" style="width:439.75pt;height:282pt;margin-top:5.91pt;margin-left:84.65pt;mso-position-horizontal-relative:page;position:absolute;z-index:251663360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300"/>
                    <w:gridCol w:w="748"/>
                    <w:gridCol w:w="1467"/>
                    <w:gridCol w:w="655"/>
                    <w:gridCol w:w="1395"/>
                    <w:gridCol w:w="677"/>
                    <w:gridCol w:w="155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7"/>
                      <w:jc w:val="left"/>
                    </w:trPr>
                    <w:tc>
                      <w:tcPr>
                        <w:tcW w:w="230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4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株数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23" w:right="56"/>
                          <w:rPr>
                            <w:sz w:val="24"/>
                          </w:rPr>
                        </w:pPr>
                        <w:r>
                          <w:rPr>
                            <w:spacing w:val="-12"/>
                            <w:sz w:val="24"/>
                          </w:rPr>
                          <w:t>敏感率（%）</w:t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株数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05" w:right="55"/>
                          <w:rPr>
                            <w:sz w:val="24"/>
                          </w:rPr>
                        </w:pPr>
                        <w:r>
                          <w:rPr>
                            <w:spacing w:val="-37"/>
                            <w:sz w:val="24"/>
                          </w:rPr>
                          <w:t>敏感率</w:t>
                        </w:r>
                        <w:r>
                          <w:rPr>
                            <w:spacing w:val="-5"/>
                            <w:sz w:val="24"/>
                          </w:rPr>
                          <w:t>（%）</w:t>
                        </w:r>
                      </w:p>
                    </w:tc>
                    <w:tc>
                      <w:tcPr>
                        <w:tcW w:w="677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株数</w:t>
                        </w:r>
                      </w:p>
                    </w:tc>
                    <w:tc>
                      <w:tcPr>
                        <w:tcW w:w="1550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18" w:right="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敏感率</w:t>
                        </w:r>
                        <w:r>
                          <w:rPr>
                            <w:spacing w:val="-5"/>
                            <w:sz w:val="24"/>
                          </w:rPr>
                          <w:t>（%）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9"/>
                      <w:jc w:val="left"/>
                    </w:trPr>
                    <w:tc>
                      <w:tcPr>
                        <w:tcW w:w="230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阿米卡星</w:t>
                        </w:r>
                      </w:p>
                    </w:tc>
                    <w:tc>
                      <w:tcPr>
                        <w:tcW w:w="748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20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117</w:t>
                        </w:r>
                      </w:p>
                    </w:tc>
                    <w:tc>
                      <w:tcPr>
                        <w:tcW w:w="146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88.9</w:t>
                        </w:r>
                      </w:p>
                    </w:tc>
                    <w:tc>
                      <w:tcPr>
                        <w:tcW w:w="65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21</w:t>
                        </w:r>
                      </w:p>
                    </w:tc>
                    <w:tc>
                      <w:tcPr>
                        <w:tcW w:w="139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85.7</w:t>
                        </w:r>
                      </w:p>
                    </w:tc>
                    <w:tc>
                      <w:tcPr>
                        <w:tcW w:w="677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1550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2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100.0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7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氨苄西林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115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13.0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20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0.0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氨苄西林/舒巴坦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6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54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16.7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19.0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righ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0.0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7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呋喃妥因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6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54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90.7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46.2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righ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11.1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复方新诺明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6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57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22.8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23.1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righ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11.1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环丙沙星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6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56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46.4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69.2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righ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88.9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哌拉西林/他唑巴坦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116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83.6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21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71.4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50.0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庆大霉素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115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40.0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22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59.1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72.2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7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头孢吡肟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118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49.2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22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50.0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50.0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7"/>
                      <w:jc w:val="left"/>
                    </w:trPr>
                    <w:tc>
                      <w:tcPr>
                        <w:tcW w:w="2300" w:type="dxa"/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头孢曲松</w:t>
                        </w:r>
                      </w:p>
                    </w:tc>
                    <w:tc>
                      <w:tcPr>
                        <w:tcW w:w="748" w:type="dxa"/>
                      </w:tcPr>
                      <w:p>
                        <w:pPr>
                          <w:pStyle w:val="TableParagraph"/>
                          <w:ind w:left="26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54</w:t>
                        </w:r>
                      </w:p>
                    </w:tc>
                    <w:tc>
                      <w:tcPr>
                        <w:tcW w:w="1467" w:type="dxa"/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51.9</w:t>
                        </w:r>
                      </w:p>
                    </w:tc>
                    <w:tc>
                      <w:tcPr>
                        <w:tcW w:w="655" w:type="dxa"/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13</w:t>
                        </w:r>
                      </w:p>
                    </w:tc>
                    <w:tc>
                      <w:tcPr>
                        <w:tcW w:w="1395" w:type="dxa"/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53.8</w:t>
                        </w:r>
                      </w:p>
                    </w:tc>
                    <w:tc>
                      <w:tcPr>
                        <w:tcW w:w="677" w:type="dxa"/>
                      </w:tcPr>
                      <w:p>
                        <w:pPr>
                          <w:pStyle w:val="TableParagraph"/>
                          <w:ind w:right="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1550" w:type="dxa"/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11.1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6"/>
                      <w:jc w:val="left"/>
                    </w:trPr>
                    <w:tc>
                      <w:tcPr>
                        <w:tcW w:w="230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108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头孢他啶</w:t>
                        </w:r>
                      </w:p>
                    </w:tc>
                    <w:tc>
                      <w:tcPr>
                        <w:tcW w:w="748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202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118</w:t>
                        </w:r>
                      </w:p>
                    </w:tc>
                    <w:tc>
                      <w:tcPr>
                        <w:tcW w:w="146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4" w:right="5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55.1</w:t>
                        </w:r>
                      </w:p>
                    </w:tc>
                    <w:tc>
                      <w:tcPr>
                        <w:tcW w:w="65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43" w:right="10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22</w:t>
                        </w:r>
                      </w:p>
                    </w:tc>
                    <w:tc>
                      <w:tcPr>
                        <w:tcW w:w="139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105" w:right="17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50.0</w:t>
                        </w:r>
                      </w:p>
                    </w:tc>
                    <w:tc>
                      <w:tcPr>
                        <w:tcW w:w="677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55" w:right="11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18</w:t>
                        </w:r>
                      </w:p>
                    </w:tc>
                    <w:tc>
                      <w:tcPr>
                        <w:tcW w:w="155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ind w:left="112" w:right="86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46.7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</v:shape>
        </w:pict>
      </w:r>
      <w:r>
        <w:rPr>
          <w:spacing w:val="-2"/>
        </w:rPr>
        <w:t>抗生素/细菌</w:t>
      </w:r>
    </w:p>
    <w:p>
      <w:pPr>
        <w:spacing w:after="0" w:line="274" w:lineRule="exact"/>
        <w:sectPr>
          <w:headerReference w:type="default" r:id="rId13"/>
          <w:pgSz w:w="11910" w:h="16840"/>
          <w:pgMar w:top="1380" w:right="1140" w:bottom="280" w:left="1580" w:header="893" w:footer="0"/>
          <w:pgNumType w:start="8"/>
          <w:cols w:space="708"/>
        </w:sectPr>
      </w:pPr>
    </w:p>
    <w:p>
      <w:pPr>
        <w:pStyle w:val="BodyText"/>
        <w:ind w:left="0"/>
        <w:rPr>
          <w:sz w:val="5"/>
        </w:rPr>
      </w:pPr>
    </w:p>
    <w:tbl>
      <w:tblPr>
        <w:tblStyle w:val="TableNormal4"/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5"/>
        <w:gridCol w:w="1163"/>
        <w:gridCol w:w="1155"/>
        <w:gridCol w:w="919"/>
        <w:gridCol w:w="1152"/>
        <w:gridCol w:w="979"/>
        <w:gridCol w:w="1403"/>
      </w:tblGrid>
      <w:tr>
        <w:tblPrEx>
          <w:tblW w:w="0" w:type="auto"/>
          <w:jc w:val="left"/>
          <w:tblInd w:w="1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9"/>
          <w:jc w:val="left"/>
        </w:trPr>
        <w:tc>
          <w:tcPr>
            <w:tcW w:w="202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头孢唑林</w:t>
            </w:r>
          </w:p>
        </w:tc>
        <w:tc>
          <w:tcPr>
            <w:tcW w:w="116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right="3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11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38.3</w:t>
            </w:r>
          </w:p>
        </w:tc>
        <w:tc>
          <w:tcPr>
            <w:tcW w:w="91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334" w:right="31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5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45.0</w:t>
            </w:r>
          </w:p>
        </w:tc>
        <w:tc>
          <w:tcPr>
            <w:tcW w:w="9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326" w:right="38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4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45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妥布霉素</w:t>
            </w:r>
          </w:p>
        </w:tc>
        <w:tc>
          <w:tcPr>
            <w:tcW w:w="1163" w:type="dxa"/>
          </w:tcPr>
          <w:p>
            <w:pPr>
              <w:pStyle w:val="TableParagraph"/>
              <w:ind w:right="3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42.1</w:t>
            </w:r>
          </w:p>
        </w:tc>
        <w:tc>
          <w:tcPr>
            <w:tcW w:w="919" w:type="dxa"/>
          </w:tcPr>
          <w:p>
            <w:pPr>
              <w:pStyle w:val="TableParagraph"/>
              <w:ind w:left="334" w:right="31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60.0</w:t>
            </w:r>
          </w:p>
        </w:tc>
        <w:tc>
          <w:tcPr>
            <w:tcW w:w="979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03" w:type="dxa"/>
          </w:tcPr>
          <w:p>
            <w:pPr>
              <w:pStyle w:val="TableParagraph"/>
              <w:ind w:left="39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88.9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亚胺培南</w:t>
            </w:r>
          </w:p>
        </w:tc>
        <w:tc>
          <w:tcPr>
            <w:tcW w:w="1163" w:type="dxa"/>
          </w:tcPr>
          <w:p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99.2</w:t>
            </w:r>
          </w:p>
        </w:tc>
        <w:tc>
          <w:tcPr>
            <w:tcW w:w="919" w:type="dxa"/>
          </w:tcPr>
          <w:p>
            <w:pPr>
              <w:pStyle w:val="TableParagraph"/>
              <w:ind w:left="334" w:right="31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90.9</w:t>
            </w:r>
          </w:p>
        </w:tc>
        <w:tc>
          <w:tcPr>
            <w:tcW w:w="979" w:type="dxa"/>
          </w:tcPr>
          <w:p>
            <w:pPr>
              <w:pStyle w:val="TableParagraph"/>
              <w:ind w:left="326" w:right="38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403" w:type="dxa"/>
          </w:tcPr>
          <w:p>
            <w:pPr>
              <w:pStyle w:val="TableParagraph"/>
              <w:ind w:left="39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61.1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左旋氧氟沙星</w:t>
            </w:r>
          </w:p>
        </w:tc>
        <w:tc>
          <w:tcPr>
            <w:tcW w:w="1163" w:type="dxa"/>
          </w:tcPr>
          <w:p>
            <w:pPr>
              <w:pStyle w:val="TableParagraph"/>
              <w:ind w:right="3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37.1</w:t>
            </w:r>
          </w:p>
        </w:tc>
        <w:tc>
          <w:tcPr>
            <w:tcW w:w="919" w:type="dxa"/>
          </w:tcPr>
          <w:p>
            <w:pPr>
              <w:pStyle w:val="TableParagraph"/>
              <w:ind w:left="334" w:right="31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72.7</w:t>
            </w:r>
          </w:p>
        </w:tc>
        <w:tc>
          <w:tcPr>
            <w:tcW w:w="979" w:type="dxa"/>
          </w:tcPr>
          <w:p>
            <w:pPr>
              <w:pStyle w:val="TableParagraph"/>
              <w:ind w:left="326" w:right="38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403" w:type="dxa"/>
          </w:tcPr>
          <w:p>
            <w:pPr>
              <w:pStyle w:val="TableParagraph"/>
              <w:ind w:left="39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66.7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美洛培南</w:t>
            </w:r>
          </w:p>
        </w:tc>
        <w:tc>
          <w:tcPr>
            <w:tcW w:w="1163" w:type="dxa"/>
          </w:tcPr>
          <w:p>
            <w:pPr>
              <w:pStyle w:val="TableParagraph"/>
              <w:ind w:right="3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98.4</w:t>
            </w:r>
          </w:p>
        </w:tc>
        <w:tc>
          <w:tcPr>
            <w:tcW w:w="919" w:type="dxa"/>
          </w:tcPr>
          <w:p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85.7</w:t>
            </w:r>
          </w:p>
        </w:tc>
        <w:tc>
          <w:tcPr>
            <w:tcW w:w="979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03" w:type="dxa"/>
          </w:tcPr>
          <w:p>
            <w:pPr>
              <w:pStyle w:val="TableParagraph"/>
              <w:ind w:left="39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77.8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头孢呋辛钠</w:t>
            </w:r>
          </w:p>
        </w:tc>
        <w:tc>
          <w:tcPr>
            <w:tcW w:w="1163" w:type="dxa"/>
          </w:tcPr>
          <w:p>
            <w:pPr>
              <w:pStyle w:val="TableParagraph"/>
              <w:ind w:right="3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32.8</w:t>
            </w:r>
          </w:p>
        </w:tc>
        <w:tc>
          <w:tcPr>
            <w:tcW w:w="919" w:type="dxa"/>
          </w:tcPr>
          <w:p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42.9</w:t>
            </w:r>
          </w:p>
        </w:tc>
        <w:tc>
          <w:tcPr>
            <w:tcW w:w="979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03" w:type="dxa"/>
          </w:tcPr>
          <w:p>
            <w:pPr>
              <w:pStyle w:val="TableParagraph"/>
              <w:ind w:left="45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头孢呋辛酯</w:t>
            </w:r>
          </w:p>
        </w:tc>
        <w:tc>
          <w:tcPr>
            <w:tcW w:w="1163" w:type="dxa"/>
          </w:tcPr>
          <w:p>
            <w:pPr>
              <w:pStyle w:val="TableParagraph"/>
              <w:ind w:right="3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33.3</w:t>
            </w:r>
          </w:p>
        </w:tc>
        <w:tc>
          <w:tcPr>
            <w:tcW w:w="919" w:type="dxa"/>
          </w:tcPr>
          <w:p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42.9</w:t>
            </w:r>
          </w:p>
        </w:tc>
        <w:tc>
          <w:tcPr>
            <w:tcW w:w="979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403" w:type="dxa"/>
          </w:tcPr>
          <w:p>
            <w:pPr>
              <w:pStyle w:val="TableParagraph"/>
              <w:ind w:left="45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0.0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02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头孢西丁</w:t>
            </w:r>
          </w:p>
        </w:tc>
        <w:tc>
          <w:tcPr>
            <w:tcW w:w="1163" w:type="dxa"/>
          </w:tcPr>
          <w:p>
            <w:pPr>
              <w:pStyle w:val="TableParagraph"/>
              <w:ind w:right="3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155" w:type="dxa"/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95.1</w:t>
            </w:r>
          </w:p>
        </w:tc>
        <w:tc>
          <w:tcPr>
            <w:tcW w:w="919" w:type="dxa"/>
          </w:tcPr>
          <w:p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85.7</w:t>
            </w:r>
          </w:p>
        </w:tc>
        <w:tc>
          <w:tcPr>
            <w:tcW w:w="979" w:type="dxa"/>
          </w:tcPr>
          <w:p>
            <w:pPr>
              <w:pStyle w:val="TableParagraph"/>
              <w:ind w:right="5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3" w:type="dxa"/>
          </w:tcPr>
          <w:p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blPrEx>
          <w:tblW w:w="0" w:type="auto"/>
          <w:jc w:val="left"/>
          <w:tblInd w:w="1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202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ESBL（+）</w:t>
            </w:r>
          </w:p>
        </w:tc>
        <w:tc>
          <w:tcPr>
            <w:tcW w:w="1163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38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15" w:right="335"/>
              <w:rPr>
                <w:sz w:val="24"/>
              </w:rPr>
            </w:pPr>
            <w:r>
              <w:rPr>
                <w:spacing w:val="-4"/>
                <w:sz w:val="24"/>
              </w:rPr>
              <w:t>39.9</w:t>
            </w:r>
          </w:p>
        </w:tc>
        <w:tc>
          <w:tcPr>
            <w:tcW w:w="919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2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5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19" w:right="329"/>
              <w:rPr>
                <w:sz w:val="24"/>
              </w:rPr>
            </w:pPr>
            <w:r>
              <w:rPr>
                <w:spacing w:val="-4"/>
                <w:sz w:val="24"/>
              </w:rPr>
              <w:t>17.8</w:t>
            </w:r>
          </w:p>
        </w:tc>
        <w:tc>
          <w:tcPr>
            <w:tcW w:w="9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140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2"/>
        </w:rPr>
      </w:pPr>
    </w:p>
    <w:p>
      <w:pPr>
        <w:pStyle w:val="Heading3"/>
        <w:numPr>
          <w:ilvl w:val="2"/>
          <w:numId w:val="13"/>
        </w:numPr>
        <w:tabs>
          <w:tab w:val="left" w:pos="990"/>
        </w:tabs>
        <w:spacing w:before="61" w:after="0" w:line="240" w:lineRule="auto"/>
        <w:ind w:left="990" w:right="0" w:hanging="770"/>
        <w:jc w:val="left"/>
      </w:pPr>
      <w:r>
        <w:t>真菌的药物敏感率（</w:t>
      </w:r>
      <w:r>
        <w:rPr>
          <w:spacing w:val="-24"/>
        </w:rPr>
        <w:t xml:space="preserve">见表 </w:t>
      </w:r>
      <w:r>
        <w:rPr>
          <w:spacing w:val="-5"/>
        </w:rPr>
        <w:t>4）</w:t>
      </w:r>
    </w:p>
    <w:p>
      <w:pPr>
        <w:pStyle w:val="BodyText"/>
        <w:tabs>
          <w:tab w:val="left" w:pos="3339"/>
        </w:tabs>
        <w:spacing w:before="213"/>
        <w:ind w:left="2620"/>
      </w:pPr>
      <w:r>
        <w:t xml:space="preserve">表 </w:t>
      </w:r>
      <w:r>
        <w:rPr>
          <w:spacing w:val="-10"/>
        </w:rPr>
        <w:t>4</w:t>
      </w:r>
      <w:r>
        <w:tab/>
        <w:t>真菌的药物敏感</w:t>
      </w:r>
      <w:r>
        <w:rPr>
          <w:spacing w:val="-10"/>
        </w:rPr>
        <w:t>率</w:t>
      </w:r>
    </w:p>
    <w:p>
      <w:pPr>
        <w:pStyle w:val="BodyText"/>
        <w:spacing w:before="160"/>
      </w:pPr>
      <w:r>
        <w:t>Table</w:t>
      </w:r>
      <w:r>
        <w:rPr>
          <w:spacing w:val="-34"/>
        </w:rPr>
        <w:t xml:space="preserve"> </w:t>
      </w:r>
      <w:r>
        <w:t>4</w:t>
      </w:r>
      <w:r>
        <w:rPr>
          <w:spacing w:val="-34"/>
        </w:rPr>
        <w:t xml:space="preserve"> </w:t>
      </w:r>
      <w:r>
        <w:t>Sensitivity</w:t>
      </w:r>
      <w:r>
        <w:rPr>
          <w:spacing w:val="-34"/>
        </w:rPr>
        <w:t xml:space="preserve"> </w:t>
      </w:r>
      <w:r>
        <w:t>rate</w:t>
      </w:r>
      <w:r>
        <w:rPr>
          <w:spacing w:val="-34"/>
        </w:rPr>
        <w:t xml:space="preserve"> </w:t>
      </w:r>
      <w:r>
        <w:t>of</w:t>
      </w:r>
      <w:r>
        <w:rPr>
          <w:spacing w:val="-34"/>
        </w:rPr>
        <w:t xml:space="preserve"> </w:t>
      </w:r>
      <w:r>
        <w:t>fungal</w:t>
      </w:r>
      <w:r>
        <w:rPr>
          <w:spacing w:val="-34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commonly</w:t>
      </w:r>
      <w:r>
        <w:rPr>
          <w:spacing w:val="-34"/>
        </w:rPr>
        <w:t xml:space="preserve"> </w:t>
      </w:r>
      <w:r>
        <w:t>used</w:t>
      </w:r>
      <w:r>
        <w:rPr>
          <w:spacing w:val="-34"/>
        </w:rPr>
        <w:t xml:space="preserve"> </w:t>
      </w:r>
      <w:r>
        <w:t>antimicrobial</w:t>
      </w:r>
      <w:r>
        <w:rPr>
          <w:spacing w:val="-34"/>
        </w:rPr>
        <w:t xml:space="preserve"> </w:t>
      </w:r>
      <w:r>
        <w:rPr>
          <w:spacing w:val="-2"/>
        </w:rPr>
        <w:t>agents</w:t>
      </w:r>
    </w:p>
    <w:p>
      <w:pPr>
        <w:pStyle w:val="BodyText"/>
        <w:spacing w:before="6"/>
        <w:ind w:left="0"/>
        <w:rPr>
          <w:sz w:val="6"/>
        </w:rPr>
      </w:pPr>
    </w:p>
    <w:tbl>
      <w:tblPr>
        <w:tblStyle w:val="TableNormal4"/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5"/>
        <w:gridCol w:w="952"/>
        <w:gridCol w:w="1334"/>
        <w:gridCol w:w="1020"/>
        <w:gridCol w:w="1301"/>
        <w:gridCol w:w="1016"/>
        <w:gridCol w:w="1266"/>
      </w:tblGrid>
      <w:tr>
        <w:tblPrEx>
          <w:tblW w:w="0" w:type="auto"/>
          <w:jc w:val="left"/>
          <w:tblInd w:w="11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16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抗生素/年份</w:t>
            </w:r>
          </w:p>
        </w:tc>
        <w:tc>
          <w:tcPr>
            <w:tcW w:w="9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191" w:right="250"/>
              <w:rPr>
                <w:sz w:val="24"/>
              </w:rPr>
            </w:pPr>
            <w:r>
              <w:rPr>
                <w:spacing w:val="-5"/>
                <w:sz w:val="24"/>
              </w:rPr>
              <w:t>株数</w:t>
            </w:r>
          </w:p>
        </w:tc>
        <w:tc>
          <w:tcPr>
            <w:tcW w:w="133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49" w:right="274"/>
              <w:rPr>
                <w:sz w:val="24"/>
              </w:rPr>
            </w:pPr>
            <w:r>
              <w:rPr>
                <w:sz w:val="24"/>
              </w:rPr>
              <w:t>2013</w:t>
            </w:r>
            <w:r>
              <w:rPr>
                <w:spacing w:val="-35"/>
                <w:sz w:val="24"/>
              </w:rPr>
              <w:t xml:space="preserve"> 年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72" w:right="237"/>
              <w:rPr>
                <w:sz w:val="24"/>
              </w:rPr>
            </w:pPr>
            <w:r>
              <w:rPr>
                <w:spacing w:val="-5"/>
                <w:sz w:val="24"/>
              </w:rPr>
              <w:t>株数</w:t>
            </w:r>
          </w:p>
        </w:tc>
        <w:tc>
          <w:tcPr>
            <w:tcW w:w="13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right="270"/>
              <w:jc w:val="right"/>
              <w:rPr>
                <w:sz w:val="24"/>
              </w:rPr>
            </w:pPr>
            <w:r>
              <w:rPr>
                <w:sz w:val="24"/>
              </w:rPr>
              <w:t>2014</w:t>
            </w:r>
            <w:r>
              <w:rPr>
                <w:spacing w:val="-35"/>
                <w:sz w:val="24"/>
              </w:rPr>
              <w:t xml:space="preserve"> 年</w:t>
            </w:r>
          </w:p>
        </w:tc>
        <w:tc>
          <w:tcPr>
            <w:tcW w:w="101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53" w:right="253"/>
              <w:rPr>
                <w:sz w:val="24"/>
              </w:rPr>
            </w:pPr>
            <w:r>
              <w:rPr>
                <w:spacing w:val="-5"/>
                <w:sz w:val="24"/>
              </w:rPr>
              <w:t>株数</w:t>
            </w:r>
          </w:p>
        </w:tc>
        <w:tc>
          <w:tcPr>
            <w:tcW w:w="12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ind w:left="250" w:right="206"/>
              <w:rPr>
                <w:sz w:val="24"/>
              </w:rPr>
            </w:pPr>
            <w:r>
              <w:rPr>
                <w:sz w:val="24"/>
              </w:rPr>
              <w:t>2015</w:t>
            </w:r>
            <w:r>
              <w:rPr>
                <w:spacing w:val="-35"/>
                <w:sz w:val="24"/>
              </w:rPr>
              <w:t xml:space="preserve"> 年</w:t>
            </w:r>
          </w:p>
        </w:tc>
      </w:tr>
      <w:tr>
        <w:tblPrEx>
          <w:tblW w:w="0" w:type="auto"/>
          <w:jc w:val="left"/>
          <w:tblInd w:w="1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9"/>
          <w:jc w:val="left"/>
        </w:trPr>
        <w:tc>
          <w:tcPr>
            <w:tcW w:w="163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>-氟胞嘧啶</w:t>
            </w:r>
          </w:p>
        </w:tc>
        <w:tc>
          <w:tcPr>
            <w:tcW w:w="95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right="5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249" w:right="274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272" w:right="23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right="30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  <w:tc>
          <w:tcPr>
            <w:tcW w:w="10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253" w:right="25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82"/>
              <w:ind w:left="250" w:right="206"/>
              <w:rPr>
                <w:sz w:val="24"/>
              </w:rPr>
            </w:pPr>
            <w:r>
              <w:rPr>
                <w:spacing w:val="-2"/>
                <w:sz w:val="24"/>
              </w:rPr>
              <w:t>97.96</w:t>
            </w:r>
          </w:p>
        </w:tc>
      </w:tr>
      <w:tr>
        <w:tblPrEx>
          <w:tblW w:w="0" w:type="auto"/>
          <w:jc w:val="left"/>
          <w:tblInd w:w="1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163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两性霉素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952" w:type="dxa"/>
          </w:tcPr>
          <w:p>
            <w:pPr>
              <w:pStyle w:val="TableParagraph"/>
              <w:ind w:right="5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34" w:type="dxa"/>
          </w:tcPr>
          <w:p>
            <w:pPr>
              <w:pStyle w:val="TableParagraph"/>
              <w:ind w:left="249" w:right="274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  <w:tc>
          <w:tcPr>
            <w:tcW w:w="1020" w:type="dxa"/>
          </w:tcPr>
          <w:p>
            <w:pPr>
              <w:pStyle w:val="TableParagraph"/>
              <w:ind w:left="272" w:right="23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1" w:type="dxa"/>
          </w:tcPr>
          <w:p>
            <w:pPr>
              <w:pStyle w:val="TableParagraph"/>
              <w:ind w:right="30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  <w:tc>
          <w:tcPr>
            <w:tcW w:w="1016" w:type="dxa"/>
          </w:tcPr>
          <w:p>
            <w:pPr>
              <w:pStyle w:val="TableParagraph"/>
              <w:ind w:left="253" w:right="25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66" w:type="dxa"/>
          </w:tcPr>
          <w:p>
            <w:pPr>
              <w:pStyle w:val="TableParagraph"/>
              <w:ind w:left="250" w:right="206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</w:tr>
      <w:tr>
        <w:tblPrEx>
          <w:tblW w:w="0" w:type="auto"/>
          <w:jc w:val="left"/>
          <w:tblInd w:w="1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163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氟康唑</w:t>
            </w:r>
          </w:p>
        </w:tc>
        <w:tc>
          <w:tcPr>
            <w:tcW w:w="952" w:type="dxa"/>
          </w:tcPr>
          <w:p>
            <w:pPr>
              <w:pStyle w:val="TableParagraph"/>
              <w:ind w:right="5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34" w:type="dxa"/>
          </w:tcPr>
          <w:p>
            <w:pPr>
              <w:pStyle w:val="TableParagraph"/>
              <w:ind w:left="249" w:right="274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  <w:tc>
          <w:tcPr>
            <w:tcW w:w="1020" w:type="dxa"/>
          </w:tcPr>
          <w:p>
            <w:pPr>
              <w:pStyle w:val="TableParagraph"/>
              <w:ind w:left="272" w:right="23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1" w:type="dxa"/>
          </w:tcPr>
          <w:p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73.33</w:t>
            </w:r>
          </w:p>
        </w:tc>
        <w:tc>
          <w:tcPr>
            <w:tcW w:w="1016" w:type="dxa"/>
          </w:tcPr>
          <w:p>
            <w:pPr>
              <w:pStyle w:val="TableParagraph"/>
              <w:ind w:left="253" w:right="25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66" w:type="dxa"/>
          </w:tcPr>
          <w:p>
            <w:pPr>
              <w:pStyle w:val="TableParagraph"/>
              <w:ind w:left="250" w:right="206"/>
              <w:rPr>
                <w:sz w:val="24"/>
              </w:rPr>
            </w:pPr>
            <w:r>
              <w:rPr>
                <w:spacing w:val="-2"/>
                <w:sz w:val="24"/>
              </w:rPr>
              <w:t>71.42</w:t>
            </w:r>
          </w:p>
        </w:tc>
      </w:tr>
      <w:tr>
        <w:tblPrEx>
          <w:tblW w:w="0" w:type="auto"/>
          <w:jc w:val="left"/>
          <w:tblInd w:w="1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1635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伊曲康唑</w:t>
            </w:r>
          </w:p>
        </w:tc>
        <w:tc>
          <w:tcPr>
            <w:tcW w:w="952" w:type="dxa"/>
          </w:tcPr>
          <w:p>
            <w:pPr>
              <w:pStyle w:val="TableParagraph"/>
              <w:ind w:right="5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34" w:type="dxa"/>
          </w:tcPr>
          <w:p>
            <w:pPr>
              <w:pStyle w:val="TableParagraph"/>
              <w:ind w:left="249" w:right="274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  <w:tc>
          <w:tcPr>
            <w:tcW w:w="1020" w:type="dxa"/>
          </w:tcPr>
          <w:p>
            <w:pPr>
              <w:pStyle w:val="TableParagraph"/>
              <w:ind w:left="272" w:right="23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1" w:type="dxa"/>
          </w:tcPr>
          <w:p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74.12</w:t>
            </w:r>
          </w:p>
        </w:tc>
        <w:tc>
          <w:tcPr>
            <w:tcW w:w="1016" w:type="dxa"/>
          </w:tcPr>
          <w:p>
            <w:pPr>
              <w:pStyle w:val="TableParagraph"/>
              <w:ind w:left="253" w:right="25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66" w:type="dxa"/>
          </w:tcPr>
          <w:p>
            <w:pPr>
              <w:pStyle w:val="TableParagraph"/>
              <w:ind w:left="250" w:right="206"/>
              <w:rPr>
                <w:sz w:val="24"/>
              </w:rPr>
            </w:pPr>
            <w:r>
              <w:rPr>
                <w:spacing w:val="-2"/>
                <w:sz w:val="24"/>
              </w:rPr>
              <w:t>71.33</w:t>
            </w:r>
          </w:p>
        </w:tc>
      </w:tr>
      <w:tr>
        <w:tblPrEx>
          <w:tblW w:w="0" w:type="auto"/>
          <w:jc w:val="left"/>
          <w:tblInd w:w="11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6"/>
          <w:jc w:val="left"/>
        </w:trPr>
        <w:tc>
          <w:tcPr>
            <w:tcW w:w="1635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3"/>
                <w:sz w:val="24"/>
              </w:rPr>
              <w:t>伏立康唑</w:t>
            </w:r>
          </w:p>
        </w:tc>
        <w:tc>
          <w:tcPr>
            <w:tcW w:w="952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5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2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272" w:right="23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86.67</w:t>
            </w:r>
          </w:p>
        </w:tc>
        <w:tc>
          <w:tcPr>
            <w:tcW w:w="1016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253" w:right="25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266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250" w:right="206"/>
              <w:rPr>
                <w:sz w:val="24"/>
              </w:rPr>
            </w:pPr>
            <w:r>
              <w:rPr>
                <w:spacing w:val="-2"/>
                <w:sz w:val="24"/>
              </w:rPr>
              <w:t>97.96</w:t>
            </w:r>
          </w:p>
        </w:tc>
      </w:tr>
    </w:tbl>
    <w:p>
      <w:pPr>
        <w:pStyle w:val="BodyText"/>
        <w:ind w:left="0"/>
      </w:pPr>
    </w:p>
    <w:p>
      <w:pPr>
        <w:pStyle w:val="BodyText"/>
        <w:ind w:left="0"/>
        <w:rPr>
          <w:sz w:val="21"/>
        </w:rPr>
      </w:pPr>
    </w:p>
    <w:p>
      <w:pPr>
        <w:pStyle w:val="Heading1"/>
        <w:numPr>
          <w:ilvl w:val="0"/>
          <w:numId w:val="13"/>
        </w:numPr>
        <w:tabs>
          <w:tab w:val="left" w:pos="541"/>
        </w:tabs>
        <w:spacing w:before="1" w:after="0" w:line="240" w:lineRule="auto"/>
        <w:ind w:left="541" w:right="0" w:hanging="321"/>
        <w:jc w:val="left"/>
      </w:pPr>
      <w:bookmarkStart w:id="12" w:name="_TOC_250004"/>
      <w:bookmarkEnd w:id="12"/>
      <w:r>
        <w:rPr>
          <w:spacing w:val="-4"/>
        </w:rPr>
        <w:t>讨 论</w:t>
      </w:r>
    </w:p>
    <w:p>
      <w:pPr>
        <w:pStyle w:val="BodyText"/>
        <w:spacing w:before="186" w:line="364" w:lineRule="auto"/>
        <w:ind w:right="679" w:firstLine="480"/>
      </w:pPr>
      <w:r>
        <w:rPr>
          <w:spacing w:val="-12"/>
        </w:rPr>
        <w:t xml:space="preserve">本研究中 </w:t>
      </w:r>
      <w:r>
        <w:t>2013</w:t>
      </w:r>
      <w:r>
        <w:rPr>
          <w:spacing w:val="-30"/>
        </w:rPr>
        <w:t xml:space="preserve"> 年至 </w:t>
      </w:r>
      <w:r>
        <w:t>2015</w:t>
      </w:r>
      <w:r>
        <w:rPr>
          <w:spacing w:val="-13"/>
        </w:rPr>
        <w:t xml:space="preserve"> 年血培养共分离病原菌 </w:t>
      </w:r>
      <w:r>
        <w:t>635</w:t>
      </w:r>
      <w:r>
        <w:rPr>
          <w:spacing w:val="-14"/>
        </w:rPr>
        <w:t xml:space="preserve"> 株，革兰阳性菌 </w:t>
      </w:r>
      <w:r>
        <w:t>247</w:t>
      </w:r>
      <w:r>
        <w:rPr>
          <w:spacing w:val="-15"/>
        </w:rPr>
        <w:t xml:space="preserve">株，占 </w:t>
      </w:r>
      <w:r>
        <w:t>38.9%；</w:t>
      </w:r>
      <w:r>
        <w:rPr>
          <w:spacing w:val="-10"/>
        </w:rPr>
        <w:t xml:space="preserve">革兰阴性菌 </w:t>
      </w:r>
      <w:r>
        <w:t>322</w:t>
      </w:r>
      <w:r>
        <w:rPr>
          <w:spacing w:val="-24"/>
        </w:rPr>
        <w:t xml:space="preserve"> 株，占 </w:t>
      </w:r>
      <w:r>
        <w:t>50.7%</w:t>
      </w:r>
      <w:r>
        <w:rPr>
          <w:spacing w:val="-9"/>
        </w:rPr>
        <w:t xml:space="preserve">。革兰阳性菌 </w:t>
      </w:r>
      <w:r>
        <w:t>13</w:t>
      </w:r>
      <w:r>
        <w:rPr>
          <w:spacing w:val="-40"/>
        </w:rPr>
        <w:t xml:space="preserve"> 年 </w:t>
      </w:r>
      <w:r>
        <w:t>16.5%上升至 30.8%</w:t>
      </w:r>
      <w:r>
        <w:rPr>
          <w:spacing w:val="-9"/>
        </w:rPr>
        <w:t>，呈逐年上升趋势，与文献</w:t>
      </w:r>
      <w:r>
        <w:rPr>
          <w:w w:val="133"/>
          <w:vertAlign w:val="superscript"/>
        </w:rPr>
        <w:t>[1]</w:t>
      </w:r>
      <w:r>
        <w:rPr>
          <w:spacing w:val="-6"/>
          <w:vertAlign w:val="baseline"/>
        </w:rPr>
        <w:t>报道相似，条件致病菌表皮葡萄球菌的比例超过了金黄色葡萄球菌，跃居于首位，与文献报道相符</w:t>
      </w:r>
      <w:r>
        <w:rPr>
          <w:spacing w:val="-6"/>
          <w:w w:val="133"/>
          <w:vertAlign w:val="superscript"/>
        </w:rPr>
        <w:t>[2]</w:t>
      </w:r>
      <w:r>
        <w:rPr>
          <w:spacing w:val="-6"/>
          <w:vertAlign w:val="baseline"/>
        </w:rPr>
        <w:t>。本研究中甲型副伤</w:t>
      </w:r>
      <w:r>
        <w:rPr>
          <w:spacing w:val="-25"/>
          <w:vertAlign w:val="baseline"/>
        </w:rPr>
        <w:t xml:space="preserve">寒由 </w:t>
      </w:r>
      <w:r>
        <w:rPr>
          <w:vertAlign w:val="baseline"/>
        </w:rPr>
        <w:t>13</w:t>
      </w:r>
      <w:r>
        <w:rPr>
          <w:spacing w:val="-30"/>
          <w:vertAlign w:val="baseline"/>
        </w:rPr>
        <w:t xml:space="preserve"> 年的 </w:t>
      </w:r>
      <w:r>
        <w:rPr>
          <w:vertAlign w:val="baseline"/>
        </w:rPr>
        <w:t>80</w:t>
      </w:r>
      <w:r>
        <w:rPr>
          <w:spacing w:val="-20"/>
          <w:vertAlign w:val="baseline"/>
        </w:rPr>
        <w:t xml:space="preserve"> 株减低到 </w:t>
      </w:r>
      <w:r>
        <w:rPr>
          <w:vertAlign w:val="baseline"/>
        </w:rPr>
        <w:t>15</w:t>
      </w:r>
      <w:r>
        <w:rPr>
          <w:spacing w:val="-40"/>
          <w:vertAlign w:val="baseline"/>
        </w:rPr>
        <w:t xml:space="preserve"> 年 </w:t>
      </w:r>
      <w:r>
        <w:rPr>
          <w:vertAlign w:val="baseline"/>
        </w:rPr>
        <w:t>13</w:t>
      </w:r>
      <w:r>
        <w:rPr>
          <w:spacing w:val="-15"/>
          <w:vertAlign w:val="baseline"/>
        </w:rPr>
        <w:t xml:space="preserve"> 株，呈下降趋势，说明本地区对其控制较好。</w:t>
      </w:r>
      <w:r>
        <w:rPr>
          <w:spacing w:val="-10"/>
          <w:vertAlign w:val="baseline"/>
        </w:rPr>
        <w:t xml:space="preserve">研究中真菌的分离株数和种类逐年增加，由 </w:t>
      </w:r>
      <w:r>
        <w:rPr>
          <w:vertAlign w:val="baseline"/>
        </w:rPr>
        <w:t>13</w:t>
      </w:r>
      <w:r>
        <w:rPr>
          <w:spacing w:val="-30"/>
          <w:vertAlign w:val="baseline"/>
        </w:rPr>
        <w:t xml:space="preserve"> 年的 </w:t>
      </w:r>
      <w:r>
        <w:rPr>
          <w:vertAlign w:val="baseline"/>
        </w:rPr>
        <w:t>2.9%</w:t>
      </w:r>
      <w:r>
        <w:rPr>
          <w:spacing w:val="-15"/>
          <w:vertAlign w:val="baseline"/>
        </w:rPr>
        <w:t xml:space="preserve">上升至 </w:t>
      </w:r>
      <w:r>
        <w:rPr>
          <w:vertAlign w:val="baseline"/>
        </w:rPr>
        <w:t>15</w:t>
      </w:r>
      <w:r>
        <w:rPr>
          <w:spacing w:val="-30"/>
          <w:vertAlign w:val="baseline"/>
        </w:rPr>
        <w:t xml:space="preserve"> 年的 </w:t>
      </w:r>
      <w:r>
        <w:rPr>
          <w:spacing w:val="-4"/>
          <w:vertAlign w:val="baseline"/>
        </w:rPr>
        <w:t>15.9%</w:t>
      </w:r>
      <w:r>
        <w:rPr>
          <w:spacing w:val="-4"/>
          <w:vertAlign w:val="baseline"/>
        </w:rPr>
        <w:t>，</w:t>
      </w:r>
      <w:r>
        <w:rPr>
          <w:vertAlign w:val="baseline"/>
        </w:rPr>
        <w:t>与解晓珍等</w:t>
      </w:r>
      <w:r>
        <w:rPr>
          <w:w w:val="133"/>
          <w:vertAlign w:val="superscript"/>
        </w:rPr>
        <w:t>[3]</w:t>
      </w:r>
      <w:r>
        <w:rPr>
          <w:spacing w:val="-3"/>
          <w:vertAlign w:val="baseline"/>
        </w:rPr>
        <w:t xml:space="preserve">报道相近，上升幅度较大。真菌检出比例占病原菌总数的 </w:t>
      </w:r>
      <w:r>
        <w:rPr>
          <w:vertAlign w:val="baseline"/>
        </w:rPr>
        <w:t>4.6%，以白色念珠菌多见。真菌的分离株数和种类逐年增加，可能是由于大剂量的抗</w:t>
      </w:r>
    </w:p>
    <w:p>
      <w:pPr>
        <w:spacing w:after="0" w:line="364" w:lineRule="auto"/>
        <w:sectPr>
          <w:headerReference w:type="default" r:id="rId14"/>
          <w:pgSz w:w="11910" w:h="16840"/>
          <w:pgMar w:top="1380" w:right="1140" w:bottom="280" w:left="1580" w:header="893" w:footer="0"/>
          <w:pgNumType w:start="9"/>
          <w:cols w:space="708"/>
        </w:sectPr>
      </w:pPr>
    </w:p>
    <w:p>
      <w:pPr>
        <w:pStyle w:val="BodyText"/>
        <w:spacing w:before="142" w:line="364" w:lineRule="auto"/>
        <w:ind w:right="799"/>
        <w:jc w:val="both"/>
      </w:pPr>
      <w:r>
        <w:rPr>
          <w:spacing w:val="-14"/>
        </w:rPr>
        <w:t>生素、免疫抑制剂和激素的广泛应用而导致人体免疫力的下降所致</w:t>
      </w:r>
      <w:r>
        <w:rPr>
          <w:spacing w:val="-2"/>
          <w:vertAlign w:val="superscript"/>
        </w:rPr>
        <w:t>[4]</w:t>
      </w:r>
      <w:r>
        <w:rPr>
          <w:spacing w:val="-2"/>
          <w:vertAlign w:val="baseline"/>
        </w:rPr>
        <w:t>,且联合应</w:t>
      </w:r>
      <w:r>
        <w:rPr>
          <w:spacing w:val="-2"/>
          <w:vertAlign w:val="baseline"/>
        </w:rPr>
        <w:t>用抗菌药物或长期应用广谱抗生素的现象极其普遍,致使由真菌引起的二重感</w:t>
      </w:r>
      <w:r>
        <w:rPr>
          <w:spacing w:val="-6"/>
          <w:vertAlign w:val="baseline"/>
        </w:rPr>
        <w:t>染逐年增多,临床多见于引起下呼吸道感染和血液感染,真菌血症常威胁生命,患</w:t>
      </w:r>
      <w:r>
        <w:rPr>
          <w:spacing w:val="-2"/>
          <w:w w:val="110"/>
          <w:vertAlign w:val="baseline"/>
        </w:rPr>
        <w:t>者</w:t>
      </w:r>
      <w:r>
        <w:rPr>
          <w:spacing w:val="-2"/>
          <w:w w:val="110"/>
          <w:vertAlign w:val="baseline"/>
        </w:rPr>
        <w:t>死</w:t>
      </w:r>
      <w:r>
        <w:rPr>
          <w:spacing w:val="-2"/>
          <w:w w:val="110"/>
          <w:vertAlign w:val="baseline"/>
        </w:rPr>
        <w:t>亡</w:t>
      </w:r>
      <w:r>
        <w:rPr>
          <w:spacing w:val="-2"/>
          <w:w w:val="110"/>
          <w:vertAlign w:val="baseline"/>
        </w:rPr>
        <w:t>率</w:t>
      </w:r>
      <w:r>
        <w:rPr>
          <w:spacing w:val="-2"/>
          <w:w w:val="110"/>
          <w:vertAlign w:val="baseline"/>
        </w:rPr>
        <w:t>较</w:t>
      </w:r>
      <w:r>
        <w:rPr>
          <w:spacing w:val="-2"/>
          <w:w w:val="110"/>
          <w:vertAlign w:val="baseline"/>
        </w:rPr>
        <w:t>高</w:t>
      </w:r>
      <w:r>
        <w:rPr>
          <w:spacing w:val="-2"/>
          <w:w w:val="115"/>
          <w:vertAlign w:val="superscript"/>
        </w:rPr>
        <w:t>[5]</w:t>
      </w:r>
      <w:r>
        <w:rPr>
          <w:spacing w:val="-2"/>
          <w:w w:val="110"/>
          <w:vertAlign w:val="baseline"/>
        </w:rPr>
        <w:t>。</w:t>
      </w:r>
    </w:p>
    <w:p>
      <w:pPr>
        <w:pStyle w:val="BodyText"/>
        <w:spacing w:before="2" w:line="364" w:lineRule="auto"/>
        <w:ind w:right="685" w:firstLine="480"/>
      </w:pPr>
      <w:r>
        <w:rPr>
          <w:spacing w:val="-2"/>
        </w:rPr>
        <w:t>革兰阳性菌检出株数最多的是葡萄球菌,葡萄球菌对呋喃妥因、万古霉素、</w:t>
      </w:r>
      <w:r>
        <w:rPr>
          <w:spacing w:val="-2"/>
        </w:rPr>
        <w:t>利奈唑烷的敏感率高，未出现万古霉素耐药株。金黄色葡萄球菌对大多数药物</w:t>
      </w:r>
      <w:r>
        <w:t>的敏感率均较凝固酶阴性葡萄球菌高。MRSA</w:t>
      </w:r>
      <w:r>
        <w:rPr>
          <w:spacing w:val="-27"/>
        </w:rPr>
        <w:t xml:space="preserve"> 与 </w:t>
      </w:r>
      <w:r>
        <w:t>MRCNSA</w:t>
      </w:r>
      <w:r>
        <w:rPr>
          <w:spacing w:val="-17"/>
        </w:rPr>
        <w:t xml:space="preserve"> 分别为 </w:t>
      </w:r>
      <w:r>
        <w:t>48.3%、83.3%，高于顾兵等的报道</w:t>
      </w:r>
      <w:r>
        <w:rPr>
          <w:vertAlign w:val="superscript"/>
        </w:rPr>
        <w:t>[6]</w:t>
      </w:r>
      <w:r>
        <w:rPr>
          <w:spacing w:val="-10"/>
          <w:vertAlign w:val="baseline"/>
        </w:rPr>
        <w:t>。由于目前临床上治疗</w:t>
      </w:r>
      <w:r>
        <w:rPr>
          <w:vertAlign w:val="baseline"/>
        </w:rPr>
        <w:t>MRSA</w:t>
      </w:r>
      <w:r>
        <w:rPr>
          <w:spacing w:val="-10"/>
          <w:vertAlign w:val="baseline"/>
        </w:rPr>
        <w:t xml:space="preserve"> 感染的主要抗菌药为糖肽类(如</w:t>
      </w:r>
      <w:r>
        <w:rPr>
          <w:vertAlign w:val="baseline"/>
        </w:rPr>
        <w:t>万古霉素) ,因而耐万古霉素金葡菌(VRSA)的出现及传播尤其值得关注,最近已</w:t>
      </w:r>
      <w:r>
        <w:rPr>
          <w:spacing w:val="-6"/>
          <w:vertAlign w:val="baseline"/>
        </w:rPr>
        <w:t xml:space="preserve">报道发现了携带 </w:t>
      </w:r>
      <w:r>
        <w:rPr>
          <w:vertAlign w:val="baseline"/>
        </w:rPr>
        <w:t>VanA</w:t>
      </w:r>
      <w:r>
        <w:rPr>
          <w:spacing w:val="-19"/>
          <w:vertAlign w:val="baseline"/>
        </w:rPr>
        <w:t xml:space="preserve"> 基因的 </w:t>
      </w:r>
      <w:r>
        <w:rPr>
          <w:vertAlign w:val="baseline"/>
        </w:rPr>
        <w:t>VRSA</w:t>
      </w:r>
      <w:r>
        <w:rPr>
          <w:vertAlign w:val="superscript"/>
        </w:rPr>
        <w:t>[7]</w:t>
      </w:r>
      <w:r>
        <w:rPr>
          <w:spacing w:val="-3"/>
          <w:vertAlign w:val="baseline"/>
        </w:rPr>
        <w:t xml:space="preserve">，我国目前虽尚未见耐万古霉素 </w:t>
      </w:r>
      <w:r>
        <w:rPr>
          <w:vertAlign w:val="baseline"/>
        </w:rPr>
        <w:t>VRSA</w:t>
      </w:r>
      <w:r>
        <w:rPr>
          <w:spacing w:val="-15"/>
          <w:vertAlign w:val="baseline"/>
        </w:rPr>
        <w:t xml:space="preserve"> 的报</w:t>
      </w:r>
      <w:r>
        <w:rPr>
          <w:spacing w:val="-2"/>
          <w:w w:val="105"/>
          <w:vertAlign w:val="baseline"/>
        </w:rPr>
        <w:t>道</w:t>
      </w:r>
      <w:r>
        <w:rPr>
          <w:spacing w:val="-2"/>
          <w:w w:val="105"/>
          <w:vertAlign w:val="baseline"/>
        </w:rPr>
        <w:t>，</w:t>
      </w:r>
      <w:r>
        <w:rPr>
          <w:spacing w:val="-2"/>
          <w:w w:val="105"/>
          <w:vertAlign w:val="baseline"/>
        </w:rPr>
        <w:t>但</w:t>
      </w:r>
      <w:r>
        <w:rPr>
          <w:spacing w:val="-2"/>
          <w:w w:val="105"/>
          <w:vertAlign w:val="baseline"/>
        </w:rPr>
        <w:t>应</w:t>
      </w:r>
      <w:r>
        <w:rPr>
          <w:spacing w:val="-2"/>
          <w:w w:val="105"/>
          <w:vertAlign w:val="baseline"/>
        </w:rPr>
        <w:t>当</w:t>
      </w:r>
      <w:r>
        <w:rPr>
          <w:spacing w:val="-2"/>
          <w:w w:val="105"/>
          <w:vertAlign w:val="baseline"/>
        </w:rPr>
        <w:t>警</w:t>
      </w:r>
      <w:r>
        <w:rPr>
          <w:spacing w:val="-2"/>
          <w:w w:val="105"/>
          <w:vertAlign w:val="baseline"/>
        </w:rPr>
        <w:t>惕</w:t>
      </w:r>
      <w:r>
        <w:rPr>
          <w:spacing w:val="-2"/>
          <w:w w:val="105"/>
          <w:vertAlign w:val="baseline"/>
        </w:rPr>
        <w:t>这</w:t>
      </w:r>
      <w:r>
        <w:rPr>
          <w:spacing w:val="-2"/>
          <w:w w:val="105"/>
          <w:vertAlign w:val="baseline"/>
        </w:rPr>
        <w:t>类</w:t>
      </w:r>
      <w:r>
        <w:rPr>
          <w:spacing w:val="-2"/>
          <w:w w:val="105"/>
          <w:vertAlign w:val="baseline"/>
        </w:rPr>
        <w:t>菌</w:t>
      </w:r>
      <w:r>
        <w:rPr>
          <w:spacing w:val="-2"/>
          <w:w w:val="105"/>
          <w:vertAlign w:val="baseline"/>
        </w:rPr>
        <w:t>株</w:t>
      </w:r>
      <w:r>
        <w:rPr>
          <w:spacing w:val="-2"/>
          <w:w w:val="105"/>
          <w:vertAlign w:val="baseline"/>
        </w:rPr>
        <w:t>的</w:t>
      </w:r>
      <w:r>
        <w:rPr>
          <w:spacing w:val="-2"/>
          <w:w w:val="105"/>
          <w:vertAlign w:val="baseline"/>
        </w:rPr>
        <w:t>出</w:t>
      </w:r>
      <w:r>
        <w:rPr>
          <w:spacing w:val="-2"/>
          <w:w w:val="105"/>
          <w:vertAlign w:val="baseline"/>
        </w:rPr>
        <w:t>现</w:t>
      </w:r>
      <w:r>
        <w:rPr>
          <w:spacing w:val="-2"/>
          <w:w w:val="105"/>
          <w:vertAlign w:val="baseline"/>
        </w:rPr>
        <w:t>。</w:t>
      </w:r>
    </w:p>
    <w:p>
      <w:pPr>
        <w:pStyle w:val="BodyText"/>
        <w:spacing w:before="4" w:line="364" w:lineRule="auto"/>
        <w:ind w:right="658" w:firstLine="419"/>
      </w:pPr>
      <w:r>
        <w:t>主要革兰阴性菌对抗菌药物的敏感率，大肠埃希菌是血培养分离最多的革</w:t>
      </w:r>
      <w:r>
        <w:rPr>
          <w:spacing w:val="-11"/>
        </w:rPr>
        <w:t xml:space="preserve">兰阴性杆菌，共 </w:t>
      </w:r>
      <w:r>
        <w:t>118</w:t>
      </w:r>
      <w:r>
        <w:rPr>
          <w:spacing w:val="-28"/>
        </w:rPr>
        <w:t xml:space="preserve"> 株，</w:t>
      </w:r>
      <w:r>
        <w:t>ESBLs</w:t>
      </w:r>
      <w:r>
        <w:rPr>
          <w:spacing w:val="-20"/>
        </w:rPr>
        <w:t xml:space="preserve"> 阳性率为 </w:t>
      </w:r>
      <w:r>
        <w:t>39.9%</w:t>
      </w:r>
      <w:r>
        <w:rPr>
          <w:spacing w:val="-7"/>
        </w:rPr>
        <w:t>。其对亚胺培南均敏感，对呋喃</w:t>
      </w:r>
      <w:r>
        <w:rPr>
          <w:spacing w:val="-23"/>
        </w:rPr>
        <w:t xml:space="preserve">妥因、阿米卡星、美洛培南、哌拉西林敏感性较好，对其它抗生素的耐药率达 </w:t>
      </w:r>
      <w:r>
        <w:t>45%</w:t>
      </w:r>
      <w:r>
        <w:rPr>
          <w:spacing w:val="-6"/>
        </w:rPr>
        <w:t xml:space="preserve">以上。肺炎克雷伯菌 </w:t>
      </w:r>
      <w:r>
        <w:t>ESBLs</w:t>
      </w:r>
      <w:r>
        <w:rPr>
          <w:spacing w:val="-20"/>
        </w:rPr>
        <w:t xml:space="preserve"> 阳性率为 </w:t>
      </w:r>
      <w:r>
        <w:t>17.8%，对阿米卡星、亚胺培南、美洛培南、头孢西丁的敏感率较高。铜绿假单胞菌对阿米卡星、环丙沙星、妥布霉素的敏感率较高。由此可见阿米卡星可作为大肠埃希菌、肺炎克雷伯菌及铜绿假</w:t>
      </w:r>
      <w:r>
        <w:rPr>
          <w:spacing w:val="-4"/>
        </w:rPr>
        <w:t xml:space="preserve">单胞菌的首选用药之一。本实验产 </w:t>
      </w:r>
      <w:r>
        <w:t>ESBLs</w:t>
      </w:r>
      <w:r>
        <w:rPr>
          <w:spacing w:val="-8"/>
        </w:rPr>
        <w:t xml:space="preserve"> 大肠埃希菌和肺炎克雷伯菌分别为 39.9%</w:t>
      </w:r>
      <w:r>
        <w:rPr>
          <w:spacing w:val="-95"/>
        </w:rPr>
        <w:t>、</w:t>
      </w:r>
      <w:r>
        <w:t>17.8%,</w:t>
      </w:r>
      <w:r>
        <w:rPr>
          <w:spacing w:val="-30"/>
        </w:rPr>
        <w:t xml:space="preserve">产 </w:t>
      </w:r>
      <w:r>
        <w:t>ESBLs</w:t>
      </w:r>
      <w:r>
        <w:rPr>
          <w:spacing w:val="-11"/>
        </w:rPr>
        <w:t xml:space="preserve"> 菌株对头孢类抗生素的敏感率低,虽然 </w:t>
      </w:r>
      <w:r>
        <w:t>ESBLs</w:t>
      </w:r>
      <w:r>
        <w:rPr>
          <w:spacing w:val="-13"/>
        </w:rPr>
        <w:t xml:space="preserve"> 在各地区、</w:t>
      </w:r>
      <w:r>
        <w:t>各医院间检出率差异明显不同</w:t>
      </w:r>
      <w:r>
        <w:rPr>
          <w:w w:val="133"/>
          <w:vertAlign w:val="superscript"/>
        </w:rPr>
        <w:t>[8]</w:t>
      </w:r>
      <w:r>
        <w:rPr>
          <w:spacing w:val="-5"/>
          <w:vertAlign w:val="baseline"/>
        </w:rPr>
        <w:t xml:space="preserve">，但通过本组资料仍可看出 </w:t>
      </w:r>
      <w:r>
        <w:rPr>
          <w:vertAlign w:val="baseline"/>
        </w:rPr>
        <w:t>ESBLs</w:t>
      </w:r>
      <w:r>
        <w:rPr>
          <w:spacing w:val="-10"/>
          <w:vertAlign w:val="baseline"/>
        </w:rPr>
        <w:t xml:space="preserve"> 菌株的检测是非常必要的。</w:t>
      </w:r>
    </w:p>
    <w:p>
      <w:pPr>
        <w:pStyle w:val="BodyText"/>
        <w:spacing w:before="6"/>
        <w:ind w:left="639"/>
      </w:pPr>
      <w:r>
        <w:rPr>
          <w:spacing w:val="-1"/>
        </w:rPr>
        <w:t>真菌对氟康唑和伊曲康唑的敏感性较低，对其它抗真菌药较敏感(≥</w:t>
      </w:r>
    </w:p>
    <w:p>
      <w:pPr>
        <w:pStyle w:val="BodyText"/>
        <w:spacing w:before="161" w:line="364" w:lineRule="auto"/>
        <w:ind w:right="805"/>
      </w:pPr>
      <w:r>
        <w:t>90%)</w:t>
      </w:r>
      <w:r>
        <w:rPr>
          <w:spacing w:val="-6"/>
        </w:rPr>
        <w:t xml:space="preserve"> 。目前,抗真菌药物种类少,不能凭经验用药,应根据药敏结果选择合适的</w:t>
      </w:r>
      <w:r>
        <w:rPr>
          <w:spacing w:val="-4"/>
        </w:rPr>
        <w:t>抗菌药。</w:t>
      </w:r>
    </w:p>
    <w:p>
      <w:pPr>
        <w:pStyle w:val="Heading1"/>
        <w:numPr>
          <w:ilvl w:val="0"/>
          <w:numId w:val="13"/>
        </w:numPr>
        <w:tabs>
          <w:tab w:val="left" w:pos="541"/>
        </w:tabs>
        <w:spacing w:before="28" w:after="0" w:line="240" w:lineRule="auto"/>
        <w:ind w:left="541" w:right="0" w:hanging="321"/>
        <w:jc w:val="left"/>
      </w:pPr>
      <w:bookmarkStart w:id="13" w:name="_TOC_250003"/>
      <w:bookmarkEnd w:id="13"/>
      <w:r>
        <w:rPr>
          <w:spacing w:val="-4"/>
        </w:rPr>
        <w:t>结 论</w:t>
      </w:r>
    </w:p>
    <w:p>
      <w:pPr>
        <w:pStyle w:val="BodyText"/>
        <w:spacing w:before="187" w:line="364" w:lineRule="auto"/>
        <w:ind w:right="658" w:firstLine="469"/>
      </w:pPr>
      <w:r>
        <w:rPr>
          <w:spacing w:val="-2"/>
        </w:rPr>
        <w:t>3</w:t>
      </w:r>
      <w:r>
        <w:rPr>
          <w:spacing w:val="-9"/>
        </w:rPr>
        <w:t xml:space="preserve"> 年来,血培养分离的葡萄球菌、肠杆菌科细菌(除沙门氏菌外)呈上升趋势,</w:t>
      </w:r>
      <w:r>
        <w:rPr>
          <w:spacing w:val="-7"/>
        </w:rPr>
        <w:t>真菌也有较大上升幅度,沙门氏菌呈下降趋势。血培养分离的病原菌呈现了多样</w:t>
      </w:r>
      <w:r>
        <w:rPr>
          <w:spacing w:val="-6"/>
        </w:rPr>
        <w:t>性,临床医生应及时了解血培养病原菌的分布特征及耐药情况，并及时送检血液</w:t>
      </w:r>
      <w:r>
        <w:rPr>
          <w:spacing w:val="-2"/>
        </w:rPr>
        <w:t>做细菌培养及药敏试验，根据药敏结果合理选择抗菌药物，避免抗生素滥用。</w:t>
      </w:r>
    </w:p>
    <w:p>
      <w:pPr>
        <w:spacing w:after="0" w:line="364" w:lineRule="auto"/>
        <w:sectPr>
          <w:headerReference w:type="default" r:id="rId15"/>
          <w:pgSz w:w="11910" w:h="16840"/>
          <w:pgMar w:top="1380" w:right="1140" w:bottom="280" w:left="1580" w:header="893" w:footer="0"/>
          <w:pgNumType w:start="10"/>
          <w:cols w:space="708"/>
        </w:sectPr>
      </w:pPr>
    </w:p>
    <w:p>
      <w:pPr>
        <w:pStyle w:val="BodyText"/>
        <w:spacing w:before="142"/>
      </w:pPr>
      <w:r>
        <w:rPr>
          <w:spacing w:val="-1"/>
        </w:rPr>
        <w:t>合理使用抗生素，减少医院感染。</w:t>
      </w:r>
    </w:p>
    <w:p>
      <w:pPr>
        <w:pStyle w:val="BodyText"/>
        <w:ind w:left="0"/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0"/>
      </w:pPr>
      <w:bookmarkStart w:id="14" w:name="_TOC_250002"/>
      <w:bookmarkEnd w:id="14"/>
      <w:r>
        <w:rPr>
          <w:spacing w:val="-3"/>
        </w:rPr>
        <w:t>参考文献</w:t>
      </w:r>
    </w:p>
    <w:p>
      <w:pPr>
        <w:pStyle w:val="BodyText"/>
        <w:ind w:left="0"/>
        <w:rPr>
          <w:rFonts w:ascii="黑体"/>
          <w:sz w:val="32"/>
        </w:rPr>
      </w:pPr>
    </w:p>
    <w:p>
      <w:pPr>
        <w:pStyle w:val="ListParagraph"/>
        <w:numPr>
          <w:ilvl w:val="0"/>
          <w:numId w:val="12"/>
        </w:numPr>
        <w:tabs>
          <w:tab w:val="left" w:pos="700"/>
        </w:tabs>
        <w:spacing w:before="245" w:after="0" w:line="364" w:lineRule="auto"/>
        <w:ind w:left="700" w:right="658" w:hanging="480"/>
        <w:jc w:val="left"/>
        <w:rPr>
          <w:sz w:val="24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2340610</wp:posOffset>
            </wp:positionH>
            <wp:positionV relativeFrom="paragraph">
              <wp:posOffset>704138</wp:posOffset>
            </wp:positionV>
            <wp:extent cx="976521" cy="132714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521" cy="13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4"/>
        </w:rPr>
        <w:t xml:space="preserve">温庆辉，郭志勤，黎凤英，等.近 </w:t>
      </w:r>
      <w:r>
        <w:rPr>
          <w:sz w:val="24"/>
        </w:rPr>
        <w:t>3</w:t>
      </w:r>
      <w:r>
        <w:rPr>
          <w:spacing w:val="-8"/>
          <w:sz w:val="24"/>
        </w:rPr>
        <w:t xml:space="preserve"> 年血培养中病原菌的分布及耐药状况分</w:t>
      </w:r>
      <w:r>
        <w:rPr>
          <w:sz w:val="24"/>
        </w:rPr>
        <w:t>析.国际检验医学杂志，2008 ，2 ：109-111。</w:t>
      </w:r>
    </w:p>
    <w:p>
      <w:pPr>
        <w:pStyle w:val="ListParagraph"/>
        <w:numPr>
          <w:ilvl w:val="0"/>
          <w:numId w:val="12"/>
        </w:numPr>
        <w:tabs>
          <w:tab w:val="left" w:pos="700"/>
        </w:tabs>
        <w:spacing w:before="1" w:after="0" w:line="364" w:lineRule="auto"/>
        <w:ind w:left="700" w:right="657" w:hanging="480"/>
        <w:jc w:val="left"/>
        <w:rPr>
          <w:sz w:val="24"/>
        </w:rPr>
      </w:pPr>
      <w:r>
        <w:rPr>
          <w:spacing w:val="-2"/>
          <w:sz w:val="24"/>
        </w:rPr>
        <w:t>解晓珍，张中奎，张克斌，等.2420</w:t>
      </w:r>
      <w:r>
        <w:rPr>
          <w:spacing w:val="-10"/>
          <w:sz w:val="24"/>
        </w:rPr>
        <w:t xml:space="preserve"> 份血培养及菌株耐药状况分析</w:t>
      </w:r>
      <w:r>
        <w:rPr>
          <w:spacing w:val="-2"/>
          <w:sz w:val="24"/>
        </w:rPr>
        <w:t>[J].第三</w:t>
      </w:r>
      <w:r>
        <w:rPr>
          <w:spacing w:val="-2"/>
          <w:sz w:val="24"/>
        </w:rPr>
        <w:t>军医大学学报，2002，24（8）：984-986。</w:t>
      </w:r>
    </w:p>
    <w:p>
      <w:pPr>
        <w:pStyle w:val="ListParagraph"/>
        <w:numPr>
          <w:ilvl w:val="0"/>
          <w:numId w:val="12"/>
        </w:numPr>
        <w:tabs>
          <w:tab w:val="left" w:pos="1925"/>
          <w:tab w:val="left" w:pos="1926"/>
        </w:tabs>
        <w:spacing w:before="1" w:after="0" w:line="364" w:lineRule="auto"/>
        <w:ind w:left="700" w:right="418" w:hanging="480"/>
        <w:jc w:val="left"/>
        <w:rPr>
          <w:sz w:val="24"/>
        </w:rPr>
      </w:pPr>
      <w:r>
        <w:tab/>
      </w:r>
      <w:r>
        <w:rPr>
          <w:spacing w:val="-2"/>
          <w:sz w:val="24"/>
        </w:rPr>
        <w:t>杨丽华，张晓兵.培养基的选择对真菌培养的重要性[J].中国新医</w:t>
      </w:r>
      <w:r>
        <w:rPr>
          <w:sz w:val="24"/>
        </w:rPr>
        <w:t>药,2004 ,3（1）：40241。</w:t>
      </w:r>
    </w:p>
    <w:p>
      <w:pPr>
        <w:pStyle w:val="ListParagraph"/>
        <w:numPr>
          <w:ilvl w:val="0"/>
          <w:numId w:val="12"/>
        </w:numPr>
        <w:tabs>
          <w:tab w:val="left" w:pos="706"/>
        </w:tabs>
        <w:spacing w:before="1" w:after="0" w:line="240" w:lineRule="auto"/>
        <w:ind w:left="705" w:right="0" w:hanging="486"/>
        <w:jc w:val="left"/>
        <w:rPr>
          <w:sz w:val="24"/>
        </w:rPr>
      </w:pPr>
      <w:r>
        <w:rPr>
          <w:sz w:val="24"/>
        </w:rPr>
        <w:t>刘永碧，马厚勋.深部念珠菌感染 280 例临床分析[J].</w:t>
      </w:r>
      <w:r>
        <w:rPr>
          <w:spacing w:val="-2"/>
          <w:sz w:val="24"/>
        </w:rPr>
        <w:t>中华医院感染学杂</w:t>
      </w:r>
    </w:p>
    <w:p>
      <w:pPr>
        <w:pStyle w:val="BodyText"/>
        <w:spacing w:before="161"/>
        <w:ind w:left="700"/>
        <w:jc w:val="both"/>
      </w:pPr>
      <w:r>
        <w:t xml:space="preserve">志,1998 ,8 (1) </w:t>
      </w:r>
      <w:r>
        <w:rPr>
          <w:spacing w:val="-2"/>
        </w:rPr>
        <w:t>:31233.</w:t>
      </w:r>
    </w:p>
    <w:p>
      <w:pPr>
        <w:pStyle w:val="ListParagraph"/>
        <w:numPr>
          <w:ilvl w:val="0"/>
          <w:numId w:val="12"/>
        </w:numPr>
        <w:tabs>
          <w:tab w:val="left" w:pos="700"/>
        </w:tabs>
        <w:spacing w:before="160" w:after="0" w:line="364" w:lineRule="auto"/>
        <w:ind w:left="700" w:right="757" w:hanging="480"/>
        <w:jc w:val="both"/>
        <w:rPr>
          <w:sz w:val="24"/>
        </w:rPr>
      </w:pPr>
      <w:r>
        <w:rPr>
          <w:spacing w:val="-6"/>
          <w:sz w:val="24"/>
        </w:rPr>
        <w:t xml:space="preserve">顾兵，潘世扬，等.南京地区 </w:t>
      </w:r>
      <w:r>
        <w:rPr>
          <w:spacing w:val="-4"/>
          <w:sz w:val="24"/>
        </w:rPr>
        <w:t>2004-2007</w:t>
      </w:r>
      <w:r>
        <w:rPr>
          <w:spacing w:val="-9"/>
          <w:sz w:val="24"/>
        </w:rPr>
        <w:t xml:space="preserve"> 年血培养病原菌分布和耐药性变迁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[J].中华检验医学杂志，2009，32：889-894.</w:t>
      </w:r>
    </w:p>
    <w:p>
      <w:pPr>
        <w:pStyle w:val="ListParagraph"/>
        <w:numPr>
          <w:ilvl w:val="0"/>
          <w:numId w:val="12"/>
        </w:numPr>
        <w:tabs>
          <w:tab w:val="left" w:pos="759"/>
        </w:tabs>
        <w:spacing w:before="1" w:after="0" w:line="364" w:lineRule="auto"/>
        <w:ind w:left="700" w:right="757" w:hanging="480"/>
        <w:jc w:val="both"/>
        <w:rPr>
          <w:sz w:val="24"/>
        </w:rPr>
      </w:pPr>
      <w:r>
        <w:tab/>
      </w:r>
      <w:r>
        <w:rPr>
          <w:sz w:val="24"/>
        </w:rPr>
        <w:t xml:space="preserve">Goldstein FW,Coutrot A,et al.Percentages and distributions </w:t>
      </w:r>
      <w:r>
        <w:rPr>
          <w:sz w:val="24"/>
        </w:rPr>
        <w:t>of teicoplanin</w:t>
      </w:r>
      <w:r>
        <w:rPr>
          <w:spacing w:val="40"/>
          <w:sz w:val="24"/>
        </w:rPr>
        <w:t xml:space="preserve">  </w:t>
      </w:r>
      <w:r>
        <w:rPr>
          <w:sz w:val="24"/>
        </w:rPr>
        <w:t>and</w:t>
      </w:r>
      <w:r>
        <w:rPr>
          <w:spacing w:val="40"/>
          <w:sz w:val="24"/>
        </w:rPr>
        <w:t xml:space="preserve">  </w:t>
      </w:r>
      <w:r>
        <w:rPr>
          <w:sz w:val="24"/>
        </w:rPr>
        <w:t>vancomycin-resistant</w:t>
      </w:r>
      <w:r>
        <w:rPr>
          <w:spacing w:val="604"/>
          <w:sz w:val="24"/>
        </w:rPr>
        <w:t xml:space="preserve"> </w:t>
      </w:r>
      <w:r>
        <w:rPr>
          <w:sz w:val="24"/>
        </w:rPr>
        <w:t xml:space="preserve">strainsamong coagulase-negative staphylococci[J].Antimicrob </w:t>
      </w:r>
      <w:r>
        <w:rPr>
          <w:sz w:val="24"/>
        </w:rPr>
        <w:t xml:space="preserve">Agents </w:t>
      </w:r>
      <w:r>
        <w:rPr>
          <w:spacing w:val="-2"/>
          <w:sz w:val="24"/>
        </w:rPr>
        <w:t>Chemother,1990,34(5):899-900</w:t>
      </w:r>
    </w:p>
    <w:p>
      <w:pPr>
        <w:pStyle w:val="ListParagraph"/>
        <w:numPr>
          <w:ilvl w:val="0"/>
          <w:numId w:val="12"/>
        </w:numPr>
        <w:tabs>
          <w:tab w:val="left" w:pos="646"/>
        </w:tabs>
        <w:spacing w:before="3" w:after="0" w:line="364" w:lineRule="auto"/>
        <w:ind w:left="700" w:right="757" w:hanging="480"/>
        <w:jc w:val="both"/>
        <w:rPr>
          <w:sz w:val="24"/>
        </w:rPr>
      </w:pPr>
      <w:r>
        <w:rPr>
          <w:spacing w:val="-4"/>
          <w:sz w:val="24"/>
        </w:rPr>
        <w:t>Schentag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JJ,Hyatt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JM,Carr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JR,et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al.Genesis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methicill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in-resistant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staphylococcus aureus(MRSA),hou treatment of MRSA </w:t>
      </w:r>
      <w:r>
        <w:rPr>
          <w:sz w:val="24"/>
        </w:rPr>
        <w:t xml:space="preserve">infections hasselected for vancomyciresistant Entercoccus faecium,and </w:t>
      </w:r>
      <w:r>
        <w:rPr>
          <w:sz w:val="24"/>
        </w:rPr>
        <w:t>the importance</w:t>
      </w:r>
      <w:r>
        <w:rPr>
          <w:spacing w:val="-30"/>
          <w:sz w:val="24"/>
        </w:rPr>
        <w:t xml:space="preserve"> </w:t>
      </w:r>
      <w:r>
        <w:rPr>
          <w:sz w:val="24"/>
        </w:rPr>
        <w:t>of</w:t>
      </w:r>
      <w:r>
        <w:rPr>
          <w:spacing w:val="-30"/>
          <w:sz w:val="24"/>
        </w:rPr>
        <w:t xml:space="preserve"> </w:t>
      </w:r>
      <w:r>
        <w:rPr>
          <w:sz w:val="24"/>
        </w:rPr>
        <w:t>antibiotic</w:t>
      </w:r>
      <w:r>
        <w:rPr>
          <w:spacing w:val="-30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0"/>
          <w:sz w:val="24"/>
        </w:rPr>
        <w:t xml:space="preserve"> </w:t>
      </w:r>
      <w:r>
        <w:rPr>
          <w:sz w:val="24"/>
        </w:rPr>
        <w:t>and</w:t>
      </w:r>
      <w:r>
        <w:rPr>
          <w:spacing w:val="-30"/>
          <w:sz w:val="24"/>
        </w:rPr>
        <w:t xml:space="preserve"> </w:t>
      </w:r>
      <w:r>
        <w:rPr>
          <w:sz w:val="24"/>
        </w:rPr>
        <w:t>infection</w:t>
      </w:r>
      <w:r>
        <w:rPr>
          <w:spacing w:val="-30"/>
          <w:sz w:val="24"/>
        </w:rPr>
        <w:t xml:space="preserve"> </w:t>
      </w:r>
      <w:r>
        <w:rPr>
          <w:sz w:val="24"/>
        </w:rPr>
        <w:t>control[J].</w:t>
      </w:r>
      <w:r>
        <w:rPr>
          <w:spacing w:val="-30"/>
          <w:sz w:val="24"/>
        </w:rPr>
        <w:t xml:space="preserve"> </w:t>
      </w:r>
      <w:r>
        <w:rPr>
          <w:sz w:val="24"/>
        </w:rPr>
        <w:t>clin Infect Dis,1998,26(5):1204-1214</w:t>
      </w:r>
    </w:p>
    <w:p>
      <w:pPr>
        <w:pStyle w:val="ListParagraph"/>
        <w:numPr>
          <w:ilvl w:val="0"/>
          <w:numId w:val="12"/>
        </w:numPr>
        <w:tabs>
          <w:tab w:val="left" w:pos="700"/>
        </w:tabs>
        <w:spacing w:before="3" w:after="0" w:line="364" w:lineRule="auto"/>
        <w:ind w:left="700" w:right="658" w:hanging="480"/>
        <w:jc w:val="both"/>
        <w:rPr>
          <w:sz w:val="24"/>
        </w:rPr>
      </w:pPr>
      <w:r>
        <w:rPr>
          <w:spacing w:val="-4"/>
          <w:sz w:val="24"/>
        </w:rPr>
        <w:t xml:space="preserve">祝进,徐礼锋,陆军,等. </w:t>
      </w:r>
      <w:r>
        <w:rPr>
          <w:spacing w:val="-2"/>
          <w:sz w:val="24"/>
        </w:rPr>
        <w:t>1323</w:t>
      </w:r>
      <w:r>
        <w:rPr>
          <w:spacing w:val="-7"/>
          <w:sz w:val="24"/>
        </w:rPr>
        <w:t xml:space="preserve"> 例血培养病原菌分布和耐药性分析</w:t>
      </w:r>
      <w:r>
        <w:rPr>
          <w:spacing w:val="-2"/>
          <w:sz w:val="24"/>
        </w:rPr>
        <w:t>[J].检验医</w:t>
      </w:r>
      <w:r>
        <w:rPr>
          <w:spacing w:val="-2"/>
          <w:sz w:val="24"/>
        </w:rPr>
        <w:t>学，2005，20(4)：378-381.</w:t>
      </w:r>
    </w:p>
    <w:p>
      <w:pPr>
        <w:pStyle w:val="BodyText"/>
        <w:ind w:left="0"/>
      </w:pPr>
    </w:p>
    <w:p>
      <w:pPr>
        <w:pStyle w:val="Heading1"/>
        <w:spacing w:before="189"/>
      </w:pPr>
      <w:bookmarkStart w:id="15" w:name="_TOC_250001"/>
      <w:bookmarkEnd w:id="15"/>
      <w:r>
        <w:rPr>
          <w:spacing w:val="-4"/>
        </w:rPr>
        <w:t>略缩词</w:t>
      </w:r>
    </w:p>
    <w:p>
      <w:pPr>
        <w:pStyle w:val="BodyText"/>
        <w:ind w:left="0"/>
        <w:rPr>
          <w:rFonts w:ascii="黑体"/>
          <w:sz w:val="32"/>
        </w:rPr>
      </w:pPr>
    </w:p>
    <w:p>
      <w:pPr>
        <w:pStyle w:val="BodyText"/>
        <w:spacing w:before="245"/>
      </w:pPr>
      <w:r>
        <w:t xml:space="preserve">超广谱β-内酰胺酶：Extended spectrum beta lactamases </w:t>
      </w:r>
      <w:r>
        <w:rPr>
          <w:spacing w:val="-2"/>
        </w:rPr>
        <w:t>ESBLs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https://d.book118.com/917033004033006050</w:t>
        </w:r>
      </w:hyperlink>
    </w:p>
    <w:p>
      <w:pPr>
        <w:spacing w:after="0"/>
      </w:pPr>
    </w:p>
    <w:sectPr>
      <w:headerReference w:type="default" r:id="rId18"/>
      <w:pgSz w:w="11910" w:h="16840"/>
      <w:pgMar w:top="1380" w:right="1140" w:bottom="280" w:left="1580" w:header="893" w:foo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49" style="mso-position-horizontal-relative:page;mso-position-vertical-relative:page;position:absolute;z-index:-251658240" from="88.55pt,54.25pt" to="506.75pt,54.25pt" stroked="t" strokecolor="black" strokeweight="0.75pt">
          <v:stroke dashstyle="solid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0" style="mso-position-horizontal-relative:page;mso-position-vertical-relative:page;position:absolute;z-index:-251657216" from="88.55pt,54.25pt" to="506.75pt,54.25pt" stroked="t" strokecolor="black" strokeweight="0.75pt">
          <v:stroke dashstyle="solid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1" style="mso-position-horizontal-relative:page;mso-position-vertical-relative:page;position:absolute;z-index:-251656192" from="88.55pt,54.25pt" to="506.75pt,54.25pt" stroked="t" strokecolor="black" strokeweight="0.75pt">
          <v:stroke dashstyle="solid"/>
        </v:lin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2" style="mso-position-horizontal-relative:page;mso-position-vertical-relative:page;position:absolute;z-index:-251655168" from="88.55pt,54.25pt" to="506.75pt,54.25pt" stroked="t" strokecolor="black" strokeweight="0.75pt">
          <v:stroke dashstyle="solid"/>
        </v:lin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3" style="mso-position-horizontal-relative:page;mso-position-vertical-relative:page;position:absolute;z-index:-251654144" from="88.55pt,54.25pt" to="506.75pt,54.25pt" stroked="t" strokecolor="black" strokeweight="0.75pt">
          <v:stroke dashstyle="solid"/>
        </v:lin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4" style="mso-position-horizontal-relative:page;mso-position-vertical-relative:page;position:absolute;z-index:-251653120" from="88.55pt,54.25pt" to="506.75pt,54.25pt" stroked="t" strokecolor="black" strokeweight="0.75pt">
          <v:stroke dashstyle="solid"/>
        </v:lin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5" style="mso-position-horizontal-relative:page;mso-position-vertical-relative:page;position:absolute;z-index:-251652096" from="88.55pt,54.25pt" to="506.75pt,54.25pt" stroked="t" strokecolor="black" strokeweight="0.75pt">
          <v:stroke dashstyle="solid"/>
        </v:lin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6" style="mso-position-horizontal-relative:page;mso-position-vertical-relative:page;position:absolute;z-index:-251651072" from="88.55pt,54.25pt" to="506.75pt,54.25pt" stroked="t" strokecolor="black" strokeweight="0.75pt">
          <v:stroke dashstyle="solid"/>
        </v:lin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7" style="mso-position-horizontal-relative:page;mso-position-vertical-relative:page;position:absolute;z-index:-251650048" from="88.55pt,54.25pt" to="506.75pt,54.25pt" stroked="t" strokecolor="black" strokeweight="0.75pt">
          <v:stroke dashstyle="solid"/>
        </v:lin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8" style="mso-position-horizontal-relative:page;mso-position-vertical-relative:page;position:absolute;z-index:-251649024" from="88.55pt,54.25pt" to="506.75pt,54.25pt" stroked="t" strokecolor="black" strokeweight="0.75pt">
          <v:stroke dashstyle="solid"/>
        </v:lin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line id="_x0000_s2059" style="mso-position-horizontal-relative:page;mso-position-vertical-relative:page;position:absolute;z-index:-251648000" from="88.55pt,54.25pt" to="506.75pt,54.25pt" stroked="t" strokecolor="black" strokeweight="0.75pt">
          <v:stroke dashstyle="solid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36B39"/>
    <w:multiLevelType w:val="hybridMultilevel"/>
    <w:tmpl w:val="00000000"/>
    <w:lvl w:ilvl="0">
      <w:start w:val="5"/>
      <w:numFmt w:val="decimal"/>
      <w:lvlText w:val="%1"/>
      <w:lvlJc w:val="left"/>
      <w:pPr>
        <w:ind w:left="820" w:hanging="60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82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%3."/>
      <w:lvlJc w:val="left"/>
      <w:pPr>
        <w:ind w:left="2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2"/>
        <w:szCs w:val="2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75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091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07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23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3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4" w:hanging="361"/>
      </w:pPr>
      <w:rPr>
        <w:rFonts w:hint="default"/>
        <w:lang w:val="en-US" w:eastAsia="zh-CN" w:bidi="ar-SA"/>
      </w:rPr>
    </w:lvl>
  </w:abstractNum>
  <w:abstractNum w:abstractNumId="1">
    <w:nsid w:val="06578B66"/>
    <w:multiLevelType w:val="hybridMultilevel"/>
    <w:tmpl w:val="00000000"/>
    <w:lvl w:ilvl="0">
      <w:start w:val="2"/>
      <w:numFmt w:val="decimal"/>
      <w:lvlText w:val="%1"/>
      <w:lvlJc w:val="left"/>
      <w:pPr>
        <w:ind w:left="820" w:hanging="60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93" w:hanging="60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29" w:hanging="6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66" w:hanging="6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6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39" w:hanging="6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76" w:hanging="6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12" w:hanging="600"/>
      </w:pPr>
      <w:rPr>
        <w:rFonts w:hint="default"/>
        <w:lang w:val="en-US" w:eastAsia="zh-CN" w:bidi="ar-SA"/>
      </w:rPr>
    </w:lvl>
  </w:abstractNum>
  <w:abstractNum w:abstractNumId="2">
    <w:nsid w:val="0BB3A7B5"/>
    <w:multiLevelType w:val="hybridMultilevel"/>
    <w:tmpl w:val="00000000"/>
    <w:lvl w:ilvl="0">
      <w:start w:val="3"/>
      <w:numFmt w:val="decimal"/>
      <w:lvlText w:val="%1."/>
      <w:lvlJc w:val="left"/>
      <w:pPr>
        <w:ind w:left="10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3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4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60" w:hanging="361"/>
      </w:pPr>
      <w:rPr>
        <w:rFonts w:hint="default"/>
        <w:lang w:val="en-US" w:eastAsia="zh-CN" w:bidi="ar-SA"/>
      </w:rPr>
    </w:lvl>
  </w:abstractNum>
  <w:abstractNum w:abstractNumId="3">
    <w:nsid w:val="0DAF464B"/>
    <w:multiLevelType w:val="hybridMultilevel"/>
    <w:tmpl w:val="00000000"/>
    <w:lvl w:ilvl="0">
      <w:start w:val="9"/>
      <w:numFmt w:val="decimal"/>
      <w:lvlText w:val="%1"/>
      <w:lvlJc w:val="left"/>
      <w:pPr>
        <w:ind w:left="820" w:hanging="60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180" w:hanging="9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220" w:hanging="6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20"/>
        <w:w w:val="100"/>
        <w:sz w:val="22"/>
        <w:szCs w:val="22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340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420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00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0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660" w:hanging="601"/>
      </w:pPr>
      <w:rPr>
        <w:rFonts w:hint="default"/>
        <w:lang w:val="en-US" w:eastAsia="zh-CN" w:bidi="ar-SA"/>
      </w:rPr>
    </w:lvl>
  </w:abstractNum>
  <w:abstractNum w:abstractNumId="4">
    <w:nsid w:val="21D9114E"/>
    <w:multiLevelType w:val="hybridMultilevel"/>
    <w:tmpl w:val="00000000"/>
    <w:lvl w:ilvl="0">
      <w:start w:val="1"/>
      <w:numFmt w:val="decimal"/>
      <w:lvlText w:val="%1."/>
      <w:lvlJc w:val="left"/>
      <w:pPr>
        <w:ind w:left="520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4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82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820" w:hanging="6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15" w:hanging="6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10" w:hanging="6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405" w:hanging="6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600" w:hanging="6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95" w:hanging="600"/>
      </w:pPr>
      <w:rPr>
        <w:rFonts w:hint="default"/>
        <w:lang w:val="en-US" w:eastAsia="zh-CN" w:bidi="ar-SA"/>
      </w:rPr>
    </w:lvl>
  </w:abstractNum>
  <w:abstractNum w:abstractNumId="5">
    <w:nsid w:val="274062E6"/>
    <w:multiLevelType w:val="hybridMultilevel"/>
    <w:tmpl w:val="00000000"/>
    <w:lvl w:ilvl="0">
      <w:start w:val="1"/>
      <w:numFmt w:val="decimal"/>
      <w:lvlText w:val="[%1]"/>
      <w:lvlJc w:val="left"/>
      <w:pPr>
        <w:ind w:left="1018" w:hanging="3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36" w:hanging="37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53" w:hanging="37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69" w:hanging="37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86" w:hanging="37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03" w:hanging="37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19" w:hanging="37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6" w:hanging="37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52" w:hanging="373"/>
      </w:pPr>
      <w:rPr>
        <w:rFonts w:hint="default"/>
        <w:lang w:val="en-US" w:eastAsia="zh-CN" w:bidi="ar-SA"/>
      </w:rPr>
    </w:lvl>
  </w:abstractNum>
  <w:abstractNum w:abstractNumId="6">
    <w:nsid w:val="304FD739"/>
    <w:multiLevelType w:val="hybridMultilevel"/>
    <w:tmpl w:val="00000000"/>
    <w:lvl w:ilvl="0">
      <w:start w:val="11"/>
      <w:numFmt w:val="decimal"/>
      <w:lvlText w:val="%1"/>
      <w:lvlJc w:val="left"/>
      <w:pPr>
        <w:ind w:left="940" w:hanging="72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%3."/>
      <w:lvlJc w:val="left"/>
      <w:pPr>
        <w:ind w:left="2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162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73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84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49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606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17" w:hanging="361"/>
      </w:pPr>
      <w:rPr>
        <w:rFonts w:hint="default"/>
        <w:lang w:val="en-US" w:eastAsia="zh-CN" w:bidi="ar-SA"/>
      </w:rPr>
    </w:lvl>
  </w:abstractNum>
  <w:abstractNum w:abstractNumId="7">
    <w:nsid w:val="3FABAEF9"/>
    <w:multiLevelType w:val="hybridMultilevel"/>
    <w:tmpl w:val="00000000"/>
    <w:lvl w:ilvl="0">
      <w:start w:val="1"/>
      <w:numFmt w:val="decimal"/>
      <w:lvlText w:val="%1."/>
      <w:lvlJc w:val="left"/>
      <w:pPr>
        <w:ind w:left="10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7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8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9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1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2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3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4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60" w:hanging="361"/>
      </w:pPr>
      <w:rPr>
        <w:rFonts w:hint="default"/>
        <w:lang w:val="en-US" w:eastAsia="zh-CN" w:bidi="ar-SA"/>
      </w:rPr>
    </w:lvl>
  </w:abstractNum>
  <w:abstractNum w:abstractNumId="8">
    <w:nsid w:val="551C3DF0"/>
    <w:multiLevelType w:val="hybridMultilevel"/>
    <w:tmpl w:val="00000000"/>
    <w:lvl w:ilvl="0">
      <w:start w:val="1"/>
      <w:numFmt w:val="decimal"/>
      <w:lvlText w:val="[%1]"/>
      <w:lvlJc w:val="left"/>
      <w:pPr>
        <w:ind w:left="700" w:hanging="48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48" w:hanging="4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45" w:hanging="4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4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43" w:hanging="4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91" w:hanging="4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0" w:hanging="4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88" w:hanging="480"/>
      </w:pPr>
      <w:rPr>
        <w:rFonts w:hint="default"/>
        <w:lang w:val="en-US" w:eastAsia="zh-CN" w:bidi="ar-SA"/>
      </w:rPr>
    </w:lvl>
  </w:abstractNum>
  <w:abstractNum w:abstractNumId="9">
    <w:nsid w:val="5D65B15E"/>
    <w:multiLevelType w:val="hybridMultilevel"/>
    <w:tmpl w:val="00000000"/>
    <w:lvl w:ilvl="0">
      <w:start w:val="1"/>
      <w:numFmt w:val="decimal"/>
      <w:lvlText w:val="%1"/>
      <w:lvlJc w:val="left"/>
      <w:pPr>
        <w:ind w:left="710" w:hanging="49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10" w:hanging="490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990" w:hanging="770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19" w:hanging="7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28" w:hanging="7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38" w:hanging="7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47" w:hanging="7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57" w:hanging="7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66" w:hanging="770"/>
      </w:pPr>
      <w:rPr>
        <w:rFonts w:hint="default"/>
        <w:lang w:val="en-US" w:eastAsia="zh-CN" w:bidi="ar-SA"/>
      </w:rPr>
    </w:lvl>
  </w:abstractNum>
  <w:abstractNum w:abstractNumId="10">
    <w:nsid w:val="63CD0DBD"/>
    <w:multiLevelType w:val="hybridMultilevel"/>
    <w:tmpl w:val="00000000"/>
    <w:lvl w:ilvl="0">
      <w:start w:val="5"/>
      <w:numFmt w:val="decimal"/>
      <w:lvlText w:val="%1"/>
      <w:lvlJc w:val="left"/>
      <w:pPr>
        <w:ind w:left="820" w:hanging="60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24" w:hanging="60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76" w:hanging="6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28" w:hanging="6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080" w:hanging="6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132" w:hanging="6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184" w:hanging="6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236" w:hanging="600"/>
      </w:pPr>
      <w:rPr>
        <w:rFonts w:hint="default"/>
        <w:lang w:val="en-US" w:eastAsia="zh-CN" w:bidi="ar-SA"/>
      </w:rPr>
    </w:lvl>
  </w:abstractNum>
  <w:abstractNum w:abstractNumId="11">
    <w:nsid w:val="74CDE10E"/>
    <w:multiLevelType w:val="hybridMultilevel"/>
    <w:tmpl w:val="00000000"/>
    <w:lvl w:ilvl="0">
      <w:start w:val="1"/>
      <w:numFmt w:val="decimal"/>
      <w:lvlText w:val="[%1]"/>
      <w:lvlJc w:val="left"/>
      <w:pPr>
        <w:ind w:left="703" w:hanging="48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4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9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4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4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9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4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88" w:hanging="484"/>
      </w:pPr>
      <w:rPr>
        <w:rFonts w:hint="default"/>
        <w:lang w:val="en-US" w:eastAsia="zh-CN" w:bidi="ar-SA"/>
      </w:rPr>
    </w:lvl>
  </w:abstractNum>
  <w:abstractNum w:abstractNumId="12">
    <w:nsid w:val="7BE29370"/>
    <w:multiLevelType w:val="hybridMultilevel"/>
    <w:tmpl w:val="00000000"/>
    <w:lvl w:ilvl="0">
      <w:start w:val="1"/>
      <w:numFmt w:val="decimal"/>
      <w:lvlText w:val="%1"/>
      <w:lvlJc w:val="left"/>
      <w:pPr>
        <w:ind w:left="820" w:hanging="60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180" w:hanging="9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215" w:hanging="9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33" w:hanging="9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251" w:hanging="9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268" w:hanging="9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286" w:hanging="9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304" w:hanging="960"/>
      </w:pPr>
      <w:rPr>
        <w:rFonts w:hint="default"/>
        <w:lang w:val="en-US" w:eastAsia="zh-CN" w:bidi="ar-SA"/>
      </w:rPr>
    </w:lvl>
  </w:abstractNum>
  <w:abstractNum w:abstractNumId="13">
    <w:nsid w:val="7E7D4E2B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321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30"/>
        <w:szCs w:val="30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0" w:hanging="600"/>
        <w:jc w:val="left"/>
      </w:pPr>
      <w:rPr>
        <w:rFonts w:hint="default"/>
        <w:w w:val="10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060" w:hanging="600"/>
        <w:jc w:val="left"/>
      </w:pPr>
      <w:rPr>
        <w:rFonts w:ascii="黑体" w:eastAsia="黑体" w:hAnsi="黑体" w:cs="黑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000" w:hanging="6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060" w:hanging="6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120" w:hanging="6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308" w:hanging="6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496" w:hanging="6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684" w:hanging="600"/>
      </w:pPr>
      <w:rPr>
        <w:rFonts w:hint="default"/>
        <w:lang w:val="en-US" w:eastAsia="zh-CN" w:bidi="ar-SA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12"/>
  </w:num>
  <w:num w:numId="11">
    <w:abstractNumId w:val="11"/>
  </w:num>
  <w:num w:numId="12">
    <w:abstractNumId w:val="8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55"/>
      <w:ind w:left="220"/>
      <w:outlineLvl w:val="0"/>
    </w:pPr>
    <w:rPr>
      <w:rFonts w:ascii="黑体" w:eastAsia="黑体" w:hAnsi="黑体" w:cs="黑体"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before="58"/>
      <w:outlineLvl w:val="1"/>
    </w:pPr>
    <w:rPr>
      <w:rFonts w:ascii="宋体" w:eastAsia="宋体" w:hAnsi="宋体" w:cs="宋体"/>
      <w:sz w:val="30"/>
      <w:szCs w:val="30"/>
      <w:lang w:val="en-US" w:eastAsia="zh-CN" w:bidi="ar-SA"/>
    </w:rPr>
  </w:style>
  <w:style w:type="paragraph" w:styleId="Heading3">
    <w:name w:val="heading 3"/>
    <w:basedOn w:val="Normal"/>
    <w:uiPriority w:val="1"/>
    <w:qFormat/>
    <w:pPr>
      <w:spacing w:before="58"/>
      <w:ind w:left="990" w:hanging="770"/>
      <w:outlineLvl w:val="2"/>
    </w:pPr>
    <w:rPr>
      <w:rFonts w:ascii="黑体" w:eastAsia="黑体" w:hAnsi="黑体" w:cs="黑体"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60"/>
      <w:ind w:left="820" w:hanging="600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160"/>
      <w:ind w:left="520" w:hanging="300"/>
    </w:pPr>
    <w:rPr>
      <w:rFonts w:ascii="宋体" w:eastAsia="宋体" w:hAnsi="宋体" w:cs="宋体"/>
      <w:b/>
      <w:bCs/>
      <w:i/>
      <w:iCs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220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83"/>
      <w:ind w:left="539"/>
      <w:jc w:val="center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4"/>
      <w:ind w:left="820" w:hanging="60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80"/>
      <w:jc w:val="center"/>
    </w:pPr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image" Target="media/image2.png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header" Target="header9.xml" /><Relationship Id="rId15" Type="http://schemas.openxmlformats.org/officeDocument/2006/relationships/header" Target="header10.xml" /><Relationship Id="rId16" Type="http://schemas.openxmlformats.org/officeDocument/2006/relationships/image" Target="media/image3.jpeg" /><Relationship Id="rId17" Type="http://schemas.openxmlformats.org/officeDocument/2006/relationships/hyperlink" Target="https://d.book118.com/917033004033006050" TargetMode="External" /><Relationship Id="rId18" Type="http://schemas.openxmlformats.org/officeDocument/2006/relationships/header" Target="header11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1.png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2024-03-04T12:40:56Z</dcterms:created>
  <dcterms:modified xsi:type="dcterms:W3CDTF">2024-03-04T12:40:56Z</dcterms:modified>
</cp:coreProperties>
</file>