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汽缸体行业相关公司筹备报告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0" w:history="1">
        <w:r>
          <w:rPr>
            <w:rFonts w:ascii="仿宋" w:eastAsia="仿宋" w:hAnsi="仿宋" w:cs="仿宋" w:hint="eastAsia"/>
            <w:lang w:eastAsia="zh-CN"/>
          </w:rPr>
          <w:t>一、汽缸体筹建公司基本信息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_Toc4026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_Toc11860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_Toc11615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_Toc19221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_Toc27571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_Toc7052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_Toc28417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_Toc3588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_Toc13183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_Toc23766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_Toc25606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_Toc31633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_Toc9626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9" w:history="1">
        <w:r>
          <w:rPr>
            <w:rFonts w:ascii="仿宋" w:eastAsia="仿宋" w:hAnsi="仿宋" w:cs="仿宋" w:hint="eastAsia"/>
            <w:lang w:eastAsia="zh-CN"/>
          </w:rPr>
          <w:t>(一)、汽缸体项目选址原则</w:t>
        </w:r>
        <w:r>
          <w:tab/>
        </w:r>
        <w:r>
          <w:fldChar w:fldCharType="begin"/>
        </w:r>
        <w:r>
          <w:instrText xml:space="preserve"> PAGEREF _Toc16109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_Toc12381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8" w:history="1">
        <w:r>
          <w:rPr>
            <w:rFonts w:ascii="仿宋" w:eastAsia="仿宋" w:hAnsi="仿宋" w:cs="仿宋" w:hint="eastAsia"/>
            <w:lang w:eastAsia="zh-CN"/>
          </w:rPr>
          <w:t>(五)、汽缸体项目选址综合评价</w:t>
        </w:r>
        <w:r>
          <w:tab/>
        </w:r>
        <w:r>
          <w:fldChar w:fldCharType="begin"/>
        </w:r>
        <w:r>
          <w:instrText xml:space="preserve"> PAGEREF _Toc20578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_Toc6108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_Toc14064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_Toc10063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_Toc30024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_Toc17842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8" w:history="1">
        <w:r>
          <w:rPr>
            <w:rFonts w:ascii="仿宋" w:eastAsia="仿宋" w:hAnsi="仿宋" w:cs="仿宋" w:hint="eastAsia"/>
            <w:lang w:eastAsia="zh-CN"/>
          </w:rPr>
          <w:t>(一)、汽缸体项目背景分析</w:t>
        </w:r>
        <w:r>
          <w:tab/>
        </w:r>
        <w:r>
          <w:fldChar w:fldCharType="begin"/>
        </w:r>
        <w:r>
          <w:instrText xml:space="preserve"> PAGEREF _Toc9298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(二)、汽缸体项目建设必要性分析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_Toc22674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eastAsia="zh-CN"/>
          </w:rPr>
          <w:t>八、汽缸体项目经济效益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_Toc23434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_Toc6728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8" w:history="1">
        <w:r>
          <w:rPr>
            <w:rFonts w:ascii="仿宋" w:eastAsia="仿宋" w:hAnsi="仿宋" w:cs="仿宋" w:hint="eastAsia"/>
            <w:lang w:eastAsia="zh-CN"/>
          </w:rPr>
          <w:t>(三)、汽缸体项目盈利能力分析</w:t>
        </w:r>
        <w:r>
          <w:tab/>
        </w:r>
        <w:r>
          <w:fldChar w:fldCharType="begin"/>
        </w:r>
        <w:r>
          <w:instrText xml:space="preserve"> PAGEREF _Toc24848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_Toc20385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_Toc5987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_Toc12592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_Toc16861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_Toc31037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_Toc5345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_Toc5390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_Toc25774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_Toc14374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_Toc31052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7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_Toc13897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5" w:history="1">
        <w:r>
          <w:rPr>
            <w:rFonts w:ascii="仿宋" w:eastAsia="仿宋" w:hAnsi="仿宋" w:cs="仿宋" w:hint="eastAsia"/>
            <w:lang w:eastAsia="zh-CN"/>
          </w:rPr>
          <w:t>(一)、汽缸体项目进度安排</w:t>
        </w:r>
        <w:r>
          <w:tab/>
        </w:r>
        <w:r>
          <w:fldChar w:fldCharType="begin"/>
        </w:r>
        <w:r>
          <w:instrText xml:space="preserve"> PAGEREF _Toc29125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(二)、汽缸体项目实施保障措施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3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_Toc32232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_Toc11425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5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_Toc25985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_Toc21151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(二)、合作汽缸体项目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_Toc5732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_Toc30848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_Toc13907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11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_Toc13211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_Toc16587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8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_Toc21168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_Toc8545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560"/>
      <w:r>
        <w:rPr>
          <w:rFonts w:ascii="仿宋" w:eastAsia="仿宋" w:hAnsi="仿宋" w:cs="仿宋" w:hint="eastAsia"/>
          <w:sz w:val="28"/>
          <w:lang w:eastAsia="zh-CN"/>
        </w:rPr>
        <w:t>一、汽缸体筹建公司基本信息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2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04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49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86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61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经营范围：从事XXX相关业务(企业依法自主选择经营汽缸体项目，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开展经营活动；依法须经批准的汽缸体项目，经相关部门批准后依批准的内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容开展经营活动；不得从事本市产业政策禁止和限制类汽缸体项目的经营活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90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https://d.book118.com/917051040064006043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705104006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2024-02-04T02:37:00Z</dcterms:created>
  <dcterms:modified xsi:type="dcterms:W3CDTF">2024-02-04T02:37:35Z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204F89BEF56440BC8E79543E1CD3E9AA_11</vt:lpwstr>
  </property>
  <property fmtid="{D5CDD505-2E9C-101B-9397-08002B2CF9AE}" pid="3" name="KSOProductBuildVer">
    <vt:lpwstr>2052-12.1.0.16250</vt:lpwstr>
  </property>
</Properties>
</file>