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widowControl/>
        <w:jc w:val="center"/>
        <w:rPr>
          <w:rFonts w:asciiTheme="minorEastAsia" w:hAnsiTheme="minorEastAsia" w:cs="Times New Roman"/>
          <w:b/>
          <w:bCs/>
          <w:color w:val="002060"/>
          <w:sz w:val="48"/>
          <w:szCs w:val="32"/>
        </w:rPr>
      </w:pPr>
      <w:bookmarkStart w:id="0" w:name="_GoBack"/>
      <w:r>
        <w:rPr>
          <w:rFonts w:ascii="华文行楷" w:eastAsia="华文行楷" w:hAnsi="华文行楷" w:cs="华文行楷" w:hint="eastAsia"/>
          <w:b/>
          <w:bCs/>
          <w:color w:val="002060"/>
          <w:sz w:val="48"/>
          <w:szCs w:val="32"/>
        </w:rPr>
        <w:t>2024年大学试题(财经商贸)-金融学历年考试高频考点试题附带答案</w:t>
      </w:r>
      <w:bookmarkEnd w:id="0"/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2"/>
          <w:szCs w:val="32"/>
        </w:rPr>
        <w:sectPr>
          <w:headerReference w:type="even" r:id="rId6"/>
          <w:headerReference w:type="default" r:id="rId7"/>
          <w:footerReference w:type="even" r:id="rId8"/>
          <w:headerReference w:type="first" r:id="rId9"/>
          <w:footerReference w:type="first" r:id="rId10"/>
          <w:pgSz w:w="11906" w:h="16838"/>
          <w:pgMar w:top="720" w:right="720" w:bottom="720" w:left="720" w:header="851" w:footer="992" w:gutter="0"/>
          <w:cols w:num="1" w:space="425"/>
          <w:docGrid w:type="lines" w:linePitch="312" w:charSpace="0"/>
        </w:sectPr>
      </w:pPr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2"/>
          <w:szCs w:val="32"/>
        </w:rPr>
      </w:pPr>
      <w:r>
        <w:rPr>
          <w:rFonts w:ascii="宋体" w:eastAsia="宋体" w:hAnsi="宋体" w:cs="Times New Roman" w:hint="eastAsia"/>
          <w:b/>
          <w:bCs/>
          <w:color w:val="00B050"/>
          <w:sz w:val="22"/>
          <w:szCs w:val="32"/>
        </w:rPr>
        <w:t>（图片大小可自由调整）</w:t>
      </w:r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2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32"/>
          <w:szCs w:val="32"/>
        </w:rPr>
        <w:t>第1卷</w:t>
      </w: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28"/>
          <w:szCs w:val="32"/>
        </w:rPr>
        <w:t>一.参考题库(共25题)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1.</w:t>
      </w:r>
      <w:r>
        <w:rPr>
          <w:rFonts w:ascii="黑体" w:eastAsia="黑体" w:hAnsi="黑体" w:cs="黑体" w:hint="eastAsia"/>
          <w:sz w:val="24"/>
          <w:szCs w:val="28"/>
        </w:rPr>
        <w:t>各国金融监管体系基本相同的构成是（）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A、组织体制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B、手段与方法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C、目标与原则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D、内容与措施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2.</w:t>
      </w:r>
      <w:r>
        <w:rPr>
          <w:rFonts w:ascii="黑体" w:eastAsia="黑体" w:hAnsi="黑体" w:cs="黑体" w:hint="eastAsia"/>
          <w:sz w:val="24"/>
          <w:szCs w:val="28"/>
        </w:rPr>
        <w:t>复利计息法对借款人有利，对银行不利（ ）</w:t>
      </w: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3.</w:t>
      </w:r>
      <w:r>
        <w:rPr>
          <w:rFonts w:ascii="黑体" w:eastAsia="黑体" w:hAnsi="黑体" w:cs="黑体" w:hint="eastAsia"/>
          <w:sz w:val="24"/>
          <w:szCs w:val="28"/>
        </w:rPr>
        <w:t>证券投资者的预期收益具有较大的不确定性，风险很大（ ）</w:t>
      </w: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4.</w:t>
      </w:r>
      <w:r>
        <w:rPr>
          <w:rFonts w:ascii="黑体" w:eastAsia="黑体" w:hAnsi="黑体" w:cs="黑体" w:hint="eastAsia"/>
          <w:sz w:val="24"/>
          <w:szCs w:val="28"/>
        </w:rPr>
        <w:t>风险度量</w:t>
      </w: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5.</w:t>
      </w:r>
      <w:r>
        <w:rPr>
          <w:rFonts w:ascii="黑体" w:eastAsia="黑体" w:hAnsi="黑体" w:cs="黑体" w:hint="eastAsia"/>
          <w:sz w:val="24"/>
          <w:szCs w:val="28"/>
        </w:rPr>
        <w:t>对投资和储蓄有显著影响的货币政策中介指标是（）</w:t>
      </w: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A、基础货币</w:t>
      </w: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B、长期利率</w:t>
      </w: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C、短期利率</w:t>
      </w: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D、超额准备金</w:t>
      </w: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6.</w:t>
      </w:r>
      <w:r>
        <w:rPr>
          <w:rFonts w:ascii="黑体" w:eastAsia="黑体" w:hAnsi="黑体" w:cs="黑体" w:hint="eastAsia"/>
          <w:sz w:val="24"/>
          <w:szCs w:val="28"/>
        </w:rPr>
        <w:t>在下面各种因素中，能够对利率水平产生决定和影响因素的有（）。</w:t>
      </w: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A、平均利润率水平</w:t>
      </w: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B、物价水平</w:t>
      </w: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C、借贷资本的供求</w:t>
      </w: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D、国际利率水平</w:t>
      </w: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7.</w:t>
      </w:r>
      <w:r>
        <w:rPr>
          <w:rFonts w:ascii="黑体" w:eastAsia="黑体" w:hAnsi="黑体" w:cs="黑体" w:hint="eastAsia"/>
          <w:sz w:val="24"/>
          <w:szCs w:val="28"/>
        </w:rPr>
        <w:t>金融工具的变现能力指的是金融工具的（）</w:t>
      </w: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11"/>
          <w:headerReference w:type="default" r:id="rId12"/>
          <w:footerReference w:type="even" r:id="rId13"/>
          <w:headerReference w:type="first" r:id="rId14"/>
          <w:footerReference w:type="first" r:id="rId15"/>
          <w:type w:val="continuous"/>
          <w:pgSz w:w="11906" w:h="16838"/>
          <w:pgMar w:top="720" w:right="720" w:bottom="720" w:left="720" w:header="851" w:footer="992" w:gutter="0"/>
          <w:pgNumType w:start="2"/>
          <w:cols w:num="1" w:space="720"/>
          <w:docGrid w:type="lines" w:linePitch="312" w:charSpace="0"/>
        </w:sectPr>
      </w:pPr>
      <w:r>
        <w:rPr>
          <w:rFonts w:ascii="黑体" w:eastAsia="黑体" w:hAnsi="黑体" w:cs="黑体" w:hint="eastAsia"/>
          <w:sz w:val="24"/>
          <w:szCs w:val="28"/>
        </w:rPr>
        <w:t>A、流动性</w:t>
      </w: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B、风险性</w:t>
      </w: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C、收益性</w:t>
      </w: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D、期限性</w:t>
      </w: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8.</w:t>
      </w:r>
      <w:r>
        <w:rPr>
          <w:rFonts w:ascii="黑体" w:eastAsia="黑体" w:hAnsi="黑体" w:cs="黑体" w:hint="eastAsia"/>
          <w:sz w:val="24"/>
          <w:szCs w:val="28"/>
        </w:rPr>
        <w:t>短期政府债券的特点是（）</w:t>
      </w: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A、风险大、流动性强</w:t>
      </w: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B、风险小，流动性强</w:t>
      </w: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C、风险小，流动性弱</w:t>
      </w: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D、风险大，流动性弱</w:t>
      </w: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9.</w:t>
      </w:r>
      <w:r>
        <w:rPr>
          <w:rFonts w:ascii="黑体" w:eastAsia="黑体" w:hAnsi="黑体" w:cs="黑体" w:hint="eastAsia"/>
          <w:sz w:val="24"/>
          <w:szCs w:val="28"/>
        </w:rPr>
        <w:t>金本位制包括（）</w:t>
      </w: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A、金银本位</w:t>
      </w: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B、金币本位</w:t>
      </w: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C、金块本位</w:t>
      </w: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D、金汇兑本位</w:t>
      </w: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E、双本位</w:t>
      </w: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10.</w:t>
      </w:r>
      <w:r>
        <w:rPr>
          <w:rFonts w:ascii="黑体" w:eastAsia="黑体" w:hAnsi="黑体" w:cs="黑体" w:hint="eastAsia"/>
          <w:sz w:val="24"/>
          <w:szCs w:val="28"/>
        </w:rPr>
        <w:t>国际资本流动的不利影响主要有（）。</w:t>
      </w: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A、对国际收支的冲击</w:t>
      </w: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B、对国内金融市场的冲击</w:t>
      </w: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C、对经济主权的冲击</w:t>
      </w: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D、对汇率的冲击</w:t>
      </w: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11.</w:t>
      </w:r>
      <w:r>
        <w:rPr>
          <w:rFonts w:ascii="黑体" w:eastAsia="黑体" w:hAnsi="黑体" w:cs="黑体" w:hint="eastAsia"/>
          <w:sz w:val="24"/>
          <w:szCs w:val="28"/>
        </w:rPr>
        <w:t>在货币政策存在国际传导的背景下发展了国际经济政策协调理论。试对国际政策协调的前景作些估计。</w:t>
      </w: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12.</w:t>
      </w:r>
      <w:r>
        <w:rPr>
          <w:rFonts w:ascii="黑体" w:eastAsia="黑体" w:hAnsi="黑体" w:cs="黑体" w:hint="eastAsia"/>
          <w:sz w:val="24"/>
          <w:szCs w:val="28"/>
        </w:rPr>
        <w:t>票据市场快速发展原因是什么？</w:t>
      </w: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13.</w:t>
      </w:r>
      <w:r>
        <w:rPr>
          <w:rFonts w:ascii="黑体" w:eastAsia="黑体" w:hAnsi="黑体" w:cs="黑体" w:hint="eastAsia"/>
          <w:sz w:val="24"/>
          <w:szCs w:val="28"/>
        </w:rPr>
        <w:t>金融中介机构的发展趋势的特点主要表现为（）</w:t>
      </w: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A、全能型</w:t>
      </w: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B、分工型</w:t>
      </w: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C、不断创新</w:t>
      </w: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D、跨国型</w:t>
      </w: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E、国有化</w:t>
      </w: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14.</w:t>
      </w:r>
      <w:r>
        <w:rPr>
          <w:rFonts w:ascii="黑体" w:eastAsia="黑体" w:hAnsi="黑体" w:cs="黑体" w:hint="eastAsia"/>
          <w:sz w:val="24"/>
          <w:szCs w:val="28"/>
        </w:rPr>
        <w:t>即期交易市场中，交易双方达成协议后，进行付款交割的期限是（）</w:t>
      </w:r>
    </w:p>
    <w:p>
      <w:pPr>
        <w:pStyle w:val="Normal1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A、1-3日内</w:t>
      </w:r>
    </w:p>
    <w:p>
      <w:pPr>
        <w:pStyle w:val="Normal1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B、第3日</w:t>
      </w:r>
    </w:p>
    <w:p>
      <w:pPr>
        <w:pStyle w:val="Normal1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C、第3-4日内</w:t>
      </w:r>
    </w:p>
    <w:p>
      <w:pPr>
        <w:pStyle w:val="Normal1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D、第5日</w:t>
      </w:r>
    </w:p>
    <w:p>
      <w:pPr>
        <w:pStyle w:val="Normal13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15.</w:t>
      </w:r>
      <w:r>
        <w:rPr>
          <w:rFonts w:ascii="黑体" w:eastAsia="黑体" w:hAnsi="黑体" w:cs="黑体" w:hint="eastAsia"/>
          <w:sz w:val="24"/>
          <w:szCs w:val="28"/>
        </w:rPr>
        <w:t>一般性货币政策工具有哪些？</w:t>
      </w: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16.</w:t>
      </w:r>
      <w:r>
        <w:rPr>
          <w:rFonts w:ascii="黑体" w:eastAsia="黑体" w:hAnsi="黑体" w:cs="黑体" w:hint="eastAsia"/>
          <w:sz w:val="24"/>
          <w:szCs w:val="28"/>
        </w:rPr>
        <w:t>提高出口退税率是一种紧缩性财政政策。</w:t>
      </w:r>
    </w:p>
    <w:p>
      <w:pPr>
        <w:pStyle w:val="Normal15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17.</w:t>
      </w:r>
      <w:r>
        <w:rPr>
          <w:rFonts w:ascii="黑体" w:eastAsia="黑体" w:hAnsi="黑体" w:cs="黑体" w:hint="eastAsia"/>
          <w:sz w:val="24"/>
          <w:szCs w:val="28"/>
        </w:rPr>
        <w:t>商品交换原则是（）</w:t>
      </w: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16"/>
          <w:headerReference w:type="default" r:id="rId17"/>
          <w:footerReference w:type="even" r:id="rId18"/>
          <w:headerReference w:type="first" r:id="rId19"/>
          <w:footerReference w:type="first" r:id="rId20"/>
          <w:type w:val="nextPage"/>
          <w:pgSz w:w="11906" w:h="16838"/>
          <w:pgMar w:top="720" w:right="720" w:bottom="720" w:left="720" w:header="851" w:footer="992" w:gutter="0"/>
          <w:pgNumType w:start="3"/>
          <w:cols w:num="1" w:space="720"/>
          <w:titlePg w:val="0"/>
          <w:docGrid w:type="lines" w:linePitch="312" w:charSpace="0"/>
        </w:sectPr>
      </w:pPr>
      <w:r>
        <w:rPr>
          <w:rFonts w:ascii="黑体" w:eastAsia="黑体" w:hAnsi="黑体" w:cs="黑体" w:hint="eastAsia"/>
          <w:sz w:val="24"/>
          <w:szCs w:val="28"/>
        </w:rPr>
        <w:t>A、诚实信用原则</w:t>
      </w: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B、等交换原则</w:t>
      </w: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C、顾客至上原则</w:t>
      </w: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D、互惠互利原则</w:t>
      </w: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18.</w:t>
      </w:r>
      <w:r>
        <w:rPr>
          <w:rFonts w:ascii="黑体" w:eastAsia="黑体" w:hAnsi="黑体" w:cs="黑体" w:hint="eastAsia"/>
          <w:sz w:val="24"/>
          <w:szCs w:val="28"/>
        </w:rPr>
        <w:t>信用证的主要特点是（）</w:t>
      </w: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A、以商业信用为基础</w:t>
      </w: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B、以银行信用为基础</w:t>
      </w: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C、信用证独立于贸易合同</w:t>
      </w: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D、信用证业务是单据化业务</w:t>
      </w: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E、信用证依附于贸易合同</w:t>
      </w: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19.</w:t>
      </w:r>
      <w:r>
        <w:rPr>
          <w:rFonts w:ascii="黑体" w:eastAsia="黑体" w:hAnsi="黑体" w:cs="黑体" w:hint="eastAsia"/>
          <w:sz w:val="24"/>
          <w:szCs w:val="28"/>
        </w:rPr>
        <w:t>转贴现</w:t>
      </w:r>
    </w:p>
    <w:p>
      <w:pPr>
        <w:pStyle w:val="Normal18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20.</w:t>
      </w:r>
      <w:r>
        <w:rPr>
          <w:rFonts w:ascii="黑体" w:eastAsia="黑体" w:hAnsi="黑体" w:cs="黑体" w:hint="eastAsia"/>
          <w:sz w:val="24"/>
          <w:szCs w:val="28"/>
        </w:rPr>
        <w:t>随着商品经济发展，货币的贮藏作用有哪些进展？</w:t>
      </w:r>
    </w:p>
    <w:p>
      <w:pPr>
        <w:pStyle w:val="Normal19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21.</w:t>
      </w:r>
      <w:r>
        <w:rPr>
          <w:rFonts w:ascii="黑体" w:eastAsia="黑体" w:hAnsi="黑体" w:cs="黑体" w:hint="eastAsia"/>
          <w:sz w:val="24"/>
          <w:szCs w:val="28"/>
        </w:rPr>
        <w:t>国际收支</w:t>
      </w:r>
    </w:p>
    <w:p>
      <w:pPr>
        <w:pStyle w:val="Normal20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22.</w:t>
      </w:r>
      <w:r>
        <w:rPr>
          <w:rFonts w:ascii="黑体" w:eastAsia="黑体" w:hAnsi="黑体" w:cs="黑体" w:hint="eastAsia"/>
          <w:sz w:val="24"/>
          <w:szCs w:val="28"/>
        </w:rPr>
        <w:t>2009年在美国联邦基金市场上占联邦基金额84%的拆借期限是（）</w:t>
      </w:r>
    </w:p>
    <w:p>
      <w:pPr>
        <w:pStyle w:val="Normal2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A、7天</w:t>
      </w:r>
    </w:p>
    <w:p>
      <w:pPr>
        <w:pStyle w:val="Normal2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B、14天</w:t>
      </w:r>
    </w:p>
    <w:p>
      <w:pPr>
        <w:pStyle w:val="Normal2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C、20天</w:t>
      </w:r>
    </w:p>
    <w:p>
      <w:pPr>
        <w:pStyle w:val="Normal2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D、隔夜拆借</w:t>
      </w:r>
    </w:p>
    <w:p>
      <w:pPr>
        <w:pStyle w:val="Normal21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23.</w:t>
      </w:r>
      <w:r>
        <w:rPr>
          <w:rFonts w:ascii="黑体" w:eastAsia="黑体" w:hAnsi="黑体" w:cs="黑体" w:hint="eastAsia"/>
          <w:sz w:val="24"/>
          <w:szCs w:val="28"/>
        </w:rPr>
        <w:t>从影响黄金价格变动的因素入手，预测未来黄金价格变动的趋势。</w:t>
      </w:r>
    </w:p>
    <w:p>
      <w:pPr>
        <w:pStyle w:val="Normal22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24.</w:t>
      </w:r>
      <w:r>
        <w:rPr>
          <w:rFonts w:ascii="黑体" w:eastAsia="黑体" w:hAnsi="黑体" w:cs="黑体" w:hint="eastAsia"/>
          <w:sz w:val="24"/>
          <w:szCs w:val="28"/>
        </w:rPr>
        <w:t>证券组合理论的代表人物是（）</w:t>
      </w:r>
    </w:p>
    <w:p>
      <w:pPr>
        <w:pStyle w:val="Normal2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A、马克思</w:t>
      </w:r>
    </w:p>
    <w:p>
      <w:pPr>
        <w:pStyle w:val="Normal2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B、凯恩斯</w:t>
      </w:r>
    </w:p>
    <w:p>
      <w:pPr>
        <w:pStyle w:val="Normal2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C、法默</w:t>
      </w:r>
    </w:p>
    <w:p>
      <w:pPr>
        <w:pStyle w:val="Normal2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D、马科维茨</w:t>
      </w:r>
    </w:p>
    <w:p>
      <w:pPr>
        <w:pStyle w:val="Normal23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25.</w:t>
      </w:r>
      <w:r>
        <w:rPr>
          <w:rFonts w:ascii="黑体" w:eastAsia="黑体" w:hAnsi="黑体" w:cs="黑体" w:hint="eastAsia"/>
          <w:sz w:val="24"/>
          <w:szCs w:val="28"/>
        </w:rPr>
        <w:t>下面属于对市场运作过程监管的有（）。</w:t>
      </w: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A、对盈利能力监管</w:t>
      </w: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B、对流动性监管</w:t>
      </w: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C、对资本质量监管</w:t>
      </w: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4"/>
        <w:jc w:val="center"/>
        <w:rPr>
          <w:rFonts w:ascii="宋体" w:hAnsi="宋体" w:cs="宋体" w:hint="eastAsia"/>
          <w:b/>
          <w:color w:val="000000"/>
          <w:sz w:val="32"/>
          <w:szCs w:val="28"/>
        </w:rPr>
      </w:pPr>
      <w:r>
        <w:rPr>
          <w:rFonts w:ascii="宋体" w:eastAsia="宋体" w:hAnsi="宋体" w:cs="宋体" w:hint="eastAsia"/>
          <w:b/>
          <w:color w:val="000000"/>
          <w:sz w:val="32"/>
          <w:szCs w:val="28"/>
        </w:rPr>
        <w:t>第2卷</w:t>
      </w:r>
    </w:p>
    <w:p>
      <w:pPr>
        <w:pStyle w:val="Normal24"/>
        <w:jc w:val="center"/>
        <w:rPr>
          <w:rFonts w:ascii="宋体" w:hAnsi="宋体" w:cs="宋体" w:hint="eastAsia"/>
          <w:b/>
          <w:color w:val="000000"/>
          <w:sz w:val="32"/>
          <w:szCs w:val="28"/>
        </w:rPr>
      </w:pPr>
    </w:p>
    <w:p>
      <w:pPr>
        <w:pStyle w:val="Normal24"/>
        <w:jc w:val="center"/>
        <w:rPr>
          <w:rFonts w:ascii="宋体" w:hAnsi="宋体" w:cs="宋体" w:hint="eastAsia"/>
          <w:b/>
          <w:color w:val="000000"/>
          <w:sz w:val="32"/>
          <w:szCs w:val="28"/>
        </w:rPr>
      </w:pPr>
    </w:p>
    <w:p>
      <w:pPr>
        <w:pStyle w:val="Normal24"/>
        <w:jc w:val="left"/>
        <w:rPr>
          <w:rFonts w:ascii="宋体" w:hAnsi="宋体" w:cs="宋体" w:hint="eastAsia"/>
          <w:b/>
          <w:color w:val="000000"/>
          <w:sz w:val="28"/>
          <w:szCs w:val="28"/>
        </w:rPr>
      </w:pPr>
      <w:r>
        <w:rPr>
          <w:rFonts w:ascii="宋体" w:eastAsia="宋体" w:hAnsi="宋体" w:cs="宋体" w:hint="eastAsia"/>
          <w:b/>
          <w:color w:val="000000"/>
          <w:sz w:val="28"/>
          <w:szCs w:val="28"/>
        </w:rPr>
        <w:t>一.参考题库(共25题)</w:t>
      </w:r>
    </w:p>
    <w:p>
      <w:pPr>
        <w:pStyle w:val="Normal25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21"/>
          <w:headerReference w:type="default" r:id="rId22"/>
          <w:footerReference w:type="even" r:id="rId23"/>
          <w:headerReference w:type="first" r:id="rId24"/>
          <w:footerReference w:type="first" r:id="rId25"/>
          <w:type w:val="nextPage"/>
          <w:pgSz w:w="11906" w:h="16838"/>
          <w:pgMar w:top="720" w:right="720" w:bottom="720" w:left="720" w:header="851" w:footer="992" w:gutter="0"/>
          <w:pgNumType w:start="4"/>
          <w:cols w:num="1" w:space="720"/>
          <w:titlePg w:val="0"/>
          <w:docGrid w:type="lines" w:linePitch="312" w:charSpace="0"/>
        </w:sectPr>
      </w:pPr>
      <w:r>
        <w:rPr>
          <w:rFonts w:ascii="黑体" w:eastAsia="黑体" w:hAnsi="黑体" w:cs="黑体" w:hint="eastAsia"/>
          <w:sz w:val="24"/>
          <w:szCs w:val="28"/>
        </w:rPr>
        <w:t>1.</w:t>
      </w:r>
      <w:r>
        <w:rPr>
          <w:rFonts w:ascii="黑体" w:eastAsia="黑体" w:hAnsi="黑体" w:cs="黑体" w:hint="eastAsia"/>
          <w:sz w:val="24"/>
          <w:szCs w:val="28"/>
        </w:rPr>
        <w:t>通货膨胀和通货紧缩是在世界政治、经济、社会生活中广泛使用的概念。如何界定这两个概念，分歧甚多，但也没有妨碍它们的广泛使用。你在这方面有什么见解？</w:t>
      </w:r>
    </w:p>
    <w:p>
      <w:pPr>
        <w:pStyle w:val="Normal25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2.</w:t>
      </w:r>
      <w:r>
        <w:rPr>
          <w:rFonts w:ascii="黑体" w:eastAsia="黑体" w:hAnsi="黑体" w:cs="黑体" w:hint="eastAsia"/>
          <w:sz w:val="24"/>
          <w:szCs w:val="28"/>
        </w:rPr>
        <w:t>如何理解货币需求的含义？</w:t>
      </w:r>
    </w:p>
    <w:p>
      <w:pPr>
        <w:pStyle w:val="Normal26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3.</w:t>
      </w:r>
      <w:r>
        <w:rPr>
          <w:rFonts w:ascii="黑体" w:eastAsia="黑体" w:hAnsi="黑体" w:cs="黑体" w:hint="eastAsia"/>
          <w:sz w:val="24"/>
          <w:szCs w:val="28"/>
        </w:rPr>
        <w:t>货币均衡是反映的是（）  </w:t>
      </w:r>
    </w:p>
    <w:p>
      <w:pPr>
        <w:pStyle w:val="Normal2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A、价值运动的情况</w:t>
      </w:r>
    </w:p>
    <w:p>
      <w:pPr>
        <w:pStyle w:val="Normal2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B、资本运动的情况</w:t>
      </w:r>
    </w:p>
    <w:p>
      <w:pPr>
        <w:pStyle w:val="Normal2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C、信贷资金运动的情况</w:t>
      </w:r>
    </w:p>
    <w:p>
      <w:pPr>
        <w:pStyle w:val="Normal2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D、货币运动的状况</w:t>
      </w:r>
    </w:p>
    <w:p>
      <w:pPr>
        <w:pStyle w:val="Normal27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4.</w:t>
      </w:r>
      <w:r>
        <w:rPr>
          <w:rFonts w:ascii="黑体" w:eastAsia="黑体" w:hAnsi="黑体" w:cs="黑体" w:hint="eastAsia"/>
          <w:sz w:val="24"/>
          <w:szCs w:val="28"/>
        </w:rPr>
        <w:t>试述西方的通货紧缩理论。</w:t>
      </w:r>
    </w:p>
    <w:p>
      <w:pPr>
        <w:pStyle w:val="Normal28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5.</w:t>
      </w:r>
      <w:r>
        <w:rPr>
          <w:rFonts w:ascii="黑体" w:eastAsia="黑体" w:hAnsi="黑体" w:cs="黑体" w:hint="eastAsia"/>
          <w:sz w:val="24"/>
          <w:szCs w:val="28"/>
        </w:rPr>
        <w:t>金融期货</w:t>
      </w:r>
    </w:p>
    <w:p>
      <w:pPr>
        <w:pStyle w:val="Normal29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3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6.</w:t>
      </w:r>
      <w:r>
        <w:rPr>
          <w:rFonts w:ascii="黑体" w:eastAsia="黑体" w:hAnsi="黑体" w:cs="黑体" w:hint="eastAsia"/>
          <w:sz w:val="24"/>
          <w:szCs w:val="28"/>
        </w:rPr>
        <w:t>贷款的安全性原则是指（）</w:t>
      </w:r>
    </w:p>
    <w:p>
      <w:pPr>
        <w:pStyle w:val="Normal3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A、所有贷款有抵押品作担保</w:t>
      </w:r>
    </w:p>
    <w:p>
      <w:pPr>
        <w:pStyle w:val="Normal3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B、非信用贷款的可靠程度</w:t>
      </w:r>
    </w:p>
    <w:p>
      <w:pPr>
        <w:pStyle w:val="Normal3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C、放出去的款容易收回</w:t>
      </w:r>
    </w:p>
    <w:p>
      <w:pPr>
        <w:pStyle w:val="Normal3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D、放款到期能如数收回本息</w:t>
      </w:r>
    </w:p>
    <w:p>
      <w:pPr>
        <w:pStyle w:val="Normal30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3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7.</w:t>
      </w:r>
      <w:r>
        <w:rPr>
          <w:rFonts w:ascii="黑体" w:eastAsia="黑体" w:hAnsi="黑体" w:cs="黑体" w:hint="eastAsia"/>
          <w:sz w:val="24"/>
          <w:szCs w:val="28"/>
        </w:rPr>
        <w:t>非系统性风险可用（）来衡量</w:t>
      </w:r>
    </w:p>
    <w:p>
      <w:pPr>
        <w:pStyle w:val="Normal3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A、收益率的标准差</w:t>
      </w:r>
    </w:p>
    <w:p>
      <w:pPr>
        <w:pStyle w:val="Normal3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B、相关系数</w:t>
      </w:r>
    </w:p>
    <w:p>
      <w:pPr>
        <w:pStyle w:val="Normal3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C、贝塔系数</w:t>
      </w:r>
    </w:p>
    <w:p>
      <w:pPr>
        <w:pStyle w:val="Normal3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D、收益率的协方差</w:t>
      </w:r>
    </w:p>
    <w:p>
      <w:pPr>
        <w:pStyle w:val="Normal31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3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8.</w:t>
      </w:r>
      <w:r>
        <w:rPr>
          <w:rFonts w:ascii="黑体" w:eastAsia="黑体" w:hAnsi="黑体" w:cs="黑体" w:hint="eastAsia"/>
          <w:sz w:val="24"/>
          <w:szCs w:val="28"/>
        </w:rPr>
        <w:t>什么是表外业务？它包括哪些内容？</w:t>
      </w:r>
    </w:p>
    <w:p>
      <w:pPr>
        <w:pStyle w:val="Normal32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3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9.</w:t>
      </w:r>
      <w:r>
        <w:rPr>
          <w:rFonts w:ascii="黑体" w:eastAsia="黑体" w:hAnsi="黑体" w:cs="黑体" w:hint="eastAsia"/>
          <w:sz w:val="24"/>
          <w:szCs w:val="28"/>
        </w:rPr>
        <w:t>储蓄银行的服务对象主要是（）</w:t>
      </w:r>
    </w:p>
    <w:p>
      <w:pPr>
        <w:pStyle w:val="Normal3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A、居民消费者</w:t>
      </w:r>
    </w:p>
    <w:p>
      <w:pPr>
        <w:pStyle w:val="Normal3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B、企业</w:t>
      </w:r>
    </w:p>
    <w:p>
      <w:pPr>
        <w:pStyle w:val="Normal3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C、政府</w:t>
      </w:r>
    </w:p>
    <w:p>
      <w:pPr>
        <w:pStyle w:val="Normal3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D、商业银行</w:t>
      </w:r>
    </w:p>
    <w:p>
      <w:pPr>
        <w:pStyle w:val="Normal33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3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10.</w:t>
      </w:r>
      <w:r>
        <w:rPr>
          <w:rFonts w:ascii="黑体" w:eastAsia="黑体" w:hAnsi="黑体" w:cs="黑体" w:hint="eastAsia"/>
          <w:sz w:val="24"/>
          <w:szCs w:val="28"/>
        </w:rPr>
        <w:t>在金融衍生工具中，“期权”最具特色。目前，我国的金融市场尚无期权交易，但期权的概念却屡见报端，如“经理期权”等等。你能不能用通俗的语言来说明期权的特征？</w:t>
      </w:r>
    </w:p>
    <w:p>
      <w:pPr>
        <w:pStyle w:val="Normal34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3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11.</w:t>
      </w:r>
      <w:r>
        <w:rPr>
          <w:rFonts w:ascii="黑体" w:eastAsia="黑体" w:hAnsi="黑体" w:cs="黑体" w:hint="eastAsia"/>
          <w:sz w:val="24"/>
          <w:szCs w:val="28"/>
        </w:rPr>
        <w:t>人民币货币制度的特点是（）。</w:t>
      </w:r>
    </w:p>
    <w:p>
      <w:pPr>
        <w:pStyle w:val="Normal3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A、目前人民币汇率实行单一的、有管理的浮动汇率制</w:t>
      </w:r>
    </w:p>
    <w:p>
      <w:pPr>
        <w:pStyle w:val="Normal3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B、人民币是我国法定计价、结算的货币单位</w:t>
      </w:r>
    </w:p>
    <w:p>
      <w:pPr>
        <w:pStyle w:val="Normal3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C、人民币采用现金和存款货币两种形式</w:t>
      </w:r>
    </w:p>
    <w:p>
      <w:pPr>
        <w:pStyle w:val="Normal35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3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12.</w:t>
      </w:r>
      <w:r>
        <w:rPr>
          <w:rFonts w:ascii="黑体" w:eastAsia="黑体" w:hAnsi="黑体" w:cs="黑体" w:hint="eastAsia"/>
          <w:sz w:val="24"/>
          <w:szCs w:val="28"/>
        </w:rPr>
        <w:t>国际收支失衡的主要类型有（）</w:t>
      </w:r>
    </w:p>
    <w:p>
      <w:pPr>
        <w:pStyle w:val="Normal3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A、临时性失衡</w:t>
      </w:r>
    </w:p>
    <w:p>
      <w:pPr>
        <w:pStyle w:val="Normal3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B、周期性失衡</w:t>
      </w:r>
    </w:p>
    <w:p>
      <w:pPr>
        <w:pStyle w:val="Normal3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C、货币性失衡</w:t>
      </w:r>
    </w:p>
    <w:p>
      <w:pPr>
        <w:pStyle w:val="Normal3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D、收入性失衡</w:t>
      </w:r>
    </w:p>
    <w:p>
      <w:pPr>
        <w:pStyle w:val="Normal36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26"/>
          <w:headerReference w:type="default" r:id="rId27"/>
          <w:footerReference w:type="even" r:id="rId28"/>
          <w:headerReference w:type="first" r:id="rId29"/>
          <w:footerReference w:type="first" r:id="rId30"/>
          <w:type w:val="nextPage"/>
          <w:pgSz w:w="11906" w:h="16838"/>
          <w:pgMar w:top="720" w:right="720" w:bottom="720" w:left="720" w:header="851" w:footer="992" w:gutter="0"/>
          <w:pgNumType w:start="5"/>
          <w:cols w:num="1" w:space="720"/>
          <w:titlePg w:val="0"/>
          <w:docGrid w:type="lines" w:linePitch="312" w:charSpace="0"/>
        </w:sectPr>
      </w:pPr>
      <w:r>
        <w:rPr>
          <w:rFonts w:ascii="黑体" w:eastAsia="黑体" w:hAnsi="黑体" w:cs="黑体" w:hint="eastAsia"/>
          <w:sz w:val="24"/>
          <w:szCs w:val="28"/>
        </w:rPr>
        <w:t>E、结构性失衡</w:t>
      </w:r>
    </w:p>
    <w:p>
      <w:pPr>
        <w:pStyle w:val="Normal36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3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13.</w:t>
      </w:r>
      <w:r>
        <w:rPr>
          <w:rFonts w:ascii="黑体" w:eastAsia="黑体" w:hAnsi="黑体" w:cs="黑体" w:hint="eastAsia"/>
          <w:sz w:val="24"/>
          <w:szCs w:val="28"/>
        </w:rPr>
        <w:t>试述中央银行产生的经济背景。</w:t>
      </w:r>
    </w:p>
    <w:p>
      <w:pPr>
        <w:pStyle w:val="Normal37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3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14.</w:t>
      </w:r>
      <w:r>
        <w:rPr>
          <w:rFonts w:ascii="黑体" w:eastAsia="黑体" w:hAnsi="黑体" w:cs="黑体" w:hint="eastAsia"/>
          <w:sz w:val="24"/>
          <w:szCs w:val="28"/>
        </w:rPr>
        <w:t>反映世界上各种衡量通货膨胀的指标都是围绕（）这一核心设计的。</w:t>
      </w:r>
    </w:p>
    <w:p>
      <w:pPr>
        <w:pStyle w:val="Normal3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A、价格变动</w:t>
      </w:r>
    </w:p>
    <w:p>
      <w:pPr>
        <w:pStyle w:val="Normal3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B、货币需求量</w:t>
      </w:r>
    </w:p>
    <w:p>
      <w:pPr>
        <w:pStyle w:val="Normal3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C、社会总供给</w:t>
      </w:r>
    </w:p>
    <w:p>
      <w:pPr>
        <w:pStyle w:val="Normal3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D、各类消费指数</w:t>
      </w:r>
    </w:p>
    <w:p>
      <w:pPr>
        <w:pStyle w:val="Normal38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3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15.</w:t>
      </w:r>
      <w:r>
        <w:rPr>
          <w:rFonts w:ascii="黑体" w:eastAsia="黑体" w:hAnsi="黑体" w:cs="黑体" w:hint="eastAsia"/>
          <w:sz w:val="24"/>
          <w:szCs w:val="28"/>
        </w:rPr>
        <w:t>简述现代商业银行的发展趋势。</w:t>
      </w:r>
    </w:p>
    <w:p>
      <w:pPr>
        <w:pStyle w:val="Normal39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4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16.</w:t>
      </w:r>
      <w:r>
        <w:rPr>
          <w:rFonts w:ascii="黑体" w:eastAsia="黑体" w:hAnsi="黑体" w:cs="黑体" w:hint="eastAsia"/>
          <w:sz w:val="24"/>
          <w:szCs w:val="28"/>
        </w:rPr>
        <w:t>试述中央银行独立性的内涵。</w:t>
      </w:r>
    </w:p>
    <w:p>
      <w:pPr>
        <w:pStyle w:val="Normal40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4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17.</w:t>
      </w:r>
      <w:r>
        <w:rPr>
          <w:rFonts w:ascii="黑体" w:eastAsia="黑体" w:hAnsi="黑体" w:cs="黑体" w:hint="eastAsia"/>
          <w:sz w:val="24"/>
          <w:szCs w:val="28"/>
        </w:rPr>
        <w:t>失业率与经济增长具有的变动关系是（）</w:t>
      </w:r>
    </w:p>
    <w:p>
      <w:pPr>
        <w:pStyle w:val="Normal4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A、正比</w:t>
      </w:r>
    </w:p>
    <w:p>
      <w:pPr>
        <w:pStyle w:val="Normal4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B、反比</w:t>
      </w:r>
    </w:p>
    <w:p>
      <w:pPr>
        <w:pStyle w:val="Normal4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C、相等</w:t>
      </w:r>
    </w:p>
    <w:p>
      <w:pPr>
        <w:pStyle w:val="Normal4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D、无关系</w:t>
      </w:r>
    </w:p>
    <w:p>
      <w:pPr>
        <w:pStyle w:val="Normal41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4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18.</w:t>
      </w:r>
      <w:r>
        <w:rPr>
          <w:rFonts w:ascii="黑体" w:eastAsia="黑体" w:hAnsi="黑体" w:cs="黑体" w:hint="eastAsia"/>
          <w:sz w:val="24"/>
          <w:szCs w:val="28"/>
        </w:rPr>
        <w:t>既然中央银行是国家的银行，为什么还要强调中央银行相对于政府的独立性？</w:t>
      </w:r>
    </w:p>
    <w:p>
      <w:pPr>
        <w:pStyle w:val="Normal42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4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19.</w:t>
      </w:r>
      <w:r>
        <w:rPr>
          <w:rFonts w:ascii="黑体" w:eastAsia="黑体" w:hAnsi="黑体" w:cs="黑体" w:hint="eastAsia"/>
          <w:sz w:val="24"/>
          <w:szCs w:val="28"/>
        </w:rPr>
        <w:t>可以看作是银行承兑汇票的流通市场的是（）</w:t>
      </w:r>
    </w:p>
    <w:p>
      <w:pPr>
        <w:pStyle w:val="Normal4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A、债券市场</w:t>
      </w:r>
    </w:p>
    <w:p>
      <w:pPr>
        <w:pStyle w:val="Normal4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B、股票市场</w:t>
      </w:r>
    </w:p>
    <w:p>
      <w:pPr>
        <w:pStyle w:val="Normal4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C、期权市场</w:t>
      </w:r>
    </w:p>
    <w:p>
      <w:pPr>
        <w:pStyle w:val="Normal4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D、票据贴现市场</w:t>
      </w:r>
    </w:p>
    <w:p>
      <w:pPr>
        <w:pStyle w:val="Normal43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4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20.</w:t>
      </w:r>
      <w:r>
        <w:rPr>
          <w:rFonts w:ascii="黑体" w:eastAsia="黑体" w:hAnsi="黑体" w:cs="黑体" w:hint="eastAsia"/>
          <w:sz w:val="24"/>
          <w:szCs w:val="28"/>
        </w:rPr>
        <w:t>市场准入</w:t>
      </w:r>
    </w:p>
    <w:p>
      <w:pPr>
        <w:pStyle w:val="Normal44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4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21.</w:t>
      </w:r>
      <w:r>
        <w:rPr>
          <w:rFonts w:ascii="黑体" w:eastAsia="黑体" w:hAnsi="黑体" w:cs="黑体" w:hint="eastAsia"/>
          <w:sz w:val="24"/>
          <w:szCs w:val="28"/>
        </w:rPr>
        <w:t>证券交易所采取（）定价方式。</w:t>
      </w:r>
    </w:p>
    <w:p>
      <w:pPr>
        <w:pStyle w:val="Normal4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A、公开竞价</w:t>
      </w:r>
    </w:p>
    <w:p>
      <w:pPr>
        <w:pStyle w:val="Normal4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B、秘密竞价</w:t>
      </w:r>
    </w:p>
    <w:p>
      <w:pPr>
        <w:pStyle w:val="Normal4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C、讨价还价</w:t>
      </w:r>
    </w:p>
    <w:p>
      <w:pPr>
        <w:pStyle w:val="Normal4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D、随机定价</w:t>
      </w:r>
    </w:p>
    <w:p>
      <w:pPr>
        <w:pStyle w:val="Normal45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4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22.</w:t>
      </w:r>
      <w:r>
        <w:rPr>
          <w:rFonts w:ascii="黑体" w:eastAsia="黑体" w:hAnsi="黑体" w:cs="黑体" w:hint="eastAsia"/>
          <w:sz w:val="24"/>
          <w:szCs w:val="28"/>
        </w:rPr>
        <w:t>货币在充当商品流通媒介时发挥的职能是（）</w:t>
      </w:r>
    </w:p>
    <w:p>
      <w:pPr>
        <w:pStyle w:val="Normal4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A、价值尺度</w:t>
      </w:r>
    </w:p>
    <w:p>
      <w:pPr>
        <w:pStyle w:val="Normal4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B、流通手段</w:t>
      </w:r>
    </w:p>
    <w:p>
      <w:pPr>
        <w:pStyle w:val="Normal4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C、贮藏手段</w:t>
      </w:r>
    </w:p>
    <w:p>
      <w:pPr>
        <w:pStyle w:val="Normal4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D、支付手段</w:t>
      </w:r>
    </w:p>
    <w:p>
      <w:pPr>
        <w:pStyle w:val="Normal46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4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23.</w:t>
      </w:r>
      <w:r>
        <w:rPr>
          <w:rFonts w:ascii="黑体" w:eastAsia="黑体" w:hAnsi="黑体" w:cs="黑体" w:hint="eastAsia"/>
          <w:sz w:val="24"/>
          <w:szCs w:val="28"/>
        </w:rPr>
        <w:t>回购协议市场的交易特点有（）。</w:t>
      </w:r>
    </w:p>
    <w:p>
      <w:pPr>
        <w:pStyle w:val="Normal4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A、收益稳定且超过银行存款收益</w:t>
      </w:r>
    </w:p>
    <w:p>
      <w:pPr>
        <w:pStyle w:val="Normal4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B、安全性高</w:t>
      </w:r>
    </w:p>
    <w:p>
      <w:pPr>
        <w:pStyle w:val="Normal4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C、流动性强</w:t>
      </w:r>
    </w:p>
    <w:p>
      <w:pPr>
        <w:pStyle w:val="Normal47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48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31"/>
          <w:headerReference w:type="default" r:id="rId32"/>
          <w:footerReference w:type="even" r:id="rId33"/>
          <w:headerReference w:type="first" r:id="rId34"/>
          <w:footerReference w:type="first" r:id="rId35"/>
          <w:type w:val="nextPage"/>
          <w:pgSz w:w="11906" w:h="16838"/>
          <w:pgMar w:top="720" w:right="720" w:bottom="720" w:left="720" w:header="851" w:footer="992" w:gutter="0"/>
          <w:pgNumType w:start="6"/>
          <w:cols w:num="1" w:space="720"/>
          <w:titlePg w:val="0"/>
          <w:docGrid w:type="lines" w:linePitch="312" w:charSpace="0"/>
        </w:sectPr>
      </w:pPr>
      <w:r>
        <w:rPr>
          <w:rFonts w:ascii="黑体" w:eastAsia="黑体" w:hAnsi="黑体" w:cs="黑体" w:hint="eastAsia"/>
          <w:sz w:val="24"/>
          <w:szCs w:val="28"/>
        </w:rPr>
        <w:t>24.</w:t>
      </w:r>
      <w:r>
        <w:rPr>
          <w:rFonts w:ascii="黑体" w:eastAsia="黑体" w:hAnsi="黑体" w:cs="黑体" w:hint="eastAsia"/>
          <w:sz w:val="24"/>
          <w:szCs w:val="28"/>
        </w:rPr>
        <w:t>既然表外业务不纳入商业银行资产负债表内，那么它必然是无风险的。</w:t>
      </w:r>
    </w:p>
    <w:p>
      <w:pPr>
        <w:pStyle w:val="Normal48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4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25.</w:t>
      </w:r>
      <w:r>
        <w:rPr>
          <w:rFonts w:ascii="黑体" w:eastAsia="黑体" w:hAnsi="黑体" w:cs="黑体" w:hint="eastAsia"/>
          <w:sz w:val="24"/>
          <w:szCs w:val="28"/>
        </w:rPr>
        <w:t>对经济货币化程度起支配作用的影响因素是（）。</w:t>
      </w:r>
    </w:p>
    <w:p>
      <w:pPr>
        <w:pStyle w:val="Normal4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A、金融的作用程度</w:t>
      </w:r>
    </w:p>
    <w:p>
      <w:pPr>
        <w:pStyle w:val="Normal4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B、商品经济的发展程度</w:t>
      </w:r>
    </w:p>
    <w:p>
      <w:pPr>
        <w:pStyle w:val="Normal4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C、政府的决心</w:t>
      </w:r>
    </w:p>
    <w:p>
      <w:pPr>
        <w:pStyle w:val="Normal49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49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49"/>
        <w:jc w:val="center"/>
        <w:rPr>
          <w:rFonts w:ascii="宋体" w:hAnsi="宋体" w:cs="宋体" w:hint="eastAsia"/>
          <w:b/>
          <w:color w:val="000000"/>
          <w:sz w:val="32"/>
          <w:szCs w:val="28"/>
        </w:rPr>
      </w:pPr>
      <w:r>
        <w:rPr>
          <w:rFonts w:ascii="宋体" w:eastAsia="宋体" w:hAnsi="宋体" w:cs="宋体" w:hint="eastAsia"/>
          <w:b/>
          <w:color w:val="000000"/>
          <w:sz w:val="32"/>
          <w:szCs w:val="28"/>
        </w:rPr>
        <w:t>第3卷</w:t>
      </w:r>
    </w:p>
    <w:p>
      <w:pPr>
        <w:pStyle w:val="Normal49"/>
        <w:jc w:val="center"/>
        <w:rPr>
          <w:rFonts w:ascii="宋体" w:hAnsi="宋体" w:cs="宋体" w:hint="eastAsia"/>
          <w:b/>
          <w:color w:val="000000"/>
          <w:sz w:val="32"/>
          <w:szCs w:val="28"/>
        </w:rPr>
      </w:pPr>
    </w:p>
    <w:p>
      <w:pPr>
        <w:pStyle w:val="Normal49"/>
        <w:jc w:val="center"/>
        <w:rPr>
          <w:rFonts w:ascii="宋体" w:hAnsi="宋体" w:cs="宋体" w:hint="eastAsia"/>
          <w:b/>
          <w:color w:val="000000"/>
          <w:sz w:val="32"/>
          <w:szCs w:val="28"/>
        </w:rPr>
      </w:pPr>
    </w:p>
    <w:p>
      <w:pPr>
        <w:pStyle w:val="Normal49"/>
        <w:jc w:val="left"/>
        <w:rPr>
          <w:rFonts w:ascii="宋体" w:hAnsi="宋体" w:cs="宋体" w:hint="eastAsia"/>
          <w:b/>
          <w:color w:val="000000"/>
          <w:sz w:val="28"/>
          <w:szCs w:val="28"/>
        </w:rPr>
      </w:pPr>
      <w:r>
        <w:rPr>
          <w:rFonts w:ascii="宋体" w:eastAsia="宋体" w:hAnsi="宋体" w:cs="宋体" w:hint="eastAsia"/>
          <w:b/>
          <w:color w:val="000000"/>
          <w:sz w:val="28"/>
          <w:szCs w:val="28"/>
        </w:rPr>
        <w:t>一.参考题库(共25题)</w:t>
      </w:r>
    </w:p>
    <w:p>
      <w:pPr>
        <w:pStyle w:val="Normal5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1.</w:t>
      </w:r>
      <w:r>
        <w:rPr>
          <w:rFonts w:ascii="黑体" w:eastAsia="黑体" w:hAnsi="黑体" w:cs="黑体" w:hint="eastAsia"/>
          <w:sz w:val="24"/>
          <w:szCs w:val="28"/>
        </w:rPr>
        <w:t>马克思是如何分析货币起源的？</w:t>
      </w:r>
    </w:p>
    <w:p>
      <w:pPr>
        <w:pStyle w:val="Normal50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5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2.</w:t>
      </w:r>
      <w:r>
        <w:rPr>
          <w:rFonts w:ascii="黑体" w:eastAsia="黑体" w:hAnsi="黑体" w:cs="黑体" w:hint="eastAsia"/>
          <w:sz w:val="24"/>
          <w:szCs w:val="28"/>
        </w:rPr>
        <w:t>下列哪项被称为有限法偿货币（）</w:t>
      </w:r>
    </w:p>
    <w:p>
      <w:pPr>
        <w:pStyle w:val="Normal5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A、主币</w:t>
      </w:r>
    </w:p>
    <w:p>
      <w:pPr>
        <w:pStyle w:val="Normal5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B、本位币</w:t>
      </w:r>
    </w:p>
    <w:p>
      <w:pPr>
        <w:pStyle w:val="Normal5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C、辅币</w:t>
      </w:r>
    </w:p>
    <w:p>
      <w:pPr>
        <w:pStyle w:val="Normal5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D、电子货币</w:t>
      </w:r>
    </w:p>
    <w:p>
      <w:pPr>
        <w:pStyle w:val="Normal51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5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3.</w:t>
      </w:r>
      <w:r>
        <w:rPr>
          <w:rFonts w:ascii="黑体" w:eastAsia="黑体" w:hAnsi="黑体" w:cs="黑体" w:hint="eastAsia"/>
          <w:sz w:val="24"/>
          <w:szCs w:val="28"/>
        </w:rPr>
        <w:t>试述存款货币的创造在量上有哪些限制因素。</w:t>
      </w:r>
    </w:p>
    <w:p>
      <w:pPr>
        <w:pStyle w:val="Normal52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5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4.</w:t>
      </w:r>
      <w:r>
        <w:rPr>
          <w:rFonts w:ascii="黑体" w:eastAsia="黑体" w:hAnsi="黑体" w:cs="黑体" w:hint="eastAsia"/>
          <w:sz w:val="24"/>
          <w:szCs w:val="28"/>
        </w:rPr>
        <w:t>什么是国际货币制度？国际货币制度谋求解决的中心问题是什么？目前解决的状况如何？</w:t>
      </w:r>
    </w:p>
    <w:p>
      <w:pPr>
        <w:pStyle w:val="Normal53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5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5.</w:t>
      </w:r>
      <w:r>
        <w:rPr>
          <w:rFonts w:ascii="黑体" w:eastAsia="黑体" w:hAnsi="黑体" w:cs="黑体" w:hint="eastAsia"/>
          <w:sz w:val="24"/>
          <w:szCs w:val="28"/>
        </w:rPr>
        <w:t>简述《巴塞尔协议》的主要内容。</w:t>
      </w:r>
    </w:p>
    <w:p>
      <w:pPr>
        <w:pStyle w:val="Normal54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5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6.</w:t>
      </w:r>
      <w:r>
        <w:rPr>
          <w:rFonts w:ascii="黑体" w:eastAsia="黑体" w:hAnsi="黑体" w:cs="黑体" w:hint="eastAsia"/>
          <w:sz w:val="24"/>
          <w:szCs w:val="28"/>
        </w:rPr>
        <w:t>在市场经济中，国债是如何联结财政和金融的？对这个联结环节可能发挥的作用应作怎样的估价？</w:t>
      </w:r>
    </w:p>
    <w:p>
      <w:pPr>
        <w:pStyle w:val="Normal55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5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7.</w:t>
      </w:r>
      <w:r>
        <w:rPr>
          <w:rFonts w:ascii="黑体" w:eastAsia="黑体" w:hAnsi="黑体" w:cs="黑体" w:hint="eastAsia"/>
          <w:sz w:val="24"/>
          <w:szCs w:val="28"/>
        </w:rPr>
        <w:t>汇率</w:t>
      </w:r>
    </w:p>
    <w:p>
      <w:pPr>
        <w:pStyle w:val="Normal56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5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8.</w:t>
      </w:r>
      <w:r>
        <w:rPr>
          <w:rFonts w:ascii="黑体" w:eastAsia="黑体" w:hAnsi="黑体" w:cs="黑体" w:hint="eastAsia"/>
          <w:sz w:val="24"/>
          <w:szCs w:val="28"/>
        </w:rPr>
        <w:t>通货膨胀的治理方法有（）</w:t>
      </w:r>
    </w:p>
    <w:p>
      <w:pPr>
        <w:pStyle w:val="Normal5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A、实施紧缩的货币政策</w:t>
      </w:r>
    </w:p>
    <w:p>
      <w:pPr>
        <w:pStyle w:val="Normal5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B、实施适当的财政政策</w:t>
      </w:r>
    </w:p>
    <w:p>
      <w:pPr>
        <w:pStyle w:val="Normal5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C、实施人口控制政策</w:t>
      </w:r>
    </w:p>
    <w:p>
      <w:pPr>
        <w:pStyle w:val="Normal5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D、实施适当的收入政策</w:t>
      </w:r>
    </w:p>
    <w:p>
      <w:pPr>
        <w:pStyle w:val="Normal5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E、实施指数化政策</w:t>
      </w:r>
    </w:p>
    <w:p>
      <w:pPr>
        <w:pStyle w:val="Normal57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5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9.</w:t>
      </w:r>
      <w:r>
        <w:rPr>
          <w:rFonts w:ascii="黑体" w:eastAsia="黑体" w:hAnsi="黑体" w:cs="黑体" w:hint="eastAsia"/>
          <w:sz w:val="24"/>
          <w:szCs w:val="28"/>
        </w:rPr>
        <w:t>国际资本流动</w:t>
      </w:r>
    </w:p>
    <w:p>
      <w:pPr>
        <w:pStyle w:val="Normal58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5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10.</w:t>
      </w:r>
      <w:r>
        <w:rPr>
          <w:rFonts w:ascii="黑体" w:eastAsia="黑体" w:hAnsi="黑体" w:cs="黑体" w:hint="eastAsia"/>
          <w:sz w:val="24"/>
          <w:szCs w:val="28"/>
        </w:rPr>
        <w:t>相对购买力平价认为（）。</w:t>
      </w:r>
    </w:p>
    <w:p>
      <w:pPr>
        <w:pStyle w:val="Normal5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A、开放经济条件下不可能所有商品都遵循“一价定律”</w:t>
      </w:r>
    </w:p>
    <w:p>
      <w:pPr>
        <w:pStyle w:val="Normal5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B、汇率决定的基础是两国货币购买力之比</w:t>
      </w:r>
    </w:p>
    <w:p>
      <w:pPr>
        <w:pStyle w:val="Normal5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C、汇率由一定时期两国通货膨胀率差异决定</w:t>
      </w:r>
    </w:p>
    <w:p>
      <w:pPr>
        <w:pStyle w:val="Normal59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36"/>
          <w:headerReference w:type="default" r:id="rId37"/>
          <w:footerReference w:type="even" r:id="rId38"/>
          <w:headerReference w:type="first" r:id="rId39"/>
          <w:footerReference w:type="first" r:id="rId40"/>
          <w:type w:val="nextPage"/>
          <w:pgSz w:w="11906" w:h="16838"/>
          <w:pgMar w:top="720" w:right="720" w:bottom="720" w:left="720" w:header="851" w:footer="992" w:gutter="0"/>
          <w:pgNumType w:start="7"/>
          <w:cols w:num="1" w:space="720"/>
          <w:titlePg w:val="0"/>
          <w:docGrid w:type="lines" w:linePitch="312" w:charSpace="0"/>
        </w:sectPr>
      </w:pPr>
    </w:p>
    <w:p>
      <w:pPr>
        <w:pStyle w:val="Normal6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11.</w:t>
      </w:r>
      <w:r>
        <w:rPr>
          <w:rFonts w:ascii="黑体" w:eastAsia="黑体" w:hAnsi="黑体" w:cs="黑体" w:hint="eastAsia"/>
          <w:sz w:val="24"/>
          <w:szCs w:val="28"/>
        </w:rPr>
        <w:t>一般由政府设立，以贯彻国家产业政策、区域发展政策等为目标，盈利目标居次要地位的金融机构是（）</w:t>
      </w:r>
    </w:p>
    <w:p>
      <w:pPr>
        <w:pStyle w:val="Normal6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A、中央银行</w:t>
      </w:r>
    </w:p>
    <w:p>
      <w:pPr>
        <w:pStyle w:val="Normal6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B、存款性货币银行</w:t>
      </w:r>
    </w:p>
    <w:p>
      <w:pPr>
        <w:pStyle w:val="Normal6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C、投资银行</w:t>
      </w:r>
    </w:p>
    <w:p>
      <w:pPr>
        <w:pStyle w:val="Normal6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D、政策性银行</w:t>
      </w:r>
    </w:p>
    <w:p>
      <w:pPr>
        <w:pStyle w:val="Normal60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6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12.</w:t>
      </w:r>
      <w:r>
        <w:rPr>
          <w:rFonts w:ascii="黑体" w:eastAsia="黑体" w:hAnsi="黑体" w:cs="黑体" w:hint="eastAsia"/>
          <w:sz w:val="24"/>
          <w:szCs w:val="28"/>
        </w:rPr>
        <w:t>试述信用的特征。</w:t>
      </w:r>
    </w:p>
    <w:p>
      <w:pPr>
        <w:pStyle w:val="Normal61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6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13.</w:t>
      </w:r>
      <w:r>
        <w:rPr>
          <w:rFonts w:ascii="黑体" w:eastAsia="黑体" w:hAnsi="黑体" w:cs="黑体" w:hint="eastAsia"/>
          <w:sz w:val="24"/>
          <w:szCs w:val="28"/>
        </w:rPr>
        <w:t>中央银行若提高再贴现率，将发生（）</w:t>
      </w:r>
    </w:p>
    <w:p>
      <w:pPr>
        <w:pStyle w:val="Normal6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A、迫使商业银行降低贷款利率</w:t>
      </w:r>
    </w:p>
    <w:p>
      <w:pPr>
        <w:pStyle w:val="Normal6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B、迫使商业银行提高贷款利率</w:t>
      </w:r>
    </w:p>
    <w:p>
      <w:pPr>
        <w:pStyle w:val="Normal6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C、使企业得到成本更低的贷款</w:t>
      </w:r>
    </w:p>
    <w:p>
      <w:pPr>
        <w:pStyle w:val="Normal6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D、增加贷款发放</w:t>
      </w:r>
    </w:p>
    <w:p>
      <w:pPr>
        <w:pStyle w:val="Normal62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6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14.</w:t>
      </w:r>
      <w:r>
        <w:rPr>
          <w:rFonts w:ascii="黑体" w:eastAsia="黑体" w:hAnsi="黑体" w:cs="黑体" w:hint="eastAsia"/>
          <w:sz w:val="24"/>
          <w:szCs w:val="28"/>
        </w:rPr>
        <w:t>市场经济条件下一国利率体系中的基准利率一般是指（）</w:t>
      </w:r>
    </w:p>
    <w:p>
      <w:pPr>
        <w:pStyle w:val="Normal6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A、再贷款率</w:t>
      </w:r>
    </w:p>
    <w:p>
      <w:pPr>
        <w:pStyle w:val="Normal6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B、再贴现率</w:t>
      </w:r>
    </w:p>
    <w:p>
      <w:pPr>
        <w:pStyle w:val="Normal6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C、LIBOR利率</w:t>
      </w:r>
    </w:p>
    <w:p>
      <w:pPr>
        <w:pStyle w:val="Normal6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D、存贷利率</w:t>
      </w:r>
    </w:p>
    <w:p>
      <w:pPr>
        <w:pStyle w:val="Normal63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6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15.</w:t>
      </w:r>
      <w:r>
        <w:rPr>
          <w:rFonts w:ascii="黑体" w:eastAsia="黑体" w:hAnsi="黑体" w:cs="黑体" w:hint="eastAsia"/>
          <w:sz w:val="24"/>
          <w:szCs w:val="28"/>
        </w:rPr>
        <w:t>影响利率变化的主要因素有（）</w:t>
      </w:r>
    </w:p>
    <w:p>
      <w:pPr>
        <w:pStyle w:val="Normal6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A、平均利润率</w:t>
      </w:r>
    </w:p>
    <w:p>
      <w:pPr>
        <w:pStyle w:val="Normal6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B、借贷资本的供求状况</w:t>
      </w:r>
    </w:p>
    <w:p>
      <w:pPr>
        <w:pStyle w:val="Normal6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C、预期通货膨胀率</w:t>
      </w:r>
    </w:p>
    <w:p>
      <w:pPr>
        <w:pStyle w:val="Normal6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D、中央银行的货币政策</w:t>
      </w:r>
    </w:p>
    <w:p>
      <w:pPr>
        <w:pStyle w:val="Normal64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6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16.</w:t>
      </w:r>
      <w:r>
        <w:rPr>
          <w:rFonts w:ascii="黑体" w:eastAsia="黑体" w:hAnsi="黑体" w:cs="黑体" w:hint="eastAsia"/>
          <w:sz w:val="24"/>
          <w:szCs w:val="28"/>
        </w:rPr>
        <w:t>在宏观经济学中，国民经济一般被划分为几个部门？</w:t>
      </w:r>
    </w:p>
    <w:p>
      <w:pPr>
        <w:pStyle w:val="Normal65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6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17.</w:t>
      </w:r>
      <w:r>
        <w:rPr>
          <w:rFonts w:ascii="黑体" w:eastAsia="黑体" w:hAnsi="黑体" w:cs="黑体" w:hint="eastAsia"/>
          <w:sz w:val="24"/>
          <w:szCs w:val="28"/>
        </w:rPr>
        <w:t>在证券交易所以外进行交易的市场是（）</w:t>
      </w:r>
    </w:p>
    <w:p>
      <w:pPr>
        <w:pStyle w:val="Normal6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A、证券交易所</w:t>
      </w:r>
    </w:p>
    <w:p>
      <w:pPr>
        <w:pStyle w:val="Normal6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B、货币市场</w:t>
      </w:r>
    </w:p>
    <w:p>
      <w:pPr>
        <w:pStyle w:val="Normal6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C、金融市场</w:t>
      </w:r>
    </w:p>
    <w:p>
      <w:pPr>
        <w:pStyle w:val="Normal6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D、柜台市场</w:t>
      </w:r>
    </w:p>
    <w:p>
      <w:pPr>
        <w:pStyle w:val="Normal66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6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18.</w:t>
      </w:r>
      <w:r>
        <w:rPr>
          <w:rFonts w:ascii="黑体" w:eastAsia="黑体" w:hAnsi="黑体" w:cs="黑体" w:hint="eastAsia"/>
          <w:sz w:val="24"/>
          <w:szCs w:val="28"/>
        </w:rPr>
        <w:t>银行同业拆借市场又叫通知放款市场，特点是利率波动大（）</w:t>
      </w:r>
    </w:p>
    <w:p>
      <w:pPr>
        <w:pStyle w:val="Normal67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6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19.</w:t>
      </w:r>
      <w:r>
        <w:rPr>
          <w:rFonts w:ascii="黑体" w:eastAsia="黑体" w:hAnsi="黑体" w:cs="黑体" w:hint="eastAsia"/>
          <w:sz w:val="24"/>
          <w:szCs w:val="28"/>
        </w:rPr>
        <w:t>试述货币主义的货币需求理论。</w:t>
      </w:r>
    </w:p>
    <w:p>
      <w:pPr>
        <w:pStyle w:val="Normal68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6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20.</w:t>
      </w:r>
      <w:r>
        <w:rPr>
          <w:rFonts w:ascii="黑体" w:eastAsia="黑体" w:hAnsi="黑体" w:cs="黑体" w:hint="eastAsia"/>
          <w:sz w:val="24"/>
          <w:szCs w:val="28"/>
        </w:rPr>
        <w:t>根据凯恩斯货币需求理论，当收入水平上升时，（）动机和（）动机的货币需求会增加。</w:t>
      </w:r>
    </w:p>
    <w:p>
      <w:pPr>
        <w:pStyle w:val="Normal69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7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21.</w:t>
      </w:r>
      <w:r>
        <w:rPr>
          <w:rFonts w:ascii="黑体" w:eastAsia="黑体" w:hAnsi="黑体" w:cs="黑体" w:hint="eastAsia"/>
          <w:sz w:val="24"/>
          <w:szCs w:val="28"/>
        </w:rPr>
        <w:t>金融工具的特点有（）</w:t>
      </w:r>
    </w:p>
    <w:p>
      <w:pPr>
        <w:pStyle w:val="Normal7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A、期限性</w:t>
      </w:r>
    </w:p>
    <w:p>
      <w:pPr>
        <w:pStyle w:val="Normal7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B、流动性</w:t>
      </w:r>
    </w:p>
    <w:p>
      <w:pPr>
        <w:pStyle w:val="Normal7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C、风险性</w:t>
      </w:r>
    </w:p>
    <w:p>
      <w:pPr>
        <w:pStyle w:val="Normal7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D、收益性</w:t>
      </w:r>
    </w:p>
    <w:p>
      <w:pPr>
        <w:pStyle w:val="Normal7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E、无偿性</w:t>
      </w:r>
      <w:r>
        <w:rPr>
          <w:rFonts w:ascii="黑体" w:eastAsia="黑体" w:hAnsi="黑体" w:cs="黑体" w:hint="eastAsia"/>
          <w:sz w:val="24"/>
          <w:szCs w:val="28"/>
        </w:rPr>
        <w:br/>
      </w:r>
      <w:r>
        <w:rPr>
          <w:rFonts w:ascii="黑体" w:eastAsia="黑体" w:hAnsi="黑体" w:cs="黑体" w:hint="eastAsia"/>
          <w:sz w:val="24"/>
          <w:szCs w:val="28"/>
        </w:rP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1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https://d.book118.com/917051111106006033</w:t>
        </w:r>
      </w:hyperlink>
    </w:p>
    <w:p>
      <w:pPr>
        <w:pStyle w:val="Normal70"/>
        <w:jc w:val="left"/>
        <w:rPr>
          <w:rFonts w:ascii="黑体" w:eastAsia="黑体" w:hAnsi="黑体" w:cs="黑体" w:hint="eastAsia"/>
          <w:sz w:val="24"/>
          <w:szCs w:val="28"/>
        </w:rPr>
      </w:pPr>
    </w:p>
    <w:sectPr>
      <w:headerReference w:type="even" r:id="rId42"/>
      <w:headerReference w:type="default" r:id="rId43"/>
      <w:footerReference w:type="even" r:id="rId44"/>
      <w:headerReference w:type="first" r:id="rId45"/>
      <w:footerReference w:type="first" r:id="rId46"/>
      <w:type w:val="nextPage"/>
      <w:pgSz w:w="11906" w:h="16838"/>
      <w:pgMar w:top="720" w:right="720" w:bottom="720" w:left="720" w:header="851" w:footer="992" w:gutter="0"/>
      <w:pgNumType w:start="8"/>
      <w:cols w:num="1" w:space="720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variable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variable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49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7216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0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8240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1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5168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2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6192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3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3120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4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4144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5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1072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6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2096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7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9024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8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0048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9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6976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60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8000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61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4928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62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5952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63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2880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64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3904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2967"/>
    <w:rsid w:val="000A47E2"/>
    <w:rsid w:val="000B3F97"/>
    <w:rsid w:val="000C65BC"/>
    <w:rsid w:val="00117A71"/>
    <w:rsid w:val="001218D6"/>
    <w:rsid w:val="00132074"/>
    <w:rsid w:val="001502A4"/>
    <w:rsid w:val="001550CE"/>
    <w:rsid w:val="00156496"/>
    <w:rsid w:val="00160D5A"/>
    <w:rsid w:val="00181857"/>
    <w:rsid w:val="0019605D"/>
    <w:rsid w:val="001C73D4"/>
    <w:rsid w:val="001D1D41"/>
    <w:rsid w:val="001E11E6"/>
    <w:rsid w:val="00231F02"/>
    <w:rsid w:val="002B0B19"/>
    <w:rsid w:val="00312482"/>
    <w:rsid w:val="00324AE3"/>
    <w:rsid w:val="003326E6"/>
    <w:rsid w:val="003B1539"/>
    <w:rsid w:val="003D4D8E"/>
    <w:rsid w:val="003F520C"/>
    <w:rsid w:val="0042574A"/>
    <w:rsid w:val="0044229D"/>
    <w:rsid w:val="004647EE"/>
    <w:rsid w:val="004B57E7"/>
    <w:rsid w:val="004C0772"/>
    <w:rsid w:val="004C290A"/>
    <w:rsid w:val="004F36F1"/>
    <w:rsid w:val="00506A01"/>
    <w:rsid w:val="005073F4"/>
    <w:rsid w:val="00542969"/>
    <w:rsid w:val="0054555E"/>
    <w:rsid w:val="005506DD"/>
    <w:rsid w:val="00553937"/>
    <w:rsid w:val="005D14A7"/>
    <w:rsid w:val="005D723D"/>
    <w:rsid w:val="005E5E77"/>
    <w:rsid w:val="005F5F63"/>
    <w:rsid w:val="006041C1"/>
    <w:rsid w:val="006317E2"/>
    <w:rsid w:val="006722FB"/>
    <w:rsid w:val="00681E04"/>
    <w:rsid w:val="00683426"/>
    <w:rsid w:val="006D5968"/>
    <w:rsid w:val="0071008B"/>
    <w:rsid w:val="00785129"/>
    <w:rsid w:val="00792E58"/>
    <w:rsid w:val="00794C1A"/>
    <w:rsid w:val="00797476"/>
    <w:rsid w:val="007C5E1F"/>
    <w:rsid w:val="007D572E"/>
    <w:rsid w:val="00827B23"/>
    <w:rsid w:val="0086637C"/>
    <w:rsid w:val="008C0C31"/>
    <w:rsid w:val="00902424"/>
    <w:rsid w:val="00916216"/>
    <w:rsid w:val="00954CA2"/>
    <w:rsid w:val="00972C3F"/>
    <w:rsid w:val="00975F69"/>
    <w:rsid w:val="00976868"/>
    <w:rsid w:val="00980EED"/>
    <w:rsid w:val="009E2F0E"/>
    <w:rsid w:val="00A15098"/>
    <w:rsid w:val="00A1583F"/>
    <w:rsid w:val="00A23706"/>
    <w:rsid w:val="00A378B7"/>
    <w:rsid w:val="00A43E68"/>
    <w:rsid w:val="00A44168"/>
    <w:rsid w:val="00A51137"/>
    <w:rsid w:val="00A77B3E"/>
    <w:rsid w:val="00B11CCC"/>
    <w:rsid w:val="00B23199"/>
    <w:rsid w:val="00B25C83"/>
    <w:rsid w:val="00B46FB6"/>
    <w:rsid w:val="00B755B8"/>
    <w:rsid w:val="00BB3426"/>
    <w:rsid w:val="00BD654E"/>
    <w:rsid w:val="00BF116D"/>
    <w:rsid w:val="00C06199"/>
    <w:rsid w:val="00C54050"/>
    <w:rsid w:val="00C6422B"/>
    <w:rsid w:val="00C7162A"/>
    <w:rsid w:val="00C74FDF"/>
    <w:rsid w:val="00C96E33"/>
    <w:rsid w:val="00CA5E80"/>
    <w:rsid w:val="00D21982"/>
    <w:rsid w:val="00D4321D"/>
    <w:rsid w:val="00D56ED8"/>
    <w:rsid w:val="00DA34CC"/>
    <w:rsid w:val="00DB251F"/>
    <w:rsid w:val="00DC5C6F"/>
    <w:rsid w:val="00DE521C"/>
    <w:rsid w:val="00E266BD"/>
    <w:rsid w:val="00E465B0"/>
    <w:rsid w:val="00E5109B"/>
    <w:rsid w:val="00E55E2D"/>
    <w:rsid w:val="00E772CE"/>
    <w:rsid w:val="00EB5A28"/>
    <w:rsid w:val="00EE4110"/>
    <w:rsid w:val="00EE4D94"/>
    <w:rsid w:val="00F21074"/>
    <w:rsid w:val="00F210CE"/>
    <w:rsid w:val="00F3535A"/>
    <w:rsid w:val="00F41DA8"/>
    <w:rsid w:val="00F51ECF"/>
    <w:rsid w:val="00F602EB"/>
    <w:rsid w:val="00F72366"/>
    <w:rsid w:val="00F933D4"/>
    <w:rsid w:val="00F96FBA"/>
    <w:rsid w:val="00FA021B"/>
    <w:rsid w:val="0A0F0952"/>
    <w:rsid w:val="2185472E"/>
    <w:rsid w:val="523028E7"/>
    <w:rsid w:val="570957BF"/>
    <w:rsid w:val="7B5C0C2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 w:qFormat="1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a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页眉 字符"/>
    <w:basedOn w:val="DefaultParagraphFont"/>
    <w:link w:val="Header"/>
    <w:uiPriority w:val="99"/>
    <w:qFormat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qFormat/>
    <w:rPr>
      <w:sz w:val="18"/>
      <w:szCs w:val="18"/>
    </w:rPr>
  </w:style>
  <w:style w:type="paragraph" w:customStyle="1" w:styleId="Normal0">
    <w:name w:val="Normal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">
    <w:name w:val="Normal_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">
    <w:name w:val="Normal_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">
    <w:name w:val="Normal_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">
    <w:name w:val="Normal_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">
    <w:name w:val="Normal_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">
    <w:name w:val="Normal_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">
    <w:name w:val="Normal_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8">
    <w:name w:val="Normal_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9">
    <w:name w:val="Normal_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0">
    <w:name w:val="Normal_1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1">
    <w:name w:val="Normal_1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2">
    <w:name w:val="Normal_1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3">
    <w:name w:val="Normal_1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4">
    <w:name w:val="Normal_1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5">
    <w:name w:val="Normal_1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6">
    <w:name w:val="Normal_1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7">
    <w:name w:val="Normal_1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8">
    <w:name w:val="Normal_1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9">
    <w:name w:val="Normal_1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0">
    <w:name w:val="Normal_2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1">
    <w:name w:val="Normal_2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2">
    <w:name w:val="Normal_2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3">
    <w:name w:val="Normal_2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4">
    <w:name w:val="Normal_2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5">
    <w:name w:val="Normal_2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6">
    <w:name w:val="Normal_2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7">
    <w:name w:val="Normal_2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8">
    <w:name w:val="Normal_2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9">
    <w:name w:val="Normal_2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0">
    <w:name w:val="Normal_3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1">
    <w:name w:val="Normal_3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2">
    <w:name w:val="Normal_3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3">
    <w:name w:val="Normal_3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4">
    <w:name w:val="Normal_3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5">
    <w:name w:val="Normal_3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6">
    <w:name w:val="Normal_3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7">
    <w:name w:val="Normal_3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8">
    <w:name w:val="Normal_3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9">
    <w:name w:val="Normal_3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0">
    <w:name w:val="Normal_4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1">
    <w:name w:val="Normal_4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2">
    <w:name w:val="Normal_4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3">
    <w:name w:val="Normal_4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4">
    <w:name w:val="Normal_4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5">
    <w:name w:val="Normal_4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6">
    <w:name w:val="Normal_4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7">
    <w:name w:val="Normal_4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8">
    <w:name w:val="Normal_4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9">
    <w:name w:val="Normal_4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0">
    <w:name w:val="Normal_5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1">
    <w:name w:val="Normal_5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2">
    <w:name w:val="Normal_5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3">
    <w:name w:val="Normal_5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4">
    <w:name w:val="Normal_5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5">
    <w:name w:val="Normal_5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6">
    <w:name w:val="Normal_5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7">
    <w:name w:val="Normal_5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8">
    <w:name w:val="Normal_5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9">
    <w:name w:val="Normal_5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0">
    <w:name w:val="Normal_6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1">
    <w:name w:val="Normal_6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2">
    <w:name w:val="Normal_6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3">
    <w:name w:val="Normal_6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4">
    <w:name w:val="Normal_6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5">
    <w:name w:val="Normal_6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6">
    <w:name w:val="Normal_6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7">
    <w:name w:val="Normal_6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8">
    <w:name w:val="Normal_6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9">
    <w:name w:val="Normal_6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0">
    <w:name w:val="Normal_7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1">
    <w:name w:val="Normal_7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2">
    <w:name w:val="Normal_7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3">
    <w:name w:val="Normal_7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4">
    <w:name w:val="Normal_7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5">
    <w:name w:val="Normal_75"/>
    <w:qFormat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rmal00">
    <w:name w:val="Normal_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00">
    <w:name w:val="Normal_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00">
    <w:name w:val="Normal_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00">
    <w:name w:val="Normal_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00">
    <w:name w:val="Normal_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00">
    <w:name w:val="Normal_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00">
    <w:name w:val="Normal_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00">
    <w:name w:val="Normal_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80">
    <w:name w:val="Normal_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90">
    <w:name w:val="Normal_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000">
    <w:name w:val="Normal_1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10">
    <w:name w:val="Normal_1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20">
    <w:name w:val="Normal_1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30">
    <w:name w:val="Normal_1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40">
    <w:name w:val="Normal_1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50">
    <w:name w:val="Normal_1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60">
    <w:name w:val="Normal_1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70">
    <w:name w:val="Normal_1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80">
    <w:name w:val="Normal_1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90">
    <w:name w:val="Normal_1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000">
    <w:name w:val="Normal_2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10">
    <w:name w:val="Normal_2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20">
    <w:name w:val="Normal_2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30">
    <w:name w:val="Normal_2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40">
    <w:name w:val="Normal_2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50">
    <w:name w:val="Normal_2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60">
    <w:name w:val="Normal_2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70">
    <w:name w:val="Normal_2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80">
    <w:name w:val="Normal_2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90">
    <w:name w:val="Normal_2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000">
    <w:name w:val="Normal_3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10">
    <w:name w:val="Normal_3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20">
    <w:name w:val="Normal_3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30">
    <w:name w:val="Normal_3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40">
    <w:name w:val="Normal_3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50">
    <w:name w:val="Normal_3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60">
    <w:name w:val="Normal_3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70">
    <w:name w:val="Normal_3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80">
    <w:name w:val="Normal_3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90">
    <w:name w:val="Normal_3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000">
    <w:name w:val="Normal_4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10">
    <w:name w:val="Normal_4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20">
    <w:name w:val="Normal_4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30">
    <w:name w:val="Normal_4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40">
    <w:name w:val="Normal_4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50">
    <w:name w:val="Normal_4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60">
    <w:name w:val="Normal_4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70">
    <w:name w:val="Normal_4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80">
    <w:name w:val="Normal_4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90">
    <w:name w:val="Normal_4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000">
    <w:name w:val="Normal_5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10">
    <w:name w:val="Normal_5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20">
    <w:name w:val="Normal_5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30">
    <w:name w:val="Normal_5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40">
    <w:name w:val="Normal_5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50">
    <w:name w:val="Normal_5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60">
    <w:name w:val="Normal_5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70">
    <w:name w:val="Normal_5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80">
    <w:name w:val="Normal_5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90">
    <w:name w:val="Normal_5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000">
    <w:name w:val="Normal_6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10">
    <w:name w:val="Normal_6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20">
    <w:name w:val="Normal_6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30">
    <w:name w:val="Normal_6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40">
    <w:name w:val="Normal_6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50">
    <w:name w:val="Normal_6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60">
    <w:name w:val="Normal_6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70">
    <w:name w:val="Normal_6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80">
    <w:name w:val="Normal_6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90">
    <w:name w:val="Normal_6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000">
    <w:name w:val="Normal_7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10">
    <w:name w:val="Normal_7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20">
    <w:name w:val="Normal_7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30">
    <w:name w:val="Normal_7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40">
    <w:name w:val="Normal_7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3.xml" /><Relationship Id="rId14" Type="http://schemas.openxmlformats.org/officeDocument/2006/relationships/header" Target="header6.xml" /><Relationship Id="rId15" Type="http://schemas.openxmlformats.org/officeDocument/2006/relationships/footer" Target="footer4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5.xml" /><Relationship Id="rId19" Type="http://schemas.openxmlformats.org/officeDocument/2006/relationships/header" Target="header9.xml" /><Relationship Id="rId2" Type="http://schemas.openxmlformats.org/officeDocument/2006/relationships/webSettings" Target="webSettings.xml" /><Relationship Id="rId20" Type="http://schemas.openxmlformats.org/officeDocument/2006/relationships/footer" Target="footer6.xml" /><Relationship Id="rId21" Type="http://schemas.openxmlformats.org/officeDocument/2006/relationships/header" Target="header10.xml" /><Relationship Id="rId22" Type="http://schemas.openxmlformats.org/officeDocument/2006/relationships/header" Target="header11.xml" /><Relationship Id="rId23" Type="http://schemas.openxmlformats.org/officeDocument/2006/relationships/footer" Target="footer7.xml" /><Relationship Id="rId24" Type="http://schemas.openxmlformats.org/officeDocument/2006/relationships/header" Target="header12.xml" /><Relationship Id="rId25" Type="http://schemas.openxmlformats.org/officeDocument/2006/relationships/footer" Target="footer8.xml" /><Relationship Id="rId26" Type="http://schemas.openxmlformats.org/officeDocument/2006/relationships/header" Target="header13.xml" /><Relationship Id="rId27" Type="http://schemas.openxmlformats.org/officeDocument/2006/relationships/header" Target="header14.xml" /><Relationship Id="rId28" Type="http://schemas.openxmlformats.org/officeDocument/2006/relationships/footer" Target="footer9.xml" /><Relationship Id="rId29" Type="http://schemas.openxmlformats.org/officeDocument/2006/relationships/header" Target="header15.xml" /><Relationship Id="rId3" Type="http://schemas.openxmlformats.org/officeDocument/2006/relationships/fontTable" Target="fontTable.xml" /><Relationship Id="rId30" Type="http://schemas.openxmlformats.org/officeDocument/2006/relationships/footer" Target="footer10.xml" /><Relationship Id="rId31" Type="http://schemas.openxmlformats.org/officeDocument/2006/relationships/header" Target="header16.xml" /><Relationship Id="rId32" Type="http://schemas.openxmlformats.org/officeDocument/2006/relationships/header" Target="header17.xml" /><Relationship Id="rId33" Type="http://schemas.openxmlformats.org/officeDocument/2006/relationships/footer" Target="footer11.xml" /><Relationship Id="rId34" Type="http://schemas.openxmlformats.org/officeDocument/2006/relationships/header" Target="header18.xml" /><Relationship Id="rId35" Type="http://schemas.openxmlformats.org/officeDocument/2006/relationships/footer" Target="footer12.xml" /><Relationship Id="rId36" Type="http://schemas.openxmlformats.org/officeDocument/2006/relationships/header" Target="header19.xml" /><Relationship Id="rId37" Type="http://schemas.openxmlformats.org/officeDocument/2006/relationships/header" Target="header20.xml" /><Relationship Id="rId38" Type="http://schemas.openxmlformats.org/officeDocument/2006/relationships/footer" Target="footer13.xml" /><Relationship Id="rId39" Type="http://schemas.openxmlformats.org/officeDocument/2006/relationships/header" Target="header21.xml" /><Relationship Id="rId4" Type="http://schemas.openxmlformats.org/officeDocument/2006/relationships/customXml" Target="../customXml/item1.xml" /><Relationship Id="rId40" Type="http://schemas.openxmlformats.org/officeDocument/2006/relationships/footer" Target="footer14.xml" /><Relationship Id="rId41" Type="http://schemas.openxmlformats.org/officeDocument/2006/relationships/hyperlink" Target="https://d.book118.com/917051111106006033" TargetMode="External" /><Relationship Id="rId42" Type="http://schemas.openxmlformats.org/officeDocument/2006/relationships/header" Target="header22.xml" /><Relationship Id="rId43" Type="http://schemas.openxmlformats.org/officeDocument/2006/relationships/header" Target="header23.xml" /><Relationship Id="rId44" Type="http://schemas.openxmlformats.org/officeDocument/2006/relationships/footer" Target="footer15.xml" /><Relationship Id="rId45" Type="http://schemas.openxmlformats.org/officeDocument/2006/relationships/header" Target="header24.xml" /><Relationship Id="rId46" Type="http://schemas.openxmlformats.org/officeDocument/2006/relationships/footer" Target="footer16.xml" /><Relationship Id="rId47" Type="http://schemas.openxmlformats.org/officeDocument/2006/relationships/theme" Target="theme/theme1.xml" /><Relationship Id="rId48" Type="http://schemas.openxmlformats.org/officeDocument/2006/relationships/styles" Target="styles.xml" /><Relationship Id="rId5" Type="http://schemas.openxmlformats.org/officeDocument/2006/relationships/customXml" Target="../customXml/item2.xml" /><Relationship Id="rId6" Type="http://schemas.openxmlformats.org/officeDocument/2006/relationships/header" Target="header1.xml" /><Relationship Id="rId7" Type="http://schemas.openxmlformats.org/officeDocument/2006/relationships/header" Target="header2.xml" /><Relationship Id="rId8" Type="http://schemas.openxmlformats.org/officeDocument/2006/relationships/footer" Target="footer1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3074"/>
    <customShpInfo spid="_x0000_s3073"/>
  </customShpExts>
</s:customData>
</file>

<file path=customXml/itemProps1.xml><?xml version="1.0" encoding="utf-8"?>
<ds:datastoreItem xmlns:ds="http://schemas.openxmlformats.org/officeDocument/2006/customXml" ds:itemID="{E3FAD204-A202-4D2B-AB10-D0B8AF83353E}">
  <ds:schemaRefs/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7</Pages>
  <Words>2</Words>
  <Characters>16</Characters>
  <Application>Microsoft Office Word</Application>
  <DocSecurity>0</DocSecurity>
  <Lines>1</Lines>
  <Paragraphs>1</Paragraphs>
  <ScaleCrop>false</ScaleCrop>
  <Company>Microsoft</Company>
  <LinksUpToDate>false</LinksUpToDate>
  <CharactersWithSpaces>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zxp19</cp:lastModifiedBy>
  <cp:revision>71</cp:revision>
  <dcterms:created xsi:type="dcterms:W3CDTF">2022-04-20T07:15:00Z</dcterms:created>
  <dcterms:modified xsi:type="dcterms:W3CDTF">2023-08-18T21:26:52Z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