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玻璃浮球项目规划设计方案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一、玻璃浮球项目建设背景及必要性分析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三、社交媒体与在线营销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0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_Toc15900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四、风险管理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(一)、玻璃浮球项目风险识别与评价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(二)、玻璃浮球项目风险应急预案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(三)、玻璃浮球项目风险管理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(四)、玻璃浮球项目风险管控方案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六、玻璃浮球项目概论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(一)、创新计划及玻璃浮球项目性质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2" w:history="1">
        <w:r>
          <w:rPr>
            <w:rFonts w:ascii="仿宋" w:eastAsia="仿宋" w:hAnsi="仿宋" w:cs="仿宋" w:hint="eastAsia"/>
            <w:lang w:eastAsia="zh-CN"/>
          </w:rPr>
          <w:t>(二)、主管单位与玻璃浮球项目执行方</w:t>
        </w:r>
        <w:r>
          <w:tab/>
        </w:r>
        <w:r>
          <w:fldChar w:fldCharType="begin"/>
        </w:r>
        <w:r>
          <w:instrText xml:space="preserve"> PAGEREF _Toc25202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(四)、玻璃浮球项目提出背景和合理性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(五)、玻璃浮球项目选址和土地综合评估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(十)、玻璃浮球项目能源消耗分析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(十二)、玻璃浮球项目进度规划与执行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5" w:history="1">
        <w:r>
          <w:rPr>
            <w:rFonts w:ascii="仿宋" w:eastAsia="仿宋" w:hAnsi="仿宋" w:cs="仿宋" w:hint="eastAsia"/>
            <w:lang w:eastAsia="zh-CN"/>
          </w:rPr>
          <w:t>八、应急救援预案</w:t>
        </w:r>
        <w:r>
          <w:tab/>
        </w:r>
        <w:r>
          <w:fldChar w:fldCharType="begin"/>
        </w:r>
        <w:r>
          <w:instrText xml:space="preserve"> PAGEREF _Toc12955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九、项目市场分析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十、玻璃浮球项目财务管理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十一、四经营所依赖的核心资源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十二、信息安全与数据管理方案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(一)、玻璃浮球项目进度安排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(二)、玻璃浮球项目实施保障措施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十四、项目风险分析及防范措施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十六、跨部门协作与团队建设方案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2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十七、未来计划和展望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十八、第四十三章员工参与决策与公司治理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十九、市场营销策略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二十、玻璃浮球质量管理方案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(一)、玻璃浮球全面质量管理方案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3" w:history="1">
        <w:r>
          <w:rPr>
            <w:rFonts w:ascii="仿宋" w:eastAsia="仿宋" w:hAnsi="仿宋" w:cs="仿宋" w:hint="eastAsia"/>
            <w:lang w:eastAsia="zh-CN"/>
          </w:rPr>
          <w:t>(二)、玻璃浮球质量管理要求</w:t>
        </w:r>
        <w:r>
          <w:tab/>
        </w:r>
        <w:r>
          <w:fldChar w:fldCharType="begin"/>
        </w:r>
        <w:r>
          <w:instrText xml:space="preserve"> PAGEREF _Toc19213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2" w:history="1">
        <w:r>
          <w:rPr>
            <w:rFonts w:ascii="仿宋" w:eastAsia="仿宋" w:hAnsi="仿宋" w:cs="仿宋" w:hint="eastAsia"/>
            <w:lang w:eastAsia="zh-CN"/>
          </w:rPr>
          <w:t>(三)、玻璃浮球质量成本管理方案</w:t>
        </w:r>
        <w:r>
          <w:tab/>
        </w:r>
        <w:r>
          <w:fldChar w:fldCharType="begin"/>
        </w:r>
        <w:r>
          <w:instrText xml:space="preserve"> PAGEREF _Toc14282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(四)、玻璃浮球顾客需求管理方案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二十一、社会影响分析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35"/>
      <w:r>
        <w:rPr>
          <w:rFonts w:ascii="仿宋" w:eastAsia="仿宋" w:hAnsi="仿宋" w:cs="仿宋" w:hint="eastAsia"/>
          <w:sz w:val="28"/>
          <w:lang w:eastAsia="zh-CN"/>
        </w:rPr>
        <w:t>一、玻璃浮球项目建设背景及必要性分析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79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https://d.book118.com/917136136111006050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玻璃浮球项目规划设计方案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玻璃浮球项目规划设计方案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玻璃浮球项目规划设计方案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玻璃浮球项目规划设计方案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玻璃浮球项目规划设计方案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14792B"/>
    <w:rsid w:val="2D14792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7136136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2024-03-04T23:19:00Z</dcterms:created>
  <dcterms:modified xsi:type="dcterms:W3CDTF">2024-03-04T23:20:07Z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104D5038FCF346818E199D892260101B_11</vt:lpwstr>
  </property>
  <property fmtid="{D5CDD505-2E9C-101B-9397-08002B2CF9AE}" pid="3" name="KSOProductBuildVer">
    <vt:lpwstr>2052-12.1.0.16399</vt:lpwstr>
  </property>
</Properties>
</file>