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活载体疫苗项目规划设计方案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35" w:history="1">
        <w:r>
          <w:rPr>
            <w:rFonts w:ascii="仿宋" w:eastAsia="仿宋" w:hAnsi="仿宋" w:cs="仿宋" w:hint="eastAsia"/>
            <w:lang w:eastAsia="zh-CN"/>
          </w:rPr>
          <w:t>前言</w:t>
        </w:r>
        <w:r>
          <w:tab/>
        </w:r>
        <w:r>
          <w:fldChar w:fldCharType="begin"/>
        </w:r>
        <w:r>
          <w:instrText xml:space="preserve"> PAGEREF _Toc24435 \h </w:instrText>
        </w:r>
        <w:r>
          <w:fldChar w:fldCharType="separate"/>
        </w:r>
        <w:r>
          <w:t>3</w:t>
        </w:r>
        <w:r>
          <w:fldChar w:fldCharType="end"/>
        </w:r>
      </w:hyperlink>
    </w:p>
    <w:p>
      <w:pPr>
        <w:pStyle w:val="TOC1"/>
        <w:tabs>
          <w:tab w:val="right" w:leader="dot" w:pos="8306"/>
        </w:tabs>
      </w:pPr>
      <w:hyperlink w:anchor="_Toc13485" w:history="1">
        <w:r>
          <w:rPr>
            <w:rFonts w:ascii="仿宋" w:eastAsia="仿宋" w:hAnsi="仿宋" w:cs="仿宋" w:hint="eastAsia"/>
            <w:lang w:eastAsia="zh-CN"/>
          </w:rPr>
          <w:t>一、活载体疫苗项目危机管理</w:t>
        </w:r>
        <w:r>
          <w:tab/>
        </w:r>
        <w:r>
          <w:fldChar w:fldCharType="begin"/>
        </w:r>
        <w:r>
          <w:instrText xml:space="preserve"> PAGEREF _Toc13485 \h </w:instrText>
        </w:r>
        <w:r>
          <w:fldChar w:fldCharType="separate"/>
        </w:r>
        <w:r>
          <w:t>3</w:t>
        </w:r>
        <w:r>
          <w:fldChar w:fldCharType="end"/>
        </w:r>
      </w:hyperlink>
    </w:p>
    <w:p>
      <w:pPr>
        <w:pStyle w:val="TOC2"/>
        <w:tabs>
          <w:tab w:val="right" w:leader="dot" w:pos="8306"/>
        </w:tabs>
      </w:pPr>
      <w:hyperlink w:anchor="_Toc745" w:history="1">
        <w:r>
          <w:rPr>
            <w:rFonts w:ascii="仿宋" w:eastAsia="仿宋" w:hAnsi="仿宋" w:cs="仿宋" w:hint="eastAsia"/>
            <w:lang w:eastAsia="zh-CN"/>
          </w:rPr>
          <w:t>(一)、危机预警与识别</w:t>
        </w:r>
        <w:r>
          <w:tab/>
        </w:r>
        <w:r>
          <w:fldChar w:fldCharType="begin"/>
        </w:r>
        <w:r>
          <w:instrText xml:space="preserve"> PAGEREF _Toc745 \h </w:instrText>
        </w:r>
        <w:r>
          <w:fldChar w:fldCharType="separate"/>
        </w:r>
        <w:r>
          <w:t>3</w:t>
        </w:r>
        <w:r>
          <w:fldChar w:fldCharType="end"/>
        </w:r>
      </w:hyperlink>
    </w:p>
    <w:p>
      <w:pPr>
        <w:pStyle w:val="TOC2"/>
        <w:tabs>
          <w:tab w:val="right" w:leader="dot" w:pos="8306"/>
        </w:tabs>
      </w:pPr>
      <w:hyperlink w:anchor="_Toc11432" w:history="1">
        <w:r>
          <w:rPr>
            <w:rFonts w:ascii="仿宋" w:eastAsia="仿宋" w:hAnsi="仿宋" w:cs="仿宋" w:hint="eastAsia"/>
            <w:lang w:eastAsia="zh-CN"/>
          </w:rPr>
          <w:t>(二)、危机应对与恢复</w:t>
        </w:r>
        <w:r>
          <w:tab/>
        </w:r>
        <w:r>
          <w:fldChar w:fldCharType="begin"/>
        </w:r>
        <w:r>
          <w:instrText xml:space="preserve"> PAGEREF _Toc11432 \h </w:instrText>
        </w:r>
        <w:r>
          <w:fldChar w:fldCharType="separate"/>
        </w:r>
        <w:r>
          <w:t>4</w:t>
        </w:r>
        <w:r>
          <w:fldChar w:fldCharType="end"/>
        </w:r>
      </w:hyperlink>
    </w:p>
    <w:p>
      <w:pPr>
        <w:pStyle w:val="TOC1"/>
        <w:tabs>
          <w:tab w:val="right" w:leader="dot" w:pos="8306"/>
        </w:tabs>
      </w:pPr>
      <w:hyperlink w:anchor="_Toc14212" w:history="1">
        <w:r>
          <w:rPr>
            <w:rFonts w:ascii="仿宋" w:eastAsia="仿宋" w:hAnsi="仿宋" w:cs="仿宋" w:hint="eastAsia"/>
            <w:lang w:eastAsia="zh-CN"/>
          </w:rPr>
          <w:t>二、活载体疫苗项目可持续发展</w:t>
        </w:r>
        <w:r>
          <w:tab/>
        </w:r>
        <w:r>
          <w:fldChar w:fldCharType="begin"/>
        </w:r>
        <w:r>
          <w:instrText xml:space="preserve"> PAGEREF _Toc14212 \h </w:instrText>
        </w:r>
        <w:r>
          <w:fldChar w:fldCharType="separate"/>
        </w:r>
        <w:r>
          <w:t>5</w:t>
        </w:r>
        <w:r>
          <w:fldChar w:fldCharType="end"/>
        </w:r>
      </w:hyperlink>
    </w:p>
    <w:p>
      <w:pPr>
        <w:pStyle w:val="TOC2"/>
        <w:tabs>
          <w:tab w:val="right" w:leader="dot" w:pos="8306"/>
        </w:tabs>
      </w:pPr>
      <w:hyperlink w:anchor="_Toc28249" w:history="1">
        <w:r>
          <w:rPr>
            <w:rFonts w:ascii="仿宋" w:eastAsia="仿宋" w:hAnsi="仿宋" w:cs="仿宋" w:hint="eastAsia"/>
            <w:lang w:eastAsia="zh-CN"/>
          </w:rPr>
          <w:t>(一)、可持续战略与实践</w:t>
        </w:r>
        <w:r>
          <w:tab/>
        </w:r>
        <w:r>
          <w:fldChar w:fldCharType="begin"/>
        </w:r>
        <w:r>
          <w:instrText xml:space="preserve"> PAGEREF _Toc28249 \h </w:instrText>
        </w:r>
        <w:r>
          <w:fldChar w:fldCharType="separate"/>
        </w:r>
        <w:r>
          <w:t>5</w:t>
        </w:r>
        <w:r>
          <w:fldChar w:fldCharType="end"/>
        </w:r>
      </w:hyperlink>
    </w:p>
    <w:p>
      <w:pPr>
        <w:pStyle w:val="TOC2"/>
        <w:tabs>
          <w:tab w:val="right" w:leader="dot" w:pos="8306"/>
        </w:tabs>
      </w:pPr>
      <w:hyperlink w:anchor="_Toc13458" w:history="1">
        <w:r>
          <w:rPr>
            <w:rFonts w:ascii="仿宋" w:eastAsia="仿宋" w:hAnsi="仿宋" w:cs="仿宋" w:hint="eastAsia"/>
            <w:lang w:eastAsia="zh-CN"/>
          </w:rPr>
          <w:t>(二)、环保与社会责任</w:t>
        </w:r>
        <w:r>
          <w:tab/>
        </w:r>
        <w:r>
          <w:fldChar w:fldCharType="begin"/>
        </w:r>
        <w:r>
          <w:instrText xml:space="preserve"> PAGEREF _Toc13458 \h </w:instrText>
        </w:r>
        <w:r>
          <w:fldChar w:fldCharType="separate"/>
        </w:r>
        <w:r>
          <w:t>6</w:t>
        </w:r>
        <w:r>
          <w:fldChar w:fldCharType="end"/>
        </w:r>
      </w:hyperlink>
    </w:p>
    <w:p>
      <w:pPr>
        <w:pStyle w:val="TOC1"/>
        <w:tabs>
          <w:tab w:val="right" w:leader="dot" w:pos="8306"/>
        </w:tabs>
      </w:pPr>
      <w:hyperlink w:anchor="_Toc3818" w:history="1">
        <w:r>
          <w:rPr>
            <w:rFonts w:ascii="仿宋" w:eastAsia="仿宋" w:hAnsi="仿宋" w:cs="仿宋" w:hint="eastAsia"/>
            <w:lang w:eastAsia="zh-CN"/>
          </w:rPr>
          <w:t>三、活载体疫苗项目土建工程</w:t>
        </w:r>
        <w:r>
          <w:tab/>
        </w:r>
        <w:r>
          <w:fldChar w:fldCharType="begin"/>
        </w:r>
        <w:r>
          <w:instrText xml:space="preserve"> PAGEREF _Toc3818 \h </w:instrText>
        </w:r>
        <w:r>
          <w:fldChar w:fldCharType="separate"/>
        </w:r>
        <w:r>
          <w:t>7</w:t>
        </w:r>
        <w:r>
          <w:fldChar w:fldCharType="end"/>
        </w:r>
      </w:hyperlink>
    </w:p>
    <w:p>
      <w:pPr>
        <w:pStyle w:val="TOC2"/>
        <w:tabs>
          <w:tab w:val="right" w:leader="dot" w:pos="8306"/>
        </w:tabs>
      </w:pPr>
      <w:hyperlink w:anchor="_Toc29001" w:history="1">
        <w:r>
          <w:rPr>
            <w:rFonts w:ascii="仿宋" w:eastAsia="仿宋" w:hAnsi="仿宋" w:cs="仿宋" w:hint="eastAsia"/>
            <w:lang w:eastAsia="zh-CN"/>
          </w:rPr>
          <w:t>(一)、建筑工程设计原则</w:t>
        </w:r>
        <w:r>
          <w:tab/>
        </w:r>
        <w:r>
          <w:fldChar w:fldCharType="begin"/>
        </w:r>
        <w:r>
          <w:instrText xml:space="preserve"> PAGEREF _Toc29001 \h </w:instrText>
        </w:r>
        <w:r>
          <w:fldChar w:fldCharType="separate"/>
        </w:r>
        <w:r>
          <w:t>7</w:t>
        </w:r>
        <w:r>
          <w:fldChar w:fldCharType="end"/>
        </w:r>
      </w:hyperlink>
    </w:p>
    <w:p>
      <w:pPr>
        <w:pStyle w:val="TOC2"/>
        <w:tabs>
          <w:tab w:val="right" w:leader="dot" w:pos="8306"/>
        </w:tabs>
      </w:pPr>
      <w:hyperlink w:anchor="_Toc19624" w:history="1">
        <w:r>
          <w:rPr>
            <w:rFonts w:ascii="仿宋" w:eastAsia="仿宋" w:hAnsi="仿宋" w:cs="仿宋" w:hint="eastAsia"/>
            <w:lang w:eastAsia="zh-CN"/>
          </w:rPr>
          <w:t>(二)、土建工程设计年限及安全等级</w:t>
        </w:r>
        <w:r>
          <w:tab/>
        </w:r>
        <w:r>
          <w:fldChar w:fldCharType="begin"/>
        </w:r>
        <w:r>
          <w:instrText xml:space="preserve"> PAGEREF _Toc19624 \h </w:instrText>
        </w:r>
        <w:r>
          <w:fldChar w:fldCharType="separate"/>
        </w:r>
        <w:r>
          <w:t>8</w:t>
        </w:r>
        <w:r>
          <w:fldChar w:fldCharType="end"/>
        </w:r>
      </w:hyperlink>
    </w:p>
    <w:p>
      <w:pPr>
        <w:pStyle w:val="TOC2"/>
        <w:tabs>
          <w:tab w:val="right" w:leader="dot" w:pos="8306"/>
        </w:tabs>
      </w:pPr>
      <w:hyperlink w:anchor="_Toc28416" w:history="1">
        <w:r>
          <w:rPr>
            <w:rFonts w:ascii="仿宋" w:eastAsia="仿宋" w:hAnsi="仿宋" w:cs="仿宋" w:hint="eastAsia"/>
            <w:lang w:eastAsia="zh-CN"/>
          </w:rPr>
          <w:t>(三)、建筑工程设计总体要求</w:t>
        </w:r>
        <w:r>
          <w:tab/>
        </w:r>
        <w:r>
          <w:fldChar w:fldCharType="begin"/>
        </w:r>
        <w:r>
          <w:instrText xml:space="preserve"> PAGEREF _Toc28416 \h </w:instrText>
        </w:r>
        <w:r>
          <w:fldChar w:fldCharType="separate"/>
        </w:r>
        <w:r>
          <w:t>9</w:t>
        </w:r>
        <w:r>
          <w:fldChar w:fldCharType="end"/>
        </w:r>
      </w:hyperlink>
    </w:p>
    <w:p>
      <w:pPr>
        <w:pStyle w:val="TOC2"/>
        <w:tabs>
          <w:tab w:val="right" w:leader="dot" w:pos="8306"/>
        </w:tabs>
      </w:pPr>
      <w:hyperlink w:anchor="_Toc30409" w:history="1">
        <w:r>
          <w:rPr>
            <w:rFonts w:ascii="仿宋" w:eastAsia="仿宋" w:hAnsi="仿宋" w:cs="仿宋" w:hint="eastAsia"/>
            <w:lang w:eastAsia="zh-CN"/>
          </w:rPr>
          <w:t>(四)、土建工程建设指标</w:t>
        </w:r>
        <w:r>
          <w:tab/>
        </w:r>
        <w:r>
          <w:fldChar w:fldCharType="begin"/>
        </w:r>
        <w:r>
          <w:instrText xml:space="preserve"> PAGEREF _Toc30409 \h </w:instrText>
        </w:r>
        <w:r>
          <w:fldChar w:fldCharType="separate"/>
        </w:r>
        <w:r>
          <w:t>10</w:t>
        </w:r>
        <w:r>
          <w:fldChar w:fldCharType="end"/>
        </w:r>
      </w:hyperlink>
    </w:p>
    <w:p>
      <w:pPr>
        <w:pStyle w:val="TOC1"/>
        <w:tabs>
          <w:tab w:val="right" w:leader="dot" w:pos="8306"/>
        </w:tabs>
      </w:pPr>
      <w:hyperlink w:anchor="_Toc11887" w:history="1">
        <w:r>
          <w:rPr>
            <w:rFonts w:ascii="仿宋" w:eastAsia="仿宋" w:hAnsi="仿宋" w:cs="仿宋" w:hint="eastAsia"/>
            <w:lang w:eastAsia="zh-CN"/>
          </w:rPr>
          <w:t>四、产品规划分析</w:t>
        </w:r>
        <w:r>
          <w:tab/>
        </w:r>
        <w:r>
          <w:fldChar w:fldCharType="begin"/>
        </w:r>
        <w:r>
          <w:instrText xml:space="preserve"> PAGEREF _Toc11887 \h </w:instrText>
        </w:r>
        <w:r>
          <w:fldChar w:fldCharType="separate"/>
        </w:r>
        <w:r>
          <w:t>10</w:t>
        </w:r>
        <w:r>
          <w:fldChar w:fldCharType="end"/>
        </w:r>
      </w:hyperlink>
    </w:p>
    <w:p>
      <w:pPr>
        <w:pStyle w:val="TOC2"/>
        <w:tabs>
          <w:tab w:val="right" w:leader="dot" w:pos="8306"/>
        </w:tabs>
      </w:pPr>
      <w:hyperlink w:anchor="_Toc2094" w:history="1">
        <w:r>
          <w:rPr>
            <w:rFonts w:ascii="仿宋" w:eastAsia="仿宋" w:hAnsi="仿宋" w:cs="仿宋" w:hint="eastAsia"/>
            <w:lang w:eastAsia="zh-CN"/>
          </w:rPr>
          <w:t>(一)、产品规划</w:t>
        </w:r>
        <w:r>
          <w:tab/>
        </w:r>
        <w:r>
          <w:fldChar w:fldCharType="begin"/>
        </w:r>
        <w:r>
          <w:instrText xml:space="preserve"> PAGEREF _Toc2094 \h </w:instrText>
        </w:r>
        <w:r>
          <w:fldChar w:fldCharType="separate"/>
        </w:r>
        <w:r>
          <w:t>10</w:t>
        </w:r>
        <w:r>
          <w:fldChar w:fldCharType="end"/>
        </w:r>
      </w:hyperlink>
    </w:p>
    <w:p>
      <w:pPr>
        <w:pStyle w:val="TOC2"/>
        <w:tabs>
          <w:tab w:val="right" w:leader="dot" w:pos="8306"/>
        </w:tabs>
      </w:pPr>
      <w:hyperlink w:anchor="_Toc28623" w:history="1">
        <w:r>
          <w:rPr>
            <w:rFonts w:ascii="仿宋" w:eastAsia="仿宋" w:hAnsi="仿宋" w:cs="仿宋" w:hint="eastAsia"/>
            <w:lang w:eastAsia="zh-CN"/>
          </w:rPr>
          <w:t>(二)、建设规模</w:t>
        </w:r>
        <w:r>
          <w:tab/>
        </w:r>
        <w:r>
          <w:fldChar w:fldCharType="begin"/>
        </w:r>
        <w:r>
          <w:instrText xml:space="preserve"> PAGEREF _Toc28623 \h </w:instrText>
        </w:r>
        <w:r>
          <w:fldChar w:fldCharType="separate"/>
        </w:r>
        <w:r>
          <w:t>11</w:t>
        </w:r>
        <w:r>
          <w:fldChar w:fldCharType="end"/>
        </w:r>
      </w:hyperlink>
    </w:p>
    <w:p>
      <w:pPr>
        <w:pStyle w:val="TOC1"/>
        <w:tabs>
          <w:tab w:val="right" w:leader="dot" w:pos="8306"/>
        </w:tabs>
      </w:pPr>
      <w:hyperlink w:anchor="_Toc13700" w:history="1">
        <w:r>
          <w:rPr>
            <w:rFonts w:ascii="仿宋" w:eastAsia="仿宋" w:hAnsi="仿宋" w:cs="仿宋" w:hint="eastAsia"/>
            <w:lang w:eastAsia="zh-CN"/>
          </w:rPr>
          <w:t>五、活载体疫苗项目建设背景及必要性分析</w:t>
        </w:r>
        <w:r>
          <w:tab/>
        </w:r>
        <w:r>
          <w:fldChar w:fldCharType="begin"/>
        </w:r>
        <w:r>
          <w:instrText xml:space="preserve"> PAGEREF _Toc13700 \h </w:instrText>
        </w:r>
        <w:r>
          <w:fldChar w:fldCharType="separate"/>
        </w:r>
        <w:r>
          <w:t>12</w:t>
        </w:r>
        <w:r>
          <w:fldChar w:fldCharType="end"/>
        </w:r>
      </w:hyperlink>
    </w:p>
    <w:p>
      <w:pPr>
        <w:pStyle w:val="TOC2"/>
        <w:tabs>
          <w:tab w:val="right" w:leader="dot" w:pos="8306"/>
        </w:tabs>
      </w:pPr>
      <w:hyperlink w:anchor="_Toc7434" w:history="1">
        <w:r>
          <w:rPr>
            <w:rFonts w:ascii="仿宋" w:eastAsia="仿宋" w:hAnsi="仿宋" w:cs="仿宋" w:hint="eastAsia"/>
            <w:lang w:eastAsia="zh-CN"/>
          </w:rPr>
          <w:t>(一)、活载体疫苗项目背景分析</w:t>
        </w:r>
        <w:r>
          <w:tab/>
        </w:r>
        <w:r>
          <w:fldChar w:fldCharType="begin"/>
        </w:r>
        <w:r>
          <w:instrText xml:space="preserve"> PAGEREF _Toc7434 \h </w:instrText>
        </w:r>
        <w:r>
          <w:fldChar w:fldCharType="separate"/>
        </w:r>
        <w:r>
          <w:t>12</w:t>
        </w:r>
        <w:r>
          <w:fldChar w:fldCharType="end"/>
        </w:r>
      </w:hyperlink>
    </w:p>
    <w:p>
      <w:pPr>
        <w:pStyle w:val="TOC2"/>
        <w:tabs>
          <w:tab w:val="right" w:leader="dot" w:pos="8306"/>
        </w:tabs>
      </w:pPr>
      <w:hyperlink w:anchor="_Toc28984" w:history="1">
        <w:r>
          <w:rPr>
            <w:rFonts w:ascii="仿宋" w:eastAsia="仿宋" w:hAnsi="仿宋" w:cs="仿宋" w:hint="eastAsia"/>
            <w:lang w:eastAsia="zh-CN"/>
          </w:rPr>
          <w:t>(二)、活载体疫苗项目建设必要性分析</w:t>
        </w:r>
        <w:r>
          <w:tab/>
        </w:r>
        <w:r>
          <w:fldChar w:fldCharType="begin"/>
        </w:r>
        <w:r>
          <w:instrText xml:space="preserve"> PAGEREF _Toc28984 \h </w:instrText>
        </w:r>
        <w:r>
          <w:fldChar w:fldCharType="separate"/>
        </w:r>
        <w:r>
          <w:t>14</w:t>
        </w:r>
        <w:r>
          <w:fldChar w:fldCharType="end"/>
        </w:r>
      </w:hyperlink>
    </w:p>
    <w:p>
      <w:pPr>
        <w:pStyle w:val="TOC1"/>
        <w:tabs>
          <w:tab w:val="right" w:leader="dot" w:pos="8306"/>
        </w:tabs>
      </w:pPr>
      <w:hyperlink w:anchor="_Toc30302" w:history="1">
        <w:r>
          <w:rPr>
            <w:rFonts w:ascii="仿宋" w:eastAsia="仿宋" w:hAnsi="仿宋" w:cs="仿宋" w:hint="eastAsia"/>
            <w:lang w:eastAsia="zh-CN"/>
          </w:rPr>
          <w:t>六、工艺说明</w:t>
        </w:r>
        <w:r>
          <w:tab/>
        </w:r>
        <w:r>
          <w:fldChar w:fldCharType="begin"/>
        </w:r>
        <w:r>
          <w:instrText xml:space="preserve"> PAGEREF _Toc30302 \h </w:instrText>
        </w:r>
        <w:r>
          <w:fldChar w:fldCharType="separate"/>
        </w:r>
        <w:r>
          <w:t>15</w:t>
        </w:r>
        <w:r>
          <w:fldChar w:fldCharType="end"/>
        </w:r>
      </w:hyperlink>
    </w:p>
    <w:p>
      <w:pPr>
        <w:pStyle w:val="TOC2"/>
        <w:tabs>
          <w:tab w:val="right" w:leader="dot" w:pos="8306"/>
        </w:tabs>
      </w:pPr>
      <w:hyperlink w:anchor="_Toc15370" w:history="1">
        <w:r>
          <w:rPr>
            <w:rFonts w:ascii="仿宋" w:eastAsia="仿宋" w:hAnsi="仿宋" w:cs="仿宋" w:hint="eastAsia"/>
            <w:lang w:eastAsia="zh-CN"/>
          </w:rPr>
          <w:t>(一)、技术管理特点</w:t>
        </w:r>
        <w:r>
          <w:tab/>
        </w:r>
        <w:r>
          <w:fldChar w:fldCharType="begin"/>
        </w:r>
        <w:r>
          <w:instrText xml:space="preserve"> PAGEREF _Toc15370 \h </w:instrText>
        </w:r>
        <w:r>
          <w:fldChar w:fldCharType="separate"/>
        </w:r>
        <w:r>
          <w:t>15</w:t>
        </w:r>
        <w:r>
          <w:fldChar w:fldCharType="end"/>
        </w:r>
      </w:hyperlink>
    </w:p>
    <w:p>
      <w:pPr>
        <w:pStyle w:val="TOC2"/>
        <w:tabs>
          <w:tab w:val="right" w:leader="dot" w:pos="8306"/>
        </w:tabs>
      </w:pPr>
      <w:hyperlink w:anchor="_Toc7455" w:history="1">
        <w:r>
          <w:rPr>
            <w:rFonts w:ascii="仿宋" w:eastAsia="仿宋" w:hAnsi="仿宋" w:cs="仿宋" w:hint="eastAsia"/>
            <w:lang w:eastAsia="zh-CN"/>
          </w:rPr>
          <w:t>(二)、活载体疫苗项目工艺技术设计方案</w:t>
        </w:r>
        <w:r>
          <w:tab/>
        </w:r>
        <w:r>
          <w:fldChar w:fldCharType="begin"/>
        </w:r>
        <w:r>
          <w:instrText xml:space="preserve"> PAGEREF _Toc7455 \h </w:instrText>
        </w:r>
        <w:r>
          <w:fldChar w:fldCharType="separate"/>
        </w:r>
        <w:r>
          <w:t>16</w:t>
        </w:r>
        <w:r>
          <w:fldChar w:fldCharType="end"/>
        </w:r>
      </w:hyperlink>
    </w:p>
    <w:p>
      <w:pPr>
        <w:pStyle w:val="TOC2"/>
        <w:tabs>
          <w:tab w:val="right" w:leader="dot" w:pos="8306"/>
        </w:tabs>
      </w:pPr>
      <w:hyperlink w:anchor="_Toc3914" w:history="1">
        <w:r>
          <w:rPr>
            <w:rFonts w:ascii="仿宋" w:eastAsia="仿宋" w:hAnsi="仿宋" w:cs="仿宋" w:hint="eastAsia"/>
            <w:lang w:eastAsia="zh-CN"/>
          </w:rPr>
          <w:t>(三)、设备选型方案</w:t>
        </w:r>
        <w:r>
          <w:tab/>
        </w:r>
        <w:r>
          <w:fldChar w:fldCharType="begin"/>
        </w:r>
        <w:r>
          <w:instrText xml:space="preserve"> PAGEREF _Toc3914 \h </w:instrText>
        </w:r>
        <w:r>
          <w:fldChar w:fldCharType="separate"/>
        </w:r>
        <w:r>
          <w:t>18</w:t>
        </w:r>
        <w:r>
          <w:fldChar w:fldCharType="end"/>
        </w:r>
      </w:hyperlink>
    </w:p>
    <w:p>
      <w:pPr>
        <w:pStyle w:val="TOC1"/>
        <w:tabs>
          <w:tab w:val="right" w:leader="dot" w:pos="8306"/>
        </w:tabs>
      </w:pPr>
      <w:hyperlink w:anchor="_Toc13688" w:history="1">
        <w:r>
          <w:rPr>
            <w:rFonts w:ascii="仿宋" w:eastAsia="仿宋" w:hAnsi="仿宋" w:cs="仿宋" w:hint="eastAsia"/>
            <w:lang w:eastAsia="zh-CN"/>
          </w:rPr>
          <w:t>七、活载体疫苗项目经营效益</w:t>
        </w:r>
        <w:r>
          <w:tab/>
        </w:r>
        <w:r>
          <w:fldChar w:fldCharType="begin"/>
        </w:r>
        <w:r>
          <w:instrText xml:space="preserve"> PAGEREF _Toc13688 \h </w:instrText>
        </w:r>
        <w:r>
          <w:fldChar w:fldCharType="separate"/>
        </w:r>
        <w:r>
          <w:t>19</w:t>
        </w:r>
        <w:r>
          <w:fldChar w:fldCharType="end"/>
        </w:r>
      </w:hyperlink>
    </w:p>
    <w:p>
      <w:pPr>
        <w:pStyle w:val="TOC2"/>
        <w:tabs>
          <w:tab w:val="right" w:leader="dot" w:pos="8306"/>
        </w:tabs>
      </w:pPr>
      <w:hyperlink w:anchor="_Toc22028" w:history="1">
        <w:r>
          <w:rPr>
            <w:rFonts w:ascii="仿宋" w:eastAsia="仿宋" w:hAnsi="仿宋" w:cs="仿宋" w:hint="eastAsia"/>
            <w:lang w:eastAsia="zh-CN"/>
          </w:rPr>
          <w:t>(一)、经济评价财务测算</w:t>
        </w:r>
        <w:r>
          <w:tab/>
        </w:r>
        <w:r>
          <w:fldChar w:fldCharType="begin"/>
        </w:r>
        <w:r>
          <w:instrText xml:space="preserve"> PAGEREF _Toc22028 \h </w:instrText>
        </w:r>
        <w:r>
          <w:fldChar w:fldCharType="separate"/>
        </w:r>
        <w:r>
          <w:t>19</w:t>
        </w:r>
        <w:r>
          <w:fldChar w:fldCharType="end"/>
        </w:r>
      </w:hyperlink>
    </w:p>
    <w:p>
      <w:pPr>
        <w:pStyle w:val="TOC2"/>
        <w:tabs>
          <w:tab w:val="right" w:leader="dot" w:pos="8306"/>
        </w:tabs>
      </w:pPr>
      <w:hyperlink w:anchor="_Toc24421" w:history="1">
        <w:r>
          <w:rPr>
            <w:rFonts w:ascii="仿宋" w:eastAsia="仿宋" w:hAnsi="仿宋" w:cs="仿宋" w:hint="eastAsia"/>
            <w:lang w:eastAsia="zh-CN"/>
          </w:rPr>
          <w:t>(二)、活载体疫苗项目盈利能力分析</w:t>
        </w:r>
        <w:r>
          <w:tab/>
        </w:r>
        <w:r>
          <w:fldChar w:fldCharType="begin"/>
        </w:r>
        <w:r>
          <w:instrText xml:space="preserve"> PAGEREF _Toc24421 \h </w:instrText>
        </w:r>
        <w:r>
          <w:fldChar w:fldCharType="separate"/>
        </w:r>
        <w:r>
          <w:t>20</w:t>
        </w:r>
        <w:r>
          <w:fldChar w:fldCharType="end"/>
        </w:r>
      </w:hyperlink>
    </w:p>
    <w:p>
      <w:pPr>
        <w:pStyle w:val="TOC1"/>
        <w:tabs>
          <w:tab w:val="right" w:leader="dot" w:pos="8306"/>
        </w:tabs>
      </w:pPr>
      <w:hyperlink w:anchor="_Toc21708" w:history="1">
        <w:r>
          <w:rPr>
            <w:rFonts w:ascii="仿宋" w:eastAsia="仿宋" w:hAnsi="仿宋" w:cs="仿宋" w:hint="eastAsia"/>
            <w:lang w:eastAsia="zh-CN"/>
          </w:rPr>
          <w:t>八、生产安全保护</w:t>
        </w:r>
        <w:r>
          <w:tab/>
        </w:r>
        <w:r>
          <w:fldChar w:fldCharType="begin"/>
        </w:r>
        <w:r>
          <w:instrText xml:space="preserve"> PAGEREF _Toc21708 \h </w:instrText>
        </w:r>
        <w:r>
          <w:fldChar w:fldCharType="separate"/>
        </w:r>
        <w:r>
          <w:t>21</w:t>
        </w:r>
        <w:r>
          <w:fldChar w:fldCharType="end"/>
        </w:r>
      </w:hyperlink>
    </w:p>
    <w:p>
      <w:pPr>
        <w:pStyle w:val="TOC2"/>
        <w:tabs>
          <w:tab w:val="right" w:leader="dot" w:pos="8306"/>
        </w:tabs>
      </w:pPr>
      <w:hyperlink w:anchor="_Toc2100" w:history="1">
        <w:r>
          <w:rPr>
            <w:rFonts w:ascii="仿宋" w:eastAsia="仿宋" w:hAnsi="仿宋" w:cs="仿宋" w:hint="eastAsia"/>
            <w:lang w:eastAsia="zh-CN"/>
          </w:rPr>
          <w:t>(一)、消防安全</w:t>
        </w:r>
        <w:r>
          <w:tab/>
        </w:r>
        <w:r>
          <w:fldChar w:fldCharType="begin"/>
        </w:r>
        <w:r>
          <w:instrText xml:space="preserve"> PAGEREF _Toc2100 \h </w:instrText>
        </w:r>
        <w:r>
          <w:fldChar w:fldCharType="separate"/>
        </w:r>
        <w:r>
          <w:t>21</w:t>
        </w:r>
        <w:r>
          <w:fldChar w:fldCharType="end"/>
        </w:r>
      </w:hyperlink>
    </w:p>
    <w:p>
      <w:pPr>
        <w:pStyle w:val="TOC2"/>
        <w:tabs>
          <w:tab w:val="right" w:leader="dot" w:pos="8306"/>
        </w:tabs>
      </w:pPr>
      <w:hyperlink w:anchor="_Toc6999" w:history="1">
        <w:r>
          <w:rPr>
            <w:rFonts w:ascii="仿宋" w:eastAsia="仿宋" w:hAnsi="仿宋" w:cs="仿宋" w:hint="eastAsia"/>
            <w:lang w:eastAsia="zh-CN"/>
          </w:rPr>
          <w:t>(二)、防火防爆总图布置措施</w:t>
        </w:r>
        <w:r>
          <w:tab/>
        </w:r>
        <w:r>
          <w:fldChar w:fldCharType="begin"/>
        </w:r>
        <w:r>
          <w:instrText xml:space="preserve"> PAGEREF _Toc6999 \h </w:instrText>
        </w:r>
        <w:r>
          <w:fldChar w:fldCharType="separate"/>
        </w:r>
        <w:r>
          <w:t>22</w:t>
        </w:r>
        <w:r>
          <w:fldChar w:fldCharType="end"/>
        </w:r>
      </w:hyperlink>
    </w:p>
    <w:p>
      <w:pPr>
        <w:pStyle w:val="TOC2"/>
        <w:tabs>
          <w:tab w:val="right" w:leader="dot" w:pos="8306"/>
        </w:tabs>
      </w:pPr>
      <w:hyperlink w:anchor="_Toc24908" w:history="1">
        <w:r>
          <w:rPr>
            <w:rFonts w:ascii="仿宋" w:eastAsia="仿宋" w:hAnsi="仿宋" w:cs="仿宋" w:hint="eastAsia"/>
            <w:lang w:eastAsia="zh-CN"/>
          </w:rPr>
          <w:t>(三)、自然灾害防范措施</w:t>
        </w:r>
        <w:r>
          <w:tab/>
        </w:r>
        <w:r>
          <w:fldChar w:fldCharType="begin"/>
        </w:r>
        <w:r>
          <w:instrText xml:space="preserve"> PAGEREF _Toc24908 \h </w:instrText>
        </w:r>
        <w:r>
          <w:fldChar w:fldCharType="separate"/>
        </w:r>
        <w:r>
          <w:t>23</w:t>
        </w:r>
        <w:r>
          <w:fldChar w:fldCharType="end"/>
        </w:r>
      </w:hyperlink>
    </w:p>
    <w:p>
      <w:pPr>
        <w:pStyle w:val="TOC2"/>
        <w:tabs>
          <w:tab w:val="right" w:leader="dot" w:pos="8306"/>
        </w:tabs>
      </w:pPr>
      <w:hyperlink w:anchor="_Toc15104" w:history="1">
        <w:r>
          <w:rPr>
            <w:rFonts w:ascii="仿宋" w:eastAsia="仿宋" w:hAnsi="仿宋" w:cs="仿宋" w:hint="eastAsia"/>
            <w:lang w:eastAsia="zh-CN"/>
          </w:rPr>
          <w:t>(四)、安全色及安全标志使用要求</w:t>
        </w:r>
        <w:r>
          <w:tab/>
        </w:r>
        <w:r>
          <w:fldChar w:fldCharType="begin"/>
        </w:r>
        <w:r>
          <w:instrText xml:space="preserve"> PAGEREF _Toc15104 \h </w:instrText>
        </w:r>
        <w:r>
          <w:fldChar w:fldCharType="separate"/>
        </w:r>
        <w:r>
          <w:t>24</w:t>
        </w:r>
        <w:r>
          <w:fldChar w:fldCharType="end"/>
        </w:r>
      </w:hyperlink>
    </w:p>
    <w:p>
      <w:pPr>
        <w:pStyle w:val="TOC2"/>
        <w:tabs>
          <w:tab w:val="right" w:leader="dot" w:pos="8306"/>
        </w:tabs>
      </w:pPr>
      <w:hyperlink w:anchor="_Toc28185" w:history="1">
        <w:r>
          <w:rPr>
            <w:rFonts w:ascii="仿宋" w:eastAsia="仿宋" w:hAnsi="仿宋" w:cs="仿宋" w:hint="eastAsia"/>
            <w:lang w:eastAsia="zh-CN"/>
          </w:rPr>
          <w:t>(五)、防尘防毒措施</w:t>
        </w:r>
        <w:r>
          <w:tab/>
        </w:r>
        <w:r>
          <w:fldChar w:fldCharType="begin"/>
        </w:r>
        <w:r>
          <w:instrText xml:space="preserve"> PAGEREF _Toc28185 \h </w:instrText>
        </w:r>
        <w:r>
          <w:fldChar w:fldCharType="separate"/>
        </w:r>
        <w:r>
          <w:t>25</w:t>
        </w:r>
        <w:r>
          <w:fldChar w:fldCharType="end"/>
        </w:r>
      </w:hyperlink>
    </w:p>
    <w:p>
      <w:pPr>
        <w:pStyle w:val="TOC2"/>
        <w:tabs>
          <w:tab w:val="right" w:leader="dot" w:pos="8306"/>
        </w:tabs>
      </w:pPr>
      <w:hyperlink w:anchor="_Toc2913" w:history="1">
        <w:r>
          <w:rPr>
            <w:rFonts w:ascii="仿宋" w:eastAsia="仿宋" w:hAnsi="仿宋" w:cs="仿宋" w:hint="eastAsia"/>
            <w:lang w:eastAsia="zh-CN"/>
          </w:rPr>
          <w:t>(六)、防静电、触电防护及防雷措施</w:t>
        </w:r>
        <w:r>
          <w:tab/>
        </w:r>
        <w:r>
          <w:fldChar w:fldCharType="begin"/>
        </w:r>
        <w:r>
          <w:instrText xml:space="preserve"> PAGEREF _Toc2913 \h </w:instrText>
        </w:r>
        <w:r>
          <w:fldChar w:fldCharType="separate"/>
        </w:r>
        <w:r>
          <w:t>26</w:t>
        </w:r>
        <w:r>
          <w:fldChar w:fldCharType="end"/>
        </w:r>
      </w:hyperlink>
    </w:p>
    <w:p>
      <w:pPr>
        <w:pStyle w:val="TOC2"/>
        <w:tabs>
          <w:tab w:val="right" w:leader="dot" w:pos="8306"/>
        </w:tabs>
      </w:pPr>
      <w:hyperlink w:anchor="_Toc27199" w:history="1">
        <w:r>
          <w:rPr>
            <w:rFonts w:ascii="仿宋" w:eastAsia="仿宋" w:hAnsi="仿宋" w:cs="仿宋" w:hint="eastAsia"/>
            <w:lang w:eastAsia="zh-CN"/>
          </w:rPr>
          <w:t>(七)、机械设备安全保障措施</w:t>
        </w:r>
        <w:r>
          <w:tab/>
        </w:r>
        <w:r>
          <w:fldChar w:fldCharType="begin"/>
        </w:r>
        <w:r>
          <w:instrText xml:space="preserve"> PAGEREF _Toc27199 \h </w:instrText>
        </w:r>
        <w:r>
          <w:fldChar w:fldCharType="separate"/>
        </w:r>
        <w:r>
          <w:t>27</w:t>
        </w:r>
        <w:r>
          <w:fldChar w:fldCharType="end"/>
        </w:r>
      </w:hyperlink>
    </w:p>
    <w:p>
      <w:pPr>
        <w:pStyle w:val="TOC1"/>
        <w:tabs>
          <w:tab w:val="right" w:leader="dot" w:pos="8306"/>
        </w:tabs>
      </w:pPr>
      <w:hyperlink w:anchor="_Toc23095" w:history="1">
        <w:r>
          <w:rPr>
            <w:rFonts w:ascii="仿宋" w:eastAsia="仿宋" w:hAnsi="仿宋" w:cs="仿宋" w:hint="eastAsia"/>
            <w:lang w:eastAsia="zh-CN"/>
          </w:rPr>
          <w:t>九、活载体疫苗项目创新与研发</w:t>
        </w:r>
        <w:r>
          <w:tab/>
        </w:r>
        <w:r>
          <w:fldChar w:fldCharType="begin"/>
        </w:r>
        <w:r>
          <w:instrText xml:space="preserve"> PAGEREF _Toc23095 \h </w:instrText>
        </w:r>
        <w:r>
          <w:fldChar w:fldCharType="separate"/>
        </w:r>
        <w:r>
          <w:t>29</w:t>
        </w:r>
        <w:r>
          <w:fldChar w:fldCharType="end"/>
        </w:r>
      </w:hyperlink>
    </w:p>
    <w:p>
      <w:pPr>
        <w:pStyle w:val="TOC2"/>
        <w:tabs>
          <w:tab w:val="right" w:leader="dot" w:pos="8306"/>
        </w:tabs>
      </w:pPr>
      <w:hyperlink w:anchor="_Toc4742" w:history="1">
        <w:r>
          <w:rPr>
            <w:rFonts w:ascii="仿宋" w:eastAsia="仿宋" w:hAnsi="仿宋" w:cs="仿宋" w:hint="eastAsia"/>
            <w:lang w:eastAsia="zh-CN"/>
          </w:rPr>
          <w:t>(一)、创新策略与方向</w:t>
        </w:r>
        <w:r>
          <w:tab/>
        </w:r>
        <w:r>
          <w:fldChar w:fldCharType="begin"/>
        </w:r>
        <w:r>
          <w:instrText xml:space="preserve"> PAGEREF _Toc4742 \h </w:instrText>
        </w:r>
        <w:r>
          <w:fldChar w:fldCharType="separate"/>
        </w:r>
        <w:r>
          <w:t>29</w:t>
        </w:r>
        <w:r>
          <w:fldChar w:fldCharType="end"/>
        </w:r>
      </w:hyperlink>
    </w:p>
    <w:p>
      <w:pPr>
        <w:pStyle w:val="TOC2"/>
        <w:tabs>
          <w:tab w:val="right" w:leader="dot" w:pos="8306"/>
        </w:tabs>
      </w:pPr>
      <w:hyperlink w:anchor="_Toc1825" w:history="1">
        <w:r>
          <w:rPr>
            <w:rFonts w:ascii="仿宋" w:eastAsia="仿宋" w:hAnsi="仿宋" w:cs="仿宋" w:hint="eastAsia"/>
            <w:lang w:eastAsia="zh-CN"/>
          </w:rPr>
          <w:t>(二)、研发规划与投入</w:t>
        </w:r>
        <w:r>
          <w:tab/>
        </w:r>
        <w:r>
          <w:fldChar w:fldCharType="begin"/>
        </w:r>
        <w:r>
          <w:instrText xml:space="preserve"> PAGEREF _Toc1825 \h </w:instrText>
        </w:r>
        <w:r>
          <w:fldChar w:fldCharType="separate"/>
        </w:r>
        <w:r>
          <w:t>30</w:t>
        </w:r>
        <w:r>
          <w:fldChar w:fldCharType="end"/>
        </w:r>
      </w:hyperlink>
    </w:p>
    <w:p>
      <w:pPr>
        <w:pStyle w:val="TOC1"/>
        <w:tabs>
          <w:tab w:val="right" w:leader="dot" w:pos="8306"/>
        </w:tabs>
      </w:pPr>
      <w:hyperlink w:anchor="_Toc28198" w:history="1">
        <w:r>
          <w:rPr>
            <w:rFonts w:ascii="仿宋" w:eastAsia="仿宋" w:hAnsi="仿宋" w:cs="仿宋" w:hint="eastAsia"/>
            <w:lang w:eastAsia="zh-CN"/>
          </w:rPr>
          <w:t>十、活载体疫苗项目风险管理</w:t>
        </w:r>
        <w:r>
          <w:tab/>
        </w:r>
        <w:r>
          <w:fldChar w:fldCharType="begin"/>
        </w:r>
        <w:r>
          <w:instrText xml:space="preserve"> PAGEREF _Toc28198 \h </w:instrText>
        </w:r>
        <w:r>
          <w:fldChar w:fldCharType="separate"/>
        </w:r>
        <w:r>
          <w:t>32</w:t>
        </w:r>
        <w:r>
          <w:fldChar w:fldCharType="end"/>
        </w:r>
      </w:hyperlink>
    </w:p>
    <w:p>
      <w:pPr>
        <w:pStyle w:val="TOC2"/>
        <w:tabs>
          <w:tab w:val="right" w:leader="dot" w:pos="8306"/>
        </w:tabs>
      </w:pPr>
      <w:hyperlink w:anchor="_Toc21061" w:history="1">
        <w:r>
          <w:rPr>
            <w:rFonts w:ascii="仿宋" w:eastAsia="仿宋" w:hAnsi="仿宋" w:cs="仿宋" w:hint="eastAsia"/>
            <w:lang w:eastAsia="zh-CN"/>
          </w:rPr>
          <w:t>(一)、风险识别与评估</w:t>
        </w:r>
        <w:r>
          <w:tab/>
        </w:r>
        <w:r>
          <w:fldChar w:fldCharType="begin"/>
        </w:r>
        <w:r>
          <w:instrText xml:space="preserve"> PAGEREF _Toc21061 \h </w:instrText>
        </w:r>
        <w:r>
          <w:fldChar w:fldCharType="separate"/>
        </w:r>
        <w:r>
          <w:t>32</w:t>
        </w:r>
        <w:r>
          <w:fldChar w:fldCharType="end"/>
        </w:r>
      </w:hyperlink>
    </w:p>
    <w:p>
      <w:pPr>
        <w:pStyle w:val="TOC2"/>
        <w:tabs>
          <w:tab w:val="right" w:leader="dot" w:pos="8306"/>
        </w:tabs>
      </w:pPr>
      <w:hyperlink w:anchor="_Toc25425" w:history="1">
        <w:r>
          <w:rPr>
            <w:rFonts w:ascii="仿宋" w:eastAsia="仿宋" w:hAnsi="仿宋" w:cs="仿宋" w:hint="eastAsia"/>
            <w:lang w:eastAsia="zh-CN"/>
          </w:rPr>
          <w:t>(二)、风险应对策略</w:t>
        </w:r>
        <w:r>
          <w:tab/>
        </w:r>
        <w:r>
          <w:fldChar w:fldCharType="begin"/>
        </w:r>
        <w:r>
          <w:instrText xml:space="preserve"> PAGEREF _Toc25425 \h </w:instrText>
        </w:r>
        <w:r>
          <w:fldChar w:fldCharType="separate"/>
        </w:r>
        <w:r>
          <w:t>33</w:t>
        </w:r>
        <w:r>
          <w:fldChar w:fldCharType="end"/>
        </w:r>
      </w:hyperlink>
    </w:p>
    <w:p>
      <w:pPr>
        <w:pStyle w:val="TOC2"/>
        <w:tabs>
          <w:tab w:val="right" w:leader="dot" w:pos="8306"/>
        </w:tabs>
      </w:pPr>
      <w:hyperlink w:anchor="_Toc7460" w:history="1">
        <w:r>
          <w:rPr>
            <w:rFonts w:ascii="仿宋" w:eastAsia="仿宋" w:hAnsi="仿宋" w:cs="仿宋" w:hint="eastAsia"/>
            <w:lang w:eastAsia="zh-CN"/>
          </w:rPr>
          <w:t>(三)、风险监控与控制</w:t>
        </w:r>
        <w:r>
          <w:tab/>
        </w:r>
        <w:r>
          <w:fldChar w:fldCharType="begin"/>
        </w:r>
        <w:r>
          <w:instrText xml:space="preserve"> PAGEREF _Toc7460 \h </w:instrText>
        </w:r>
        <w:r>
          <w:fldChar w:fldCharType="separate"/>
        </w:r>
        <w:r>
          <w:t>35</w:t>
        </w:r>
        <w:r>
          <w:fldChar w:fldCharType="end"/>
        </w:r>
      </w:hyperlink>
    </w:p>
    <w:p>
      <w:pPr>
        <w:pStyle w:val="TOC1"/>
        <w:tabs>
          <w:tab w:val="right" w:leader="dot" w:pos="8306"/>
        </w:tabs>
      </w:pPr>
      <w:hyperlink w:anchor="_Toc31024" w:history="1">
        <w:r>
          <w:rPr>
            <w:rFonts w:ascii="仿宋" w:eastAsia="仿宋" w:hAnsi="仿宋" w:cs="仿宋" w:hint="eastAsia"/>
            <w:lang w:eastAsia="zh-CN"/>
          </w:rPr>
          <w:t>十一、活载体疫苗项目投资规划</w:t>
        </w:r>
        <w:r>
          <w:tab/>
        </w:r>
        <w:r>
          <w:fldChar w:fldCharType="begin"/>
        </w:r>
        <w:r>
          <w:instrText xml:space="preserve"> PAGEREF _Toc31024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38" w:history="1">
        <w:r>
          <w:rPr>
            <w:rFonts w:ascii="仿宋" w:eastAsia="仿宋" w:hAnsi="仿宋" w:cs="仿宋" w:hint="eastAsia"/>
            <w:lang w:eastAsia="zh-CN"/>
          </w:rPr>
          <w:t>(一)、活载体疫苗项目总投资估算</w:t>
        </w:r>
        <w:r>
          <w:tab/>
        </w:r>
        <w:r>
          <w:fldChar w:fldCharType="begin"/>
        </w:r>
        <w:r>
          <w:instrText xml:space="preserve"> PAGEREF _Toc5938 \h </w:instrText>
        </w:r>
        <w:r>
          <w:fldChar w:fldCharType="separate"/>
        </w:r>
        <w:r>
          <w:t>36</w:t>
        </w:r>
        <w:r>
          <w:fldChar w:fldCharType="end"/>
        </w:r>
      </w:hyperlink>
    </w:p>
    <w:p>
      <w:pPr>
        <w:pStyle w:val="TOC2"/>
        <w:tabs>
          <w:tab w:val="right" w:leader="dot" w:pos="8306"/>
        </w:tabs>
      </w:pPr>
      <w:hyperlink w:anchor="_Toc31407" w:history="1">
        <w:r>
          <w:rPr>
            <w:rFonts w:ascii="仿宋" w:eastAsia="仿宋" w:hAnsi="仿宋" w:cs="仿宋" w:hint="eastAsia"/>
            <w:lang w:eastAsia="zh-CN"/>
          </w:rPr>
          <w:t>(二)、资金筹措</w:t>
        </w:r>
        <w:r>
          <w:tab/>
        </w:r>
        <w:r>
          <w:fldChar w:fldCharType="begin"/>
        </w:r>
        <w:r>
          <w:instrText xml:space="preserve"> PAGEREF _Toc31407 \h </w:instrText>
        </w:r>
        <w:r>
          <w:fldChar w:fldCharType="separate"/>
        </w:r>
        <w:r>
          <w:t>37</w:t>
        </w:r>
        <w:r>
          <w:fldChar w:fldCharType="end"/>
        </w:r>
      </w:hyperlink>
    </w:p>
    <w:p>
      <w:pPr>
        <w:pStyle w:val="TOC1"/>
        <w:tabs>
          <w:tab w:val="right" w:leader="dot" w:pos="8306"/>
        </w:tabs>
      </w:pPr>
      <w:hyperlink w:anchor="_Toc23518" w:history="1">
        <w:r>
          <w:rPr>
            <w:rFonts w:ascii="仿宋" w:eastAsia="仿宋" w:hAnsi="仿宋" w:cs="仿宋" w:hint="eastAsia"/>
            <w:lang w:eastAsia="zh-CN"/>
          </w:rPr>
          <w:t>十二、活载体疫苗项目人力资源管理</w:t>
        </w:r>
        <w:r>
          <w:tab/>
        </w:r>
        <w:r>
          <w:fldChar w:fldCharType="begin"/>
        </w:r>
        <w:r>
          <w:instrText xml:space="preserve"> PAGEREF _Toc23518 \h </w:instrText>
        </w:r>
        <w:r>
          <w:fldChar w:fldCharType="separate"/>
        </w:r>
        <w:r>
          <w:t>38</w:t>
        </w:r>
        <w:r>
          <w:fldChar w:fldCharType="end"/>
        </w:r>
      </w:hyperlink>
    </w:p>
    <w:p>
      <w:pPr>
        <w:pStyle w:val="TOC2"/>
        <w:tabs>
          <w:tab w:val="right" w:leader="dot" w:pos="8306"/>
        </w:tabs>
      </w:pPr>
      <w:hyperlink w:anchor="_Toc2255" w:history="1">
        <w:r>
          <w:rPr>
            <w:rFonts w:ascii="仿宋" w:eastAsia="仿宋" w:hAnsi="仿宋" w:cs="仿宋" w:hint="eastAsia"/>
            <w:lang w:eastAsia="zh-CN"/>
          </w:rPr>
          <w:t>(一)、建立健全的预算管理制度</w:t>
        </w:r>
        <w:r>
          <w:tab/>
        </w:r>
        <w:r>
          <w:fldChar w:fldCharType="begin"/>
        </w:r>
        <w:r>
          <w:instrText xml:space="preserve"> PAGEREF _Toc2255 \h </w:instrText>
        </w:r>
        <w:r>
          <w:fldChar w:fldCharType="separate"/>
        </w:r>
        <w:r>
          <w:t>38</w:t>
        </w:r>
        <w:r>
          <w:fldChar w:fldCharType="end"/>
        </w:r>
      </w:hyperlink>
    </w:p>
    <w:p>
      <w:pPr>
        <w:pStyle w:val="TOC2"/>
        <w:tabs>
          <w:tab w:val="right" w:leader="dot" w:pos="8306"/>
        </w:tabs>
      </w:pPr>
      <w:hyperlink w:anchor="_Toc30258" w:history="1">
        <w:r>
          <w:rPr>
            <w:rFonts w:ascii="仿宋" w:eastAsia="仿宋" w:hAnsi="仿宋" w:cs="仿宋" w:hint="eastAsia"/>
            <w:lang w:eastAsia="zh-CN"/>
          </w:rPr>
          <w:t>(二)、加强资金流动监控</w:t>
        </w:r>
        <w:r>
          <w:tab/>
        </w:r>
        <w:r>
          <w:fldChar w:fldCharType="begin"/>
        </w:r>
        <w:r>
          <w:instrText xml:space="preserve"> PAGEREF _Toc30258 \h </w:instrText>
        </w:r>
        <w:r>
          <w:fldChar w:fldCharType="separate"/>
        </w:r>
        <w:r>
          <w:t>40</w:t>
        </w:r>
        <w:r>
          <w:fldChar w:fldCharType="end"/>
        </w:r>
      </w:hyperlink>
    </w:p>
    <w:p>
      <w:pPr>
        <w:pStyle w:val="TOC2"/>
        <w:tabs>
          <w:tab w:val="right" w:leader="dot" w:pos="8306"/>
        </w:tabs>
      </w:pPr>
      <w:hyperlink w:anchor="_Toc24660" w:history="1">
        <w:r>
          <w:rPr>
            <w:rFonts w:ascii="仿宋" w:eastAsia="仿宋" w:hAnsi="仿宋" w:cs="仿宋" w:hint="eastAsia"/>
            <w:lang w:eastAsia="zh-CN"/>
          </w:rPr>
          <w:t>(三)、制定完善的风险控制机制</w:t>
        </w:r>
        <w:r>
          <w:tab/>
        </w:r>
        <w:r>
          <w:fldChar w:fldCharType="begin"/>
        </w:r>
        <w:r>
          <w:instrText xml:space="preserve"> PAGEREF _Toc24660 \h </w:instrText>
        </w:r>
        <w:r>
          <w:fldChar w:fldCharType="separate"/>
        </w:r>
        <w:r>
          <w:t>41</w:t>
        </w:r>
        <w:r>
          <w:fldChar w:fldCharType="end"/>
        </w:r>
      </w:hyperlink>
    </w:p>
    <w:p>
      <w:pPr>
        <w:pStyle w:val="TOC2"/>
        <w:tabs>
          <w:tab w:val="right" w:leader="dot" w:pos="8306"/>
        </w:tabs>
      </w:pPr>
      <w:hyperlink w:anchor="_Toc7742" w:history="1">
        <w:r>
          <w:rPr>
            <w:rFonts w:ascii="仿宋" w:eastAsia="仿宋" w:hAnsi="仿宋" w:cs="仿宋" w:hint="eastAsia"/>
            <w:lang w:eastAsia="zh-CN"/>
          </w:rPr>
          <w:t>(四)、优化成本管理</w:t>
        </w:r>
        <w:r>
          <w:tab/>
        </w:r>
        <w:r>
          <w:fldChar w:fldCharType="begin"/>
        </w:r>
        <w:r>
          <w:instrText xml:space="preserve"> PAGEREF _Toc7742 \h </w:instrText>
        </w:r>
        <w:r>
          <w:fldChar w:fldCharType="separate"/>
        </w:r>
        <w:r>
          <w:t>42</w:t>
        </w:r>
        <w:r>
          <w:fldChar w:fldCharType="end"/>
        </w:r>
      </w:hyperlink>
    </w:p>
    <w:p>
      <w:pPr>
        <w:pStyle w:val="TOC1"/>
        <w:tabs>
          <w:tab w:val="right" w:leader="dot" w:pos="8306"/>
        </w:tabs>
      </w:pPr>
      <w:hyperlink w:anchor="_Toc30212" w:history="1">
        <w:r>
          <w:rPr>
            <w:rFonts w:ascii="仿宋" w:eastAsia="仿宋" w:hAnsi="仿宋" w:cs="仿宋" w:hint="eastAsia"/>
            <w:lang w:eastAsia="zh-CN"/>
          </w:rPr>
          <w:t>十三、质量管理体系</w:t>
        </w:r>
        <w:r>
          <w:tab/>
        </w:r>
        <w:r>
          <w:fldChar w:fldCharType="begin"/>
        </w:r>
        <w:r>
          <w:instrText xml:space="preserve"> PAGEREF _Toc30212 \h </w:instrText>
        </w:r>
        <w:r>
          <w:fldChar w:fldCharType="separate"/>
        </w:r>
        <w:r>
          <w:t>43</w:t>
        </w:r>
        <w:r>
          <w:fldChar w:fldCharType="end"/>
        </w:r>
      </w:hyperlink>
    </w:p>
    <w:p>
      <w:pPr>
        <w:pStyle w:val="TOC2"/>
        <w:tabs>
          <w:tab w:val="right" w:leader="dot" w:pos="8306"/>
        </w:tabs>
      </w:pPr>
      <w:hyperlink w:anchor="_Toc26327" w:history="1">
        <w:r>
          <w:rPr>
            <w:rFonts w:ascii="仿宋" w:eastAsia="仿宋" w:hAnsi="仿宋" w:cs="仿宋" w:hint="eastAsia"/>
            <w:lang w:eastAsia="zh-CN"/>
          </w:rPr>
          <w:t>(一)、质量目标与方针</w:t>
        </w:r>
        <w:r>
          <w:tab/>
        </w:r>
        <w:r>
          <w:fldChar w:fldCharType="begin"/>
        </w:r>
        <w:r>
          <w:instrText xml:space="preserve"> PAGEREF _Toc26327 \h </w:instrText>
        </w:r>
        <w:r>
          <w:fldChar w:fldCharType="separate"/>
        </w:r>
        <w:r>
          <w:t>43</w:t>
        </w:r>
        <w:r>
          <w:fldChar w:fldCharType="end"/>
        </w:r>
      </w:hyperlink>
    </w:p>
    <w:p>
      <w:pPr>
        <w:pStyle w:val="TOC2"/>
        <w:tabs>
          <w:tab w:val="right" w:leader="dot" w:pos="8306"/>
        </w:tabs>
      </w:pPr>
      <w:hyperlink w:anchor="_Toc26075" w:history="1">
        <w:r>
          <w:rPr>
            <w:rFonts w:ascii="仿宋" w:eastAsia="仿宋" w:hAnsi="仿宋" w:cs="仿宋" w:hint="eastAsia"/>
            <w:lang w:eastAsia="zh-CN"/>
          </w:rPr>
          <w:t>(二)、质量管理责任</w:t>
        </w:r>
        <w:r>
          <w:tab/>
        </w:r>
        <w:r>
          <w:fldChar w:fldCharType="begin"/>
        </w:r>
        <w:r>
          <w:instrText xml:space="preserve"> PAGEREF _Toc26075 \h </w:instrText>
        </w:r>
        <w:r>
          <w:fldChar w:fldCharType="separate"/>
        </w:r>
        <w:r>
          <w:t>44</w:t>
        </w:r>
        <w:r>
          <w:fldChar w:fldCharType="end"/>
        </w:r>
      </w:hyperlink>
    </w:p>
    <w:p>
      <w:pPr>
        <w:pStyle w:val="TOC2"/>
        <w:tabs>
          <w:tab w:val="right" w:leader="dot" w:pos="8306"/>
        </w:tabs>
      </w:pPr>
      <w:hyperlink w:anchor="_Toc1669" w:history="1">
        <w:r>
          <w:rPr>
            <w:rFonts w:ascii="仿宋" w:eastAsia="仿宋" w:hAnsi="仿宋" w:cs="仿宋" w:hint="eastAsia"/>
            <w:lang w:eastAsia="zh-CN"/>
          </w:rPr>
          <w:t>(三)、质量管理体系文件</w:t>
        </w:r>
        <w:r>
          <w:tab/>
        </w:r>
        <w:r>
          <w:fldChar w:fldCharType="begin"/>
        </w:r>
        <w:r>
          <w:instrText xml:space="preserve"> PAGEREF _Toc1669 \h </w:instrText>
        </w:r>
        <w:r>
          <w:fldChar w:fldCharType="separate"/>
        </w:r>
        <w:r>
          <w:t>46</w:t>
        </w:r>
        <w:r>
          <w:fldChar w:fldCharType="end"/>
        </w:r>
      </w:hyperlink>
    </w:p>
    <w:p>
      <w:pPr>
        <w:pStyle w:val="TOC2"/>
        <w:tabs>
          <w:tab w:val="right" w:leader="dot" w:pos="8306"/>
        </w:tabs>
      </w:pPr>
      <w:hyperlink w:anchor="_Toc21724" w:history="1">
        <w:r>
          <w:rPr>
            <w:rFonts w:ascii="仿宋" w:eastAsia="仿宋" w:hAnsi="仿宋" w:cs="仿宋" w:hint="eastAsia"/>
            <w:lang w:eastAsia="zh-CN"/>
          </w:rPr>
          <w:t>(四)、质量培训与教育</w:t>
        </w:r>
        <w:r>
          <w:tab/>
        </w:r>
        <w:r>
          <w:fldChar w:fldCharType="begin"/>
        </w:r>
        <w:r>
          <w:instrText xml:space="preserve"> PAGEREF _Toc21724 \h </w:instrText>
        </w:r>
        <w:r>
          <w:fldChar w:fldCharType="separate"/>
        </w:r>
        <w:r>
          <w:t>48</w:t>
        </w:r>
        <w:r>
          <w:fldChar w:fldCharType="end"/>
        </w:r>
      </w:hyperlink>
    </w:p>
    <w:p>
      <w:pPr>
        <w:pStyle w:val="TOC2"/>
        <w:tabs>
          <w:tab w:val="right" w:leader="dot" w:pos="8306"/>
        </w:tabs>
      </w:pPr>
      <w:hyperlink w:anchor="_Toc31878" w:history="1">
        <w:r>
          <w:rPr>
            <w:rFonts w:ascii="仿宋" w:eastAsia="仿宋" w:hAnsi="仿宋" w:cs="仿宋" w:hint="eastAsia"/>
            <w:lang w:eastAsia="zh-CN"/>
          </w:rPr>
          <w:t>(五)、质量审核与评价</w:t>
        </w:r>
        <w:r>
          <w:tab/>
        </w:r>
        <w:r>
          <w:fldChar w:fldCharType="begin"/>
        </w:r>
        <w:r>
          <w:instrText xml:space="preserve"> PAGEREF _Toc31878 \h </w:instrText>
        </w:r>
        <w:r>
          <w:fldChar w:fldCharType="separate"/>
        </w:r>
        <w:r>
          <w:t>49</w:t>
        </w:r>
        <w:r>
          <w:fldChar w:fldCharType="end"/>
        </w:r>
      </w:hyperlink>
    </w:p>
    <w:p>
      <w:pPr>
        <w:pStyle w:val="TOC2"/>
        <w:tabs>
          <w:tab w:val="right" w:leader="dot" w:pos="8306"/>
        </w:tabs>
      </w:pPr>
      <w:hyperlink w:anchor="_Toc8807" w:history="1">
        <w:r>
          <w:rPr>
            <w:rFonts w:ascii="仿宋" w:eastAsia="仿宋" w:hAnsi="仿宋" w:cs="仿宋" w:hint="eastAsia"/>
            <w:lang w:eastAsia="zh-CN"/>
          </w:rPr>
          <w:t>(六)、不符合与纠正措施</w:t>
        </w:r>
        <w:r>
          <w:tab/>
        </w:r>
        <w:r>
          <w:fldChar w:fldCharType="begin"/>
        </w:r>
        <w:r>
          <w:instrText xml:space="preserve"> PAGEREF _Toc8807 \h </w:instrText>
        </w:r>
        <w:r>
          <w:fldChar w:fldCharType="separate"/>
        </w:r>
        <w:r>
          <w:t>50</w:t>
        </w:r>
        <w:r>
          <w:fldChar w:fldCharType="end"/>
        </w:r>
      </w:hyperlink>
    </w:p>
    <w:p>
      <w:pPr>
        <w:pStyle w:val="TOC1"/>
        <w:tabs>
          <w:tab w:val="right" w:leader="dot" w:pos="8306"/>
        </w:tabs>
      </w:pPr>
      <w:hyperlink w:anchor="_Toc27963" w:history="1">
        <w:r>
          <w:rPr>
            <w:rFonts w:ascii="仿宋" w:eastAsia="仿宋" w:hAnsi="仿宋" w:cs="仿宋" w:hint="eastAsia"/>
            <w:lang w:eastAsia="zh-CN"/>
          </w:rPr>
          <w:t>十四、风险识别与分类</w:t>
        </w:r>
        <w:r>
          <w:tab/>
        </w:r>
        <w:r>
          <w:fldChar w:fldCharType="begin"/>
        </w:r>
        <w:r>
          <w:instrText xml:space="preserve"> PAGEREF _Toc27963 \h </w:instrText>
        </w:r>
        <w:r>
          <w:fldChar w:fldCharType="separate"/>
        </w:r>
        <w:r>
          <w:t>51</w:t>
        </w:r>
        <w:r>
          <w:fldChar w:fldCharType="end"/>
        </w:r>
      </w:hyperlink>
    </w:p>
    <w:p>
      <w:pPr>
        <w:pStyle w:val="TOC2"/>
        <w:tabs>
          <w:tab w:val="right" w:leader="dot" w:pos="8306"/>
        </w:tabs>
      </w:pPr>
      <w:hyperlink w:anchor="_Toc3112" w:history="1">
        <w:r>
          <w:rPr>
            <w:rFonts w:ascii="仿宋" w:eastAsia="仿宋" w:hAnsi="仿宋" w:cs="仿宋" w:hint="eastAsia"/>
            <w:lang w:eastAsia="zh-CN"/>
          </w:rPr>
          <w:t>(一)、风险识别</w:t>
        </w:r>
        <w:r>
          <w:tab/>
        </w:r>
        <w:r>
          <w:fldChar w:fldCharType="begin"/>
        </w:r>
        <w:r>
          <w:instrText xml:space="preserve"> PAGEREF _Toc3112 \h </w:instrText>
        </w:r>
        <w:r>
          <w:fldChar w:fldCharType="separate"/>
        </w:r>
        <w:r>
          <w:t>51</w:t>
        </w:r>
        <w:r>
          <w:fldChar w:fldCharType="end"/>
        </w:r>
      </w:hyperlink>
    </w:p>
    <w:p>
      <w:pPr>
        <w:pStyle w:val="TOC2"/>
        <w:tabs>
          <w:tab w:val="right" w:leader="dot" w:pos="8306"/>
        </w:tabs>
      </w:pPr>
      <w:hyperlink w:anchor="_Toc20875" w:history="1">
        <w:r>
          <w:rPr>
            <w:rFonts w:ascii="仿宋" w:eastAsia="仿宋" w:hAnsi="仿宋" w:cs="仿宋" w:hint="eastAsia"/>
            <w:lang w:eastAsia="zh-CN"/>
          </w:rPr>
          <w:t>(二)、风险分类</w:t>
        </w:r>
        <w:r>
          <w:tab/>
        </w:r>
        <w:r>
          <w:fldChar w:fldCharType="begin"/>
        </w:r>
        <w:r>
          <w:instrText xml:space="preserve"> PAGEREF _Toc20875 \h </w:instrText>
        </w:r>
        <w:r>
          <w:fldChar w:fldCharType="separate"/>
        </w:r>
        <w:r>
          <w:t>52</w:t>
        </w:r>
        <w:r>
          <w:fldChar w:fldCharType="end"/>
        </w:r>
      </w:hyperlink>
    </w:p>
    <w:p>
      <w:pPr>
        <w:pStyle w:val="TOC1"/>
        <w:tabs>
          <w:tab w:val="right" w:leader="dot" w:pos="8306"/>
        </w:tabs>
      </w:pPr>
      <w:hyperlink w:anchor="_Toc15122" w:history="1">
        <w:r>
          <w:rPr>
            <w:rFonts w:ascii="仿宋" w:eastAsia="仿宋" w:hAnsi="仿宋" w:cs="仿宋" w:hint="eastAsia"/>
            <w:lang w:eastAsia="zh-CN"/>
          </w:rPr>
          <w:t>十五、供应链管理</w:t>
        </w:r>
        <w:r>
          <w:tab/>
        </w:r>
        <w:r>
          <w:fldChar w:fldCharType="begin"/>
        </w:r>
        <w:r>
          <w:instrText xml:space="preserve"> PAGEREF _Toc15122 \h </w:instrText>
        </w:r>
        <w:r>
          <w:fldChar w:fldCharType="separate"/>
        </w:r>
        <w:r>
          <w:t>54</w:t>
        </w:r>
        <w:r>
          <w:fldChar w:fldCharType="end"/>
        </w:r>
      </w:hyperlink>
    </w:p>
    <w:p>
      <w:pPr>
        <w:pStyle w:val="TOC2"/>
        <w:tabs>
          <w:tab w:val="right" w:leader="dot" w:pos="8306"/>
        </w:tabs>
      </w:pPr>
      <w:hyperlink w:anchor="_Toc12504" w:history="1">
        <w:r>
          <w:rPr>
            <w:rFonts w:ascii="仿宋" w:eastAsia="仿宋" w:hAnsi="仿宋" w:cs="仿宋" w:hint="eastAsia"/>
            <w:lang w:eastAsia="zh-CN"/>
          </w:rPr>
          <w:t>(一)、供应链战略规划</w:t>
        </w:r>
        <w:r>
          <w:tab/>
        </w:r>
        <w:r>
          <w:fldChar w:fldCharType="begin"/>
        </w:r>
        <w:r>
          <w:instrText xml:space="preserve"> PAGEREF _Toc12504 \h </w:instrText>
        </w:r>
        <w:r>
          <w:fldChar w:fldCharType="separate"/>
        </w:r>
        <w:r>
          <w:t>54</w:t>
        </w:r>
        <w:r>
          <w:fldChar w:fldCharType="end"/>
        </w:r>
      </w:hyperlink>
    </w:p>
    <w:p>
      <w:pPr>
        <w:pStyle w:val="TOC2"/>
        <w:tabs>
          <w:tab w:val="right" w:leader="dot" w:pos="8306"/>
        </w:tabs>
      </w:pPr>
      <w:hyperlink w:anchor="_Toc23073" w:history="1">
        <w:r>
          <w:rPr>
            <w:rFonts w:ascii="仿宋" w:eastAsia="仿宋" w:hAnsi="仿宋" w:cs="仿宋" w:hint="eastAsia"/>
            <w:lang w:eastAsia="zh-CN"/>
          </w:rPr>
          <w:t>(二)、供应商选择与合作</w:t>
        </w:r>
        <w:r>
          <w:tab/>
        </w:r>
        <w:r>
          <w:fldChar w:fldCharType="begin"/>
        </w:r>
        <w:r>
          <w:instrText xml:space="preserve"> PAGEREF _Toc23073 \h </w:instrText>
        </w:r>
        <w:r>
          <w:fldChar w:fldCharType="separate"/>
        </w:r>
        <w:r>
          <w:t>56</w:t>
        </w:r>
        <w:r>
          <w:fldChar w:fldCharType="end"/>
        </w:r>
      </w:hyperlink>
    </w:p>
    <w:p>
      <w:pPr>
        <w:pStyle w:val="TOC2"/>
        <w:tabs>
          <w:tab w:val="right" w:leader="dot" w:pos="8306"/>
        </w:tabs>
      </w:pPr>
      <w:hyperlink w:anchor="_Toc6503" w:history="1">
        <w:r>
          <w:rPr>
            <w:rFonts w:ascii="仿宋" w:eastAsia="仿宋" w:hAnsi="仿宋" w:cs="仿宋" w:hint="eastAsia"/>
            <w:lang w:eastAsia="zh-CN"/>
          </w:rPr>
          <w:t>(三)、物流与库存管理</w:t>
        </w:r>
        <w:r>
          <w:tab/>
        </w:r>
        <w:r>
          <w:fldChar w:fldCharType="begin"/>
        </w:r>
        <w:r>
          <w:instrText xml:space="preserve"> PAGEREF _Toc6503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85"/>
      <w:r>
        <w:rPr>
          <w:rFonts w:ascii="仿宋" w:eastAsia="仿宋" w:hAnsi="仿宋" w:cs="仿宋" w:hint="eastAsia"/>
          <w:sz w:val="28"/>
          <w:lang w:eastAsia="zh-CN"/>
        </w:rPr>
        <w:t>一、活载体疫苗项目危机管理</w:t>
      </w:r>
      <w:bookmarkEnd w:id="2"/>
    </w:p>
    <w:p>
      <w:pPr>
        <w:pStyle w:val="Heading2"/>
        <w:rPr>
          <w:rFonts w:ascii="仿宋" w:eastAsia="仿宋" w:hAnsi="仿宋" w:cs="仿宋" w:hint="eastAsia"/>
          <w:lang w:eastAsia="zh-CN"/>
        </w:rPr>
      </w:pPr>
      <w:bookmarkStart w:id="3" w:name="_Toc7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活载体疫苗项目危机管理中，危机预警与识别是确保活载体疫苗项目稳健运行的核心步骤。通过建立全面的监测机制，活载体疫苗项目团队旨在及时发现和理解潜在的风险和危机因素，以便采取及时的预防和应对措施，确保活载体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首先，通过深入的风险评估，活载体疫苗项目团队全面分析了整个活载体疫苗项目和各个阶段可能存在的威胁。这包括准确评估每个潜在风险的发生概率和可能影响的程度，为后续危机预警提供了有力支持。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活载体疫苗项目团队着重于明确定义活载体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活载体疫苗项目进展的持续监控，团队能够及时发现潜在问题并作出迅速反应。活载体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在这一阶段，团队的专业素养和反应速度将发挥至关重要的作用，以确保潜在危机能够在初期得到有效的处理，最大程度地减轻负面影响。通过危机预警与识别，活载体疫苗项目得以更有序、可控地推进。</w:t>
      </w:r>
    </w:p>
    <w:p>
      <w:pPr>
        <w:pStyle w:val="Heading2"/>
        <w:ind w:firstLine="560" w:firstLineChars="200"/>
        <w:rPr>
          <w:rFonts w:ascii="仿宋" w:eastAsia="仿宋" w:hAnsi="仿宋" w:cs="仿宋" w:hint="eastAsia"/>
          <w:sz w:val="28"/>
          <w:lang w:eastAsia="zh-CN"/>
        </w:rPr>
      </w:pPr>
      <w:bookmarkStart w:id="4" w:name="_Toc114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在危机发生时，活载体疫苗项目团队立即行动，成立了应急小组。该小组的任务是迅速制定并实施紧急应对措施，以最小化潜在损失。以下是采取的主要措施：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暂停活载体疫苗项目进度：为遏制危机蔓延，活载体疫苗项目暂时停止进行，以便全面评估当前状况。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资源重新分配：重新评估活载体疫苗项目资源的分配，确保最大限度地减小损失。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实时沟通：与关键利益相关者建立实时沟通机制，向他们传递活载体疫苗项目危机的实际状况，保障活载体疫苗项目核心利益。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在紧急应对的同时，活载体疫苗项目团队强调了团队协作和有效沟通的重要性。以下是团队协作的关键举措：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信息共享机制：建立了信息共享平台，确保团队成员能够及时获取活载体疫苗项目危机的实时信息。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领导者沟通：活载体疫苗项目领导者通过定期会议和即时沟通工具，指导团队应对危机，保持团队稳定运行。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随着危机得到初步控制，活载体疫苗项目团队转向制定恢复计划，以确保活载体疫苗项目能够从中迅速恢复。主要恢复计划包括：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修复受损的进度计划：重新评估活载体疫苗项目进度，制定修复计划，确保活载体疫苗项目尽快回归正常进程。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重新调整资源分配：优化资源分配，确保活载体疫苗项目在有限资源下高效运转。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风险管理机制加强：对活载体疫苗项目风险进行全面评估，制定更强化的风险管理策略，以预防未来可能的危机。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212"/>
      <w:r>
        <w:rPr>
          <w:rFonts w:ascii="仿宋" w:eastAsia="仿宋" w:hAnsi="仿宋" w:cs="仿宋" w:hint="eastAsia"/>
          <w:sz w:val="28"/>
          <w:lang w:eastAsia="zh-CN"/>
        </w:rPr>
        <w:t>二、活载体疫苗项目可持续发展</w:t>
      </w:r>
      <w:bookmarkEnd w:id="5"/>
    </w:p>
    <w:p>
      <w:pPr>
        <w:pStyle w:val="Heading2"/>
        <w:rPr>
          <w:rFonts w:ascii="仿宋" w:eastAsia="仿宋" w:hAnsi="仿宋" w:cs="仿宋" w:hint="eastAsia"/>
          <w:lang w:eastAsia="zh-CN"/>
        </w:rPr>
      </w:pPr>
      <w:bookmarkStart w:id="6" w:name="_Toc2824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活载体疫苗项目中，活载体疫苗项目团队着眼于未来，明确了可持续发展的战略方向。制定的具体可持续发展目标包括降低资源使用、采用环保技术、最大化社会效益等。这一步骤不仅有助于活载体疫苗项目在环保和社会责任方面达到最高标准，也为未来提供了明确的指引，确保活载体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可持续实践的融入活载体疫苗项目管理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活载体疫苗项目管理周期。从活载体疫苗项目规划开始，活载体疫苗项目团队就考虑了环境和社会的因素。在执行阶段，活载体疫苗项目团队积极推动绿色技术的应用，优化资源利用。此外，关注员工的社会责任，通过培训和沟通活动提高员工对可持续发展的认知，使他们能够在日常工作中践行可持续实践。这些举措不仅为活载体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45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扎根于活载体疫苗项目的可持续发展理念，我们深信环保与社会责任是活载体疫苗项目成功的关键支柱。在活载体疫苗项目的每一步，我们都致力于通过创新和实践，履行对环境和社会的坚定责任。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团队通过引入先进的环保技术、建立高效的废物处理系统以及推动能源节约措施，积极履行环保责任。定期的环保监测和评估确保活载体疫苗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不仅致力于自身可持续发展，还注重对社会的回馈。通过支持社区活载体疫苗项目、参与慈善事业、提供培训机会等方式，活载体疫苗项目积极履行社会责任。与当地社区建立积极互动，关注员工的工作与生活平衡，以及员工的身心健康，是活载体疫苗项目在社会责任层面的关键举措。这样的实践不仅增强了活载体疫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818"/>
      <w:r>
        <w:rPr>
          <w:rFonts w:ascii="仿宋" w:eastAsia="仿宋" w:hAnsi="仿宋" w:cs="仿宋" w:hint="eastAsia"/>
          <w:sz w:val="28"/>
          <w:lang w:eastAsia="zh-CN"/>
        </w:rPr>
        <w:t>三、活载体疫苗项目土建工程</w:t>
      </w:r>
      <w:bookmarkEnd w:id="8"/>
    </w:p>
    <w:p>
      <w:pPr>
        <w:pStyle w:val="Heading2"/>
        <w:rPr>
          <w:rFonts w:ascii="仿宋" w:eastAsia="仿宋" w:hAnsi="仿宋" w:cs="仿宋" w:hint="eastAsia"/>
          <w:lang w:eastAsia="zh-CN"/>
        </w:rPr>
      </w:pPr>
      <w:bookmarkStart w:id="9" w:name="_Toc2900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在活载体疫苗项目的建筑工程设计中，我们将秉承一系列重要的设计原则，以确保活载体疫苗项目建筑在功能、美观、可持续性等方面达到最佳效果。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首要原则是确保建筑的功能性得到最大化的发挥。我们将充分理解活载体疫苗项目的实际需求，合理布局各个功能区域，保证建筑在满足业务需求的同时，提供高效的工作环境。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在建筑设计中，我们将综合考虑建设和运营成本。通过精细的经济效益分析，确保设计方案在高效利用资源的同时，对活载体疫苗项目的长期盈利能力有积极的贡献。</w:t>
      </w:r>
    </w:p>
    <w:p>
      <w:pPr>
        <w:pStyle w:val="Heading2"/>
        <w:ind w:firstLine="560" w:firstLineChars="200"/>
        <w:rPr>
          <w:rFonts w:ascii="仿宋" w:eastAsia="仿宋" w:hAnsi="仿宋" w:cs="仿宋" w:hint="eastAsia"/>
          <w:sz w:val="28"/>
          <w:lang w:eastAsia="zh-CN"/>
        </w:rPr>
      </w:pPr>
      <w:bookmarkStart w:id="10" w:name="_Toc1962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载体疫苗项目的土建工程设计中，我们将精准设定设计年限，结合活载体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活载体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41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活载体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活载体疫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活载体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40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本期工程活载体疫苗项目预计总建筑面积XXX平方米，其中：计容建筑面积XXX平方米，计划建筑工程投资XX万元，占活载体疫苗项目总投资的XX%。</w:t>
      </w:r>
    </w:p>
    <w:p>
      <w:pPr>
        <w:pStyle w:val="Heading1"/>
        <w:ind w:firstLine="560" w:firstLineChars="200"/>
        <w:rPr>
          <w:rFonts w:ascii="仿宋" w:eastAsia="仿宋" w:hAnsi="仿宋" w:cs="仿宋" w:hint="eastAsia"/>
          <w:sz w:val="28"/>
          <w:lang w:eastAsia="zh-CN"/>
        </w:rPr>
      </w:pPr>
      <w:bookmarkStart w:id="13" w:name="_Toc1188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09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活载体疫苗项目的主要产品是XXXX，预计年产值为XXX万元。这一产品在市场中占据着重要的地位，其广泛的应用范围使得该活载体疫苗项目的市场前景非常广阔。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活载体疫苗项目的xxx产品作为重要的原材料之一，将在多个领域发挥关键作用。其在建筑、交通、能源等方面的广泛应用将为整个产业链提供强大的支持，形成产业协同效应。活载体疫苗项目的年产值XXX万XXX万XXX万万元不仅反映了其在市场上的巨大潜力，更预示着它对国民经济的积极贡献。这种关联度高、涉及面广的产业关系，使得该活载体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862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总征地面积为XXXX平方米，相当于约XX.XX亩，其中净用地面积为XXXX平方米，红线范围内相当于约XX.XX亩。这一用地规模充分考虑了活载体疫苗项目的建设需求，保障了活载体疫苗项目在合适的空间内得以充分发展。活载体疫苗项目规划的总建筑面积为XXXX平方米，其中主体工程建设占XXXX平方米，计容建筑面积达XXXX平方米。预计建筑工程的投资将达到XXXX万元，为活载体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计划购置的设备共计XXXX台（套），设备购置费用为XXXX万元。这一设备购置计划充分考虑到活载体疫苗项目的生产需求和技术要求，确保了活载体疫苗项目在生产运营中具备先进的技术装备和高效的生产能力。设备的合理配置将为活载体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计划总投资为XXXX万元，预计年实现营业收入为XXXX万元。这一产能规模的设定旨在确保活载体疫苗项目能够在投资与回报之间取得平衡，实现长期可持续的发展。活载体疫苗项目的总投资充分考虑到各个方面的需求，包括用地建设、设备购置等多个环节，以确保活载体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3700"/>
      <w:r>
        <w:rPr>
          <w:rFonts w:ascii="仿宋" w:eastAsia="仿宋" w:hAnsi="仿宋" w:cs="仿宋" w:hint="eastAsia"/>
          <w:sz w:val="28"/>
          <w:lang w:eastAsia="zh-CN"/>
        </w:rPr>
        <w:t>五、活载体疫苗项目建设背景及必要性分析</w:t>
      </w:r>
      <w:bookmarkEnd w:id="16"/>
    </w:p>
    <w:p>
      <w:pPr>
        <w:pStyle w:val="Heading2"/>
        <w:rPr>
          <w:rFonts w:ascii="仿宋" w:eastAsia="仿宋" w:hAnsi="仿宋" w:cs="仿宋" w:hint="eastAsia"/>
          <w:lang w:eastAsia="zh-CN"/>
        </w:rPr>
      </w:pPr>
      <w:bookmarkStart w:id="17" w:name="_Toc7434"/>
      <w:r>
        <w:rPr>
          <w:rFonts w:ascii="仿宋" w:eastAsia="仿宋" w:hAnsi="仿宋" w:cs="仿宋" w:hint="eastAsia"/>
          <w:lang w:eastAsia="zh-CN"/>
        </w:rPr>
        <w:t>(一)、活载体疫苗项目背景分析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活载体疫苗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活载体疫苗项目在这个潮流中的定位。同时，我们将关注行业内涌现的新兴机遇，以便活载体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活载体疫苗项目提供了强大的发展动力。我们将聚焦于行业内最新的技术发展趋势，包括但不限于人工智能、大数据分析、物联网等领域。通过深度的技术研究，我们将确保活载体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活载体疫苗项目发展的源泉。我们将投入更多的精力对市场需求进行深入剖析，超越表面的需求，深入挖掘潜在的市场痛点和机遇。通过对市场需求的细致了解，活载体疫苗项目将更有针对性地设计解决方案，满足市场的多样化需求，从而更好地促进活载体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活载体疫苗项目战略至关重要。我们将对竞争态势进行更为深入的分析，包括但不限于市场份额、产品特点、客户满意度等多个维度。通过深度的竞争分析，活载体疫苗项目将能够更准确地把握市场脉搏，制定具有竞争力的活载体疫苗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活载体疫苗项目的发展具有直接的影响。我们将进行更为全面的法规和政策分析，了解行业发展中的潜在法律风险和合规挑战。通过充分了解和遵守相关法规，活载体疫苗项目将确保在法律框架内合法合规运营，为活载体疫苗项目的稳健发展提供有力支持。</w:t>
      </w:r>
    </w:p>
    <w:p>
      <w:pPr>
        <w:pStyle w:val="Heading2"/>
        <w:ind w:firstLine="560" w:firstLineChars="200"/>
        <w:rPr>
          <w:rFonts w:ascii="仿宋" w:eastAsia="仿宋" w:hAnsi="仿宋" w:cs="仿宋" w:hint="eastAsia"/>
          <w:sz w:val="28"/>
          <w:lang w:eastAsia="zh-CN"/>
        </w:rPr>
      </w:pPr>
      <w:bookmarkStart w:id="18" w:name="_Toc28984"/>
      <w:r>
        <w:rPr>
          <w:rFonts w:ascii="仿宋" w:eastAsia="仿宋" w:hAnsi="仿宋" w:cs="仿宋" w:hint="eastAsia"/>
          <w:sz w:val="28"/>
          <w:lang w:eastAsia="zh-CN"/>
        </w:rPr>
        <w:t>(二)、活载体疫苗项目建设必要性分析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建设的迫切性源于对行业发展趋势的深刻洞察。我们正处于一个行业变革的时代，科技创新、数字化转型成为企业发展的关键动力。活载体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建设不仅仅是为了跟上潮流，更是为了通过技术创新推动企业的持续发展。通过引入先进的技术和解决方案，活载体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活载体疫苗项目的建设成为必然选择，通过提高产品质量、拓展服务领域，从而在竞争中获得更多的机会。活载体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活载体疫苗项目建设的必要性体现在对客户需求更精准的满足。通过活载体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建设的背后是对企业持续创新的追求。只有通过不断创新，企业才能在竞争中立于不败之地。活载体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30302"/>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537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的技术管理特点体现在其创新导向。通过引入最先进的技术趋势和解决方案，活载体疫苗项目致力于提升科技含量、提高质量和效率水平。这意味着我们将采用最新的工具和方法，确保活载体疫苗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活载体疫苗项目技术管理的显著特征。通过整合不同领域的技术资源，我们实现了跨学科的协同工作。这有助于优化技术架构，提高整体效能。此外，整合性策略还促进了不同技术团队之间的紧密沟通和高效合作，确保活载体疫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活载体疫苗项目所采用的技术。通过不断优化技术方案，活载体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活载体疫苗项目团队将在活载体疫苗项目初期识别可能的技术风险，并采取相应的预防和应对措施。通过建立健全的风险评估机制，活载体疫苗项目能够在实施过程中及时发现并解决潜在的技术问题，保障活载体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活载体疫苗项目中，技术将成为活载体疫苗项目成功的有力支持。这一深度剖析揭示了技术管理在活载体疫苗项目实施中的关键作用，为活载体疫苗项目的技术基础奠定了坚实的基础。</w:t>
      </w:r>
    </w:p>
    <w:p>
      <w:pPr>
        <w:pStyle w:val="Heading2"/>
        <w:ind w:firstLine="560" w:firstLineChars="200"/>
        <w:rPr>
          <w:rFonts w:ascii="仿宋" w:eastAsia="仿宋" w:hAnsi="仿宋" w:cs="仿宋" w:hint="eastAsia"/>
          <w:sz w:val="28"/>
          <w:lang w:eastAsia="zh-CN"/>
        </w:rPr>
      </w:pPr>
      <w:bookmarkStart w:id="21" w:name="_Toc7455"/>
      <w:r>
        <w:rPr>
          <w:rFonts w:ascii="仿宋" w:eastAsia="仿宋" w:hAnsi="仿宋" w:cs="仿宋" w:hint="eastAsia"/>
          <w:sz w:val="28"/>
          <w:lang w:eastAsia="zh-CN"/>
        </w:rPr>
        <w:t>(二)、活载体疫苗项目工艺技术设计方案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https://d.book118.com/917144160101006031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322C2E"/>
    <w:rsid w:val="17322C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44160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2024-01-13T20:08:00Z</dcterms:created>
  <dcterms:modified xsi:type="dcterms:W3CDTF">2024-01-13T20:08:28Z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3DF4CAEA6D73441DB352507A619472C5_11</vt:lpwstr>
  </property>
  <property fmtid="{D5CDD505-2E9C-101B-9397-08002B2CF9AE}" pid="3" name="KSOProductBuildVer">
    <vt:lpwstr>2052-12.1.0.16120</vt:lpwstr>
  </property>
</Properties>
</file>