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hint="eastAsia"/>
          <w:color w:val="000000"/>
          <w:sz w:val="44"/>
          <w:szCs w:val="44"/>
        </w:rPr>
      </w:pPr>
      <w:bookmarkStart w:id="0" w:name="_GoBack"/>
      <w:r>
        <w:rPr>
          <w:rFonts w:ascii="黑体" w:eastAsia="黑体" w:hAnsi="黑体" w:hint="eastAsia"/>
          <w:color w:val="000000"/>
          <w:sz w:val="44"/>
          <w:szCs w:val="44"/>
          <w:lang w:val="en-US" w:eastAsia="zh-CN"/>
        </w:rPr>
        <w:t>基于</w:t>
      </w:r>
      <w:r>
        <w:rPr>
          <w:rFonts w:ascii="黑体" w:eastAsia="黑体" w:hAnsi="黑体" w:hint="eastAsia"/>
          <w:color w:val="000000"/>
          <w:sz w:val="44"/>
          <w:szCs w:val="44"/>
        </w:rPr>
        <w:t>SLP</w:t>
      </w:r>
      <w:r>
        <w:rPr>
          <w:rFonts w:ascii="黑体" w:eastAsia="黑体" w:hAnsi="黑体" w:hint="eastAsia"/>
          <w:color w:val="000000"/>
          <w:sz w:val="44"/>
          <w:szCs w:val="44"/>
          <w:lang w:eastAsia="zh-CN"/>
        </w:rPr>
        <w:t>的</w:t>
      </w:r>
      <w:r>
        <w:rPr>
          <w:rFonts w:ascii="黑体" w:eastAsia="黑体" w:hAnsi="黑体" w:hint="eastAsia"/>
          <w:color w:val="000000"/>
          <w:sz w:val="44"/>
          <w:szCs w:val="44"/>
        </w:rPr>
        <w:t>A企业仓库布置</w:t>
      </w:r>
      <w:r>
        <w:rPr>
          <w:rFonts w:ascii="黑体" w:eastAsia="黑体" w:hAnsi="黑体" w:hint="eastAsia"/>
          <w:color w:val="000000"/>
          <w:sz w:val="44"/>
          <w:szCs w:val="44"/>
          <w:lang w:val="en-US" w:eastAsia="zh-CN"/>
        </w:rPr>
        <w:t>优化</w:t>
      </w:r>
      <w:r>
        <w:rPr>
          <w:rFonts w:ascii="黑体" w:eastAsia="黑体" w:hAnsi="黑体" w:hint="eastAsia"/>
          <w:color w:val="000000"/>
          <w:sz w:val="44"/>
          <w:szCs w:val="44"/>
        </w:rPr>
        <w:t>设计</w:t>
      </w:r>
      <w:r>
        <w:rPr>
          <w:rFonts w:ascii="黑体" w:eastAsia="黑体" w:hAnsi="黑体" w:hint="eastAsia"/>
          <w:color w:val="000000"/>
          <w:sz w:val="44"/>
          <w:szCs w:val="44"/>
          <w:lang w:val="en-US" w:eastAsia="zh-CN"/>
        </w:rPr>
        <w:t>案例</w:t>
      </w:r>
    </w:p>
    <w:bookmarkEnd w:id="0"/>
    <w:sdt>
      <w:sdtPr>
        <w:rPr>
          <w:rFonts w:ascii="宋体" w:eastAsia="宋体" w:hAnsi="宋体" w:cs="Times New Roman"/>
          <w:kern w:val="2"/>
          <w:sz w:val="21"/>
          <w:szCs w:val="24"/>
          <w:lang w:val="en-US" w:eastAsia="zh-CN" w:bidi="ar-SA"/>
        </w:rPr>
        <w:id w:val="147472964"/>
        <w:docPartObj>
          <w:docPartGallery w:val="Table of Contents"/>
          <w:docPartUnique/>
        </w:docPartObj>
        <w15:color w:val="DBDBDB"/>
      </w:sdtPr>
      <w:sdtEndPr>
        <w:rPr>
          <w:rFonts w:ascii="Times New Roman" w:eastAsia="黑体" w:hAnsi="Times New Roman" w:cs="Times New Roman"/>
          <w:b/>
          <w:color w:val="000000"/>
          <w:kern w:val="44"/>
          <w:sz w:val="21"/>
          <w:szCs w:val="24"/>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8306"/>
            </w:tabs>
            <w:rPr>
              <w:b/>
            </w:rPr>
          </w:pPr>
          <w:r>
            <w:rPr>
              <w:rFonts w:ascii="Times New Roman" w:eastAsia="黑体" w:hAnsi="Times New Roman"/>
              <w:color w:val="000000"/>
              <w:kern w:val="44"/>
              <w:sz w:val="32"/>
            </w:rPr>
            <w:fldChar w:fldCharType="begin"/>
          </w:r>
          <w:r>
            <w:rPr>
              <w:rFonts w:ascii="Times New Roman" w:eastAsia="黑体" w:hAnsi="Times New Roman"/>
              <w:color w:val="000000"/>
              <w:kern w:val="44"/>
              <w:sz w:val="32"/>
            </w:rPr>
            <w:instrText xml:space="preserve">TOC \o "1-2" \h \u </w:instrText>
          </w:r>
          <w:r>
            <w:rPr>
              <w:rFonts w:ascii="Times New Roman" w:eastAsia="黑体" w:hAnsi="Times New Roman"/>
              <w:color w:val="000000"/>
              <w:kern w:val="44"/>
              <w:sz w:val="32"/>
            </w:rPr>
            <w:fldChar w:fldCharType="separate"/>
          </w:r>
          <w:hyperlink w:anchor="_Toc30161" w:history="1">
            <w:r>
              <w:rPr>
                <w:rFonts w:ascii="Times New Roman" w:eastAsia="黑体" w:hAnsi="Times New Roman"/>
                <w:b/>
                <w:kern w:val="44"/>
              </w:rPr>
              <w:t>摘  要</w:t>
            </w:r>
            <w:r>
              <w:rPr>
                <w:b/>
              </w:rPr>
              <w:tab/>
            </w:r>
            <w:r>
              <w:rPr>
                <w:b/>
              </w:rPr>
              <w:fldChar w:fldCharType="begin"/>
            </w:r>
            <w:r>
              <w:rPr>
                <w:b/>
              </w:rPr>
              <w:instrText xml:space="preserve"> PAGEREF _Toc30161 \h </w:instrText>
            </w:r>
            <w:r>
              <w:rPr>
                <w:b/>
              </w:rPr>
              <w:fldChar w:fldCharType="separate"/>
            </w:r>
            <w:r>
              <w:rPr>
                <w:b/>
              </w:rPr>
              <w:t>1</w:t>
            </w:r>
            <w:r>
              <w:rPr>
                <w:b/>
              </w:rPr>
              <w:fldChar w:fldCharType="end"/>
            </w:r>
          </w:hyperlink>
        </w:p>
        <w:p>
          <w:pPr>
            <w:pStyle w:val="WPSOffice1"/>
            <w:tabs>
              <w:tab w:val="right" w:leader="dot" w:pos="8306"/>
            </w:tabs>
            <w:rPr>
              <w:b/>
            </w:rPr>
          </w:pPr>
          <w:hyperlink w:anchor="_Toc16942" w:history="1">
            <w:r>
              <w:rPr>
                <w:rFonts w:ascii="黑体" w:hAnsi="黑体" w:hint="eastAsia"/>
                <w:b/>
                <w:szCs w:val="30"/>
              </w:rPr>
              <w:t>1绪论</w:t>
            </w:r>
            <w:r>
              <w:rPr>
                <w:b/>
              </w:rPr>
              <w:tab/>
            </w:r>
            <w:r>
              <w:rPr>
                <w:b/>
              </w:rPr>
              <w:fldChar w:fldCharType="begin"/>
            </w:r>
            <w:r>
              <w:rPr>
                <w:b/>
              </w:rPr>
              <w:instrText xml:space="preserve"> PAGEREF _Toc16942 \h </w:instrText>
            </w:r>
            <w:r>
              <w:rPr>
                <w:b/>
              </w:rPr>
              <w:fldChar w:fldCharType="separate"/>
            </w:r>
            <w:r>
              <w:rPr>
                <w:b/>
              </w:rPr>
              <w:t>2</w:t>
            </w:r>
            <w:r>
              <w:rPr>
                <w:b/>
              </w:rPr>
              <w:fldChar w:fldCharType="end"/>
            </w:r>
          </w:hyperlink>
        </w:p>
        <w:p>
          <w:pPr>
            <w:pStyle w:val="WPSOffice2"/>
            <w:tabs>
              <w:tab w:val="right" w:leader="dot" w:pos="8306"/>
            </w:tabs>
          </w:pPr>
          <w:hyperlink w:anchor="_Toc11958" w:history="1">
            <w:r>
              <w:rPr>
                <w:rFonts w:ascii="黑体" w:eastAsia="黑体" w:hAnsi="黑体" w:cs="宋体" w:hint="eastAsia"/>
                <w:bCs w:val="0"/>
                <w:szCs w:val="28"/>
              </w:rPr>
              <w:t>1.1研究背景与研究意义</w:t>
            </w:r>
            <w:r>
              <w:tab/>
            </w:r>
            <w:r>
              <w:fldChar w:fldCharType="begin"/>
            </w:r>
            <w:r>
              <w:instrText xml:space="preserve"> PAGEREF _Toc11958 \h </w:instrText>
            </w:r>
            <w:r>
              <w:fldChar w:fldCharType="separate"/>
            </w:r>
            <w:r>
              <w:t>2</w:t>
            </w:r>
            <w:r>
              <w:fldChar w:fldCharType="end"/>
            </w:r>
          </w:hyperlink>
        </w:p>
        <w:p>
          <w:pPr>
            <w:pStyle w:val="WPSOffice2"/>
            <w:tabs>
              <w:tab w:val="right" w:leader="dot" w:pos="8306"/>
            </w:tabs>
          </w:pPr>
          <w:hyperlink w:anchor="_Toc23029" w:history="1">
            <w:r>
              <w:rPr>
                <w:rFonts w:ascii="黑体" w:eastAsia="黑体" w:hAnsi="黑体" w:cs="宋体" w:hint="eastAsia"/>
                <w:bCs w:val="0"/>
                <w:szCs w:val="28"/>
              </w:rPr>
              <w:t>1.2  国内外发展现状</w:t>
            </w:r>
            <w:r>
              <w:tab/>
            </w:r>
            <w:r>
              <w:fldChar w:fldCharType="begin"/>
            </w:r>
            <w:r>
              <w:instrText xml:space="preserve"> PAGEREF _Toc23029 \h </w:instrText>
            </w:r>
            <w:r>
              <w:fldChar w:fldCharType="separate"/>
            </w:r>
            <w:r>
              <w:t>4</w:t>
            </w:r>
            <w:r>
              <w:fldChar w:fldCharType="end"/>
            </w:r>
          </w:hyperlink>
        </w:p>
        <w:p>
          <w:pPr>
            <w:pStyle w:val="WPSOffice2"/>
            <w:tabs>
              <w:tab w:val="right" w:leader="dot" w:pos="8306"/>
            </w:tabs>
          </w:pPr>
          <w:hyperlink w:anchor="_Toc5283" w:history="1">
            <w:r>
              <w:rPr>
                <w:rFonts w:ascii="黑体" w:eastAsia="黑体" w:hAnsi="黑体" w:cs="宋体" w:hint="eastAsia"/>
                <w:bCs w:val="0"/>
                <w:szCs w:val="28"/>
              </w:rPr>
              <w:t>1.3研究方法与研究内容</w:t>
            </w:r>
            <w:r>
              <w:tab/>
            </w:r>
            <w:r>
              <w:fldChar w:fldCharType="begin"/>
            </w:r>
            <w:r>
              <w:instrText xml:space="preserve"> PAGEREF _Toc5283 \h </w:instrText>
            </w:r>
            <w:r>
              <w:fldChar w:fldCharType="separate"/>
            </w:r>
            <w:r>
              <w:t>5</w:t>
            </w:r>
            <w:r>
              <w:fldChar w:fldCharType="end"/>
            </w:r>
          </w:hyperlink>
        </w:p>
        <w:p>
          <w:pPr>
            <w:pStyle w:val="WPSOffice1"/>
            <w:tabs>
              <w:tab w:val="right" w:leader="dot" w:pos="8306"/>
            </w:tabs>
            <w:rPr>
              <w:b/>
            </w:rPr>
          </w:pPr>
          <w:hyperlink w:anchor="_Toc17033" w:history="1">
            <w:r>
              <w:rPr>
                <w:rFonts w:ascii="黑体" w:hAnsi="黑体" w:hint="eastAsia"/>
                <w:b/>
                <w:szCs w:val="30"/>
              </w:rPr>
              <w:t>2相关理论综述</w:t>
            </w:r>
            <w:r>
              <w:rPr>
                <w:b/>
              </w:rPr>
              <w:tab/>
            </w:r>
            <w:r>
              <w:rPr>
                <w:b/>
              </w:rPr>
              <w:fldChar w:fldCharType="begin"/>
            </w:r>
            <w:r>
              <w:rPr>
                <w:b/>
              </w:rPr>
              <w:instrText xml:space="preserve"> PAGEREF _Toc17033 \h </w:instrText>
            </w:r>
            <w:r>
              <w:rPr>
                <w:b/>
              </w:rPr>
              <w:fldChar w:fldCharType="separate"/>
            </w:r>
            <w:r>
              <w:rPr>
                <w:b/>
              </w:rPr>
              <w:t>6</w:t>
            </w:r>
            <w:r>
              <w:rPr>
                <w:b/>
              </w:rPr>
              <w:fldChar w:fldCharType="end"/>
            </w:r>
          </w:hyperlink>
        </w:p>
        <w:p>
          <w:pPr>
            <w:pStyle w:val="WPSOffice2"/>
            <w:tabs>
              <w:tab w:val="right" w:leader="dot" w:pos="8306"/>
            </w:tabs>
          </w:pPr>
          <w:hyperlink w:anchor="_Toc9594" w:history="1">
            <w:r>
              <w:rPr>
                <w:rFonts w:ascii="黑体" w:eastAsia="黑体" w:hAnsi="黑体" w:cs="宋体" w:hint="eastAsia"/>
                <w:bCs w:val="0"/>
                <w:szCs w:val="28"/>
              </w:rPr>
              <w:t>2.1 电商仓库的理论</w:t>
            </w:r>
            <w:r>
              <w:tab/>
            </w:r>
            <w:r>
              <w:fldChar w:fldCharType="begin"/>
            </w:r>
            <w:r>
              <w:instrText xml:space="preserve"> PAGEREF _Toc9594 \h </w:instrText>
            </w:r>
            <w:r>
              <w:fldChar w:fldCharType="separate"/>
            </w:r>
            <w:r>
              <w:t>6</w:t>
            </w:r>
            <w:r>
              <w:fldChar w:fldCharType="end"/>
            </w:r>
          </w:hyperlink>
        </w:p>
        <w:p>
          <w:pPr>
            <w:pStyle w:val="WPSOffice2"/>
            <w:tabs>
              <w:tab w:val="right" w:leader="dot" w:pos="8306"/>
            </w:tabs>
          </w:pPr>
          <w:hyperlink w:anchor="_Toc25452" w:history="1">
            <w:r>
              <w:rPr>
                <w:rFonts w:ascii="黑体" w:eastAsia="黑体" w:hAnsi="黑体" w:cs="宋体" w:hint="eastAsia"/>
                <w:bCs w:val="0"/>
                <w:szCs w:val="28"/>
              </w:rPr>
              <w:t>2.2 SLP法相关理论</w:t>
            </w:r>
            <w:r>
              <w:tab/>
            </w:r>
            <w:r>
              <w:fldChar w:fldCharType="begin"/>
            </w:r>
            <w:r>
              <w:instrText xml:space="preserve"> PAGEREF _Toc25452 \h </w:instrText>
            </w:r>
            <w:r>
              <w:fldChar w:fldCharType="separate"/>
            </w:r>
            <w:r>
              <w:t>8</w:t>
            </w:r>
            <w:r>
              <w:fldChar w:fldCharType="end"/>
            </w:r>
          </w:hyperlink>
        </w:p>
        <w:p>
          <w:pPr>
            <w:pStyle w:val="WPSOffice1"/>
            <w:tabs>
              <w:tab w:val="right" w:leader="dot" w:pos="8306"/>
            </w:tabs>
            <w:rPr>
              <w:b/>
            </w:rPr>
          </w:pPr>
          <w:hyperlink w:anchor="_Toc12084" w:history="1">
            <w:r>
              <w:rPr>
                <w:rFonts w:ascii="黑体" w:hAnsi="黑体" w:hint="eastAsia"/>
                <w:b/>
                <w:szCs w:val="30"/>
              </w:rPr>
              <w:t>3</w:t>
            </w:r>
            <w:r>
              <w:rPr>
                <w:rFonts w:ascii="黑体" w:hAnsi="黑体"/>
                <w:b/>
                <w:szCs w:val="30"/>
              </w:rPr>
              <w:t xml:space="preserve"> </w:t>
            </w:r>
            <w:r>
              <w:rPr>
                <w:rFonts w:ascii="黑体" w:hAnsi="黑体" w:hint="eastAsia"/>
                <w:b/>
                <w:szCs w:val="30"/>
              </w:rPr>
              <w:t>A企业某电商仓库现状分析</w:t>
            </w:r>
            <w:r>
              <w:rPr>
                <w:b/>
              </w:rPr>
              <w:tab/>
            </w:r>
            <w:r>
              <w:rPr>
                <w:b/>
              </w:rPr>
              <w:fldChar w:fldCharType="begin"/>
            </w:r>
            <w:r>
              <w:rPr>
                <w:b/>
              </w:rPr>
              <w:instrText xml:space="preserve"> PAGEREF _Toc12084 \h </w:instrText>
            </w:r>
            <w:r>
              <w:rPr>
                <w:b/>
              </w:rPr>
              <w:fldChar w:fldCharType="separate"/>
            </w:r>
            <w:r>
              <w:rPr>
                <w:b/>
              </w:rPr>
              <w:t>10</w:t>
            </w:r>
            <w:r>
              <w:rPr>
                <w:b/>
              </w:rPr>
              <w:fldChar w:fldCharType="end"/>
            </w:r>
          </w:hyperlink>
        </w:p>
        <w:p>
          <w:pPr>
            <w:pStyle w:val="WPSOffice2"/>
            <w:tabs>
              <w:tab w:val="right" w:leader="dot" w:pos="8306"/>
            </w:tabs>
          </w:pPr>
          <w:hyperlink w:anchor="_Toc19761" w:history="1">
            <w:r>
              <w:rPr>
                <w:rFonts w:ascii="黑体" w:eastAsia="黑体" w:hAnsi="黑体" w:cs="宋体" w:hint="eastAsia"/>
                <w:bCs w:val="0"/>
                <w:szCs w:val="28"/>
              </w:rPr>
              <w:t>3.1 A企业电商仓库简介</w:t>
            </w:r>
            <w:r>
              <w:tab/>
            </w:r>
            <w:r>
              <w:fldChar w:fldCharType="begin"/>
            </w:r>
            <w:r>
              <w:instrText xml:space="preserve"> PAGEREF _Toc19761 \h </w:instrText>
            </w:r>
            <w:r>
              <w:fldChar w:fldCharType="separate"/>
            </w:r>
            <w:r>
              <w:t>10</w:t>
            </w:r>
            <w:r>
              <w:fldChar w:fldCharType="end"/>
            </w:r>
          </w:hyperlink>
        </w:p>
        <w:p>
          <w:pPr>
            <w:pStyle w:val="WPSOffice2"/>
            <w:tabs>
              <w:tab w:val="right" w:leader="dot" w:pos="8306"/>
            </w:tabs>
          </w:pPr>
          <w:hyperlink w:anchor="_Toc30896" w:history="1">
            <w:r>
              <w:rPr>
                <w:rFonts w:ascii="黑体" w:eastAsia="黑体" w:hAnsi="黑体" w:cs="宋体" w:hint="eastAsia"/>
                <w:bCs w:val="0"/>
                <w:szCs w:val="28"/>
              </w:rPr>
              <w:t>3.2</w:t>
            </w:r>
            <w:r>
              <w:rPr>
                <w:rFonts w:ascii="黑体" w:eastAsia="黑体" w:hAnsi="黑体" w:cs="宋体"/>
                <w:bCs w:val="0"/>
                <w:szCs w:val="28"/>
              </w:rPr>
              <w:t>A</w:t>
            </w:r>
            <w:r>
              <w:rPr>
                <w:rFonts w:ascii="黑体" w:eastAsia="黑体" w:hAnsi="黑体" w:cs="宋体" w:hint="eastAsia"/>
                <w:bCs w:val="0"/>
                <w:szCs w:val="28"/>
              </w:rPr>
              <w:t>企业某电商仓库特点</w:t>
            </w:r>
            <w:r>
              <w:tab/>
            </w:r>
            <w:r>
              <w:fldChar w:fldCharType="begin"/>
            </w:r>
            <w:r>
              <w:instrText xml:space="preserve"> PAGEREF _Toc30896 \h </w:instrText>
            </w:r>
            <w:r>
              <w:fldChar w:fldCharType="separate"/>
            </w:r>
            <w:r>
              <w:t>11</w:t>
            </w:r>
            <w:r>
              <w:fldChar w:fldCharType="end"/>
            </w:r>
          </w:hyperlink>
        </w:p>
        <w:p>
          <w:pPr>
            <w:pStyle w:val="WPSOffice2"/>
            <w:tabs>
              <w:tab w:val="right" w:leader="dot" w:pos="8306"/>
            </w:tabs>
          </w:pPr>
          <w:hyperlink w:anchor="_Toc2435" w:history="1">
            <w:r>
              <w:rPr>
                <w:rFonts w:ascii="黑体" w:eastAsia="黑体" w:hAnsi="黑体" w:cs="宋体" w:hint="eastAsia"/>
                <w:bCs w:val="0"/>
                <w:szCs w:val="28"/>
              </w:rPr>
              <w:t>3.3 A企业电商仓库存在问题分析</w:t>
            </w:r>
            <w:r>
              <w:tab/>
            </w:r>
            <w:r>
              <w:fldChar w:fldCharType="begin"/>
            </w:r>
            <w:r>
              <w:instrText xml:space="preserve"> PAGEREF _Toc2435 \h </w:instrText>
            </w:r>
            <w:r>
              <w:fldChar w:fldCharType="separate"/>
            </w:r>
            <w:r>
              <w:t>11</w:t>
            </w:r>
            <w:r>
              <w:fldChar w:fldCharType="end"/>
            </w:r>
          </w:hyperlink>
        </w:p>
        <w:p>
          <w:pPr>
            <w:pStyle w:val="WPSOffice1"/>
            <w:tabs>
              <w:tab w:val="right" w:leader="dot" w:pos="8306"/>
            </w:tabs>
            <w:rPr>
              <w:b/>
            </w:rPr>
          </w:pPr>
          <w:hyperlink w:anchor="_Toc29193" w:history="1">
            <w:r>
              <w:rPr>
                <w:rFonts w:ascii="黑体" w:hAnsi="黑体" w:hint="eastAsia"/>
                <w:b/>
                <w:szCs w:val="30"/>
              </w:rPr>
              <w:t>4</w:t>
            </w:r>
            <w:r>
              <w:rPr>
                <w:rFonts w:ascii="黑体" w:hAnsi="黑体"/>
                <w:b/>
                <w:szCs w:val="30"/>
              </w:rPr>
              <w:t xml:space="preserve"> </w:t>
            </w:r>
            <w:r>
              <w:rPr>
                <w:rFonts w:ascii="黑体" w:hAnsi="黑体" w:hint="eastAsia"/>
                <w:b/>
                <w:szCs w:val="30"/>
              </w:rPr>
              <w:t>A企业仓库系统布置设计(SLP)分析</w:t>
            </w:r>
            <w:r>
              <w:rPr>
                <w:b/>
              </w:rPr>
              <w:tab/>
            </w:r>
            <w:r>
              <w:rPr>
                <w:b/>
              </w:rPr>
              <w:fldChar w:fldCharType="begin"/>
            </w:r>
            <w:r>
              <w:rPr>
                <w:b/>
              </w:rPr>
              <w:instrText xml:space="preserve"> PAGEREF _Toc29193 \h </w:instrText>
            </w:r>
            <w:r>
              <w:rPr>
                <w:b/>
              </w:rPr>
              <w:fldChar w:fldCharType="separate"/>
            </w:r>
            <w:r>
              <w:rPr>
                <w:b/>
              </w:rPr>
              <w:t>13</w:t>
            </w:r>
            <w:r>
              <w:rPr>
                <w:b/>
              </w:rPr>
              <w:fldChar w:fldCharType="end"/>
            </w:r>
          </w:hyperlink>
        </w:p>
        <w:p>
          <w:pPr>
            <w:pStyle w:val="WPSOffice2"/>
            <w:tabs>
              <w:tab w:val="right" w:leader="dot" w:pos="8306"/>
            </w:tabs>
          </w:pPr>
          <w:hyperlink w:anchor="_Toc10410" w:history="1">
            <w:r>
              <w:rPr>
                <w:rFonts w:ascii="黑体" w:eastAsia="黑体" w:hAnsi="黑体" w:cs="宋体" w:hint="eastAsia"/>
                <w:bCs w:val="0"/>
                <w:szCs w:val="28"/>
              </w:rPr>
              <w:t>4.1  物流关系分析</w:t>
            </w:r>
            <w:r>
              <w:tab/>
            </w:r>
            <w:r>
              <w:fldChar w:fldCharType="begin"/>
            </w:r>
            <w:r>
              <w:instrText xml:space="preserve"> PAGEREF _Toc10410 \h </w:instrText>
            </w:r>
            <w:r>
              <w:fldChar w:fldCharType="separate"/>
            </w:r>
            <w:r>
              <w:t>13</w:t>
            </w:r>
            <w:r>
              <w:fldChar w:fldCharType="end"/>
            </w:r>
          </w:hyperlink>
        </w:p>
        <w:p>
          <w:pPr>
            <w:pStyle w:val="WPSOffice2"/>
            <w:tabs>
              <w:tab w:val="right" w:leader="dot" w:pos="8306"/>
            </w:tabs>
          </w:pPr>
          <w:hyperlink w:anchor="_Toc12442" w:history="1">
            <w:r>
              <w:rPr>
                <w:rFonts w:ascii="黑体" w:eastAsia="黑体" w:hAnsi="黑体" w:cs="宋体" w:hint="eastAsia"/>
                <w:bCs w:val="0"/>
                <w:szCs w:val="28"/>
              </w:rPr>
              <w:t>4.2 非物流关系分析</w:t>
            </w:r>
            <w:r>
              <w:tab/>
            </w:r>
            <w:r>
              <w:fldChar w:fldCharType="begin"/>
            </w:r>
            <w:r>
              <w:instrText xml:space="preserve"> PAGEREF _Toc12442 \h </w:instrText>
            </w:r>
            <w:r>
              <w:fldChar w:fldCharType="separate"/>
            </w:r>
            <w:r>
              <w:t>16</w:t>
            </w:r>
            <w:r>
              <w:fldChar w:fldCharType="end"/>
            </w:r>
          </w:hyperlink>
        </w:p>
        <w:p>
          <w:pPr>
            <w:pStyle w:val="WPSOffice2"/>
            <w:tabs>
              <w:tab w:val="right" w:leader="dot" w:pos="8306"/>
            </w:tabs>
          </w:pPr>
          <w:hyperlink w:anchor="_Toc24578" w:history="1">
            <w:r>
              <w:rPr>
                <w:rFonts w:ascii="黑体" w:eastAsia="黑体" w:hAnsi="黑体" w:cs="宋体" w:hint="eastAsia"/>
                <w:bCs w:val="0"/>
                <w:szCs w:val="28"/>
              </w:rPr>
              <w:t xml:space="preserve">4.3 </w:t>
            </w:r>
            <w:r>
              <w:rPr>
                <w:rFonts w:ascii="黑体" w:eastAsia="黑体" w:hAnsi="黑体" w:cs="宋体"/>
                <w:bCs w:val="0"/>
                <w:szCs w:val="28"/>
              </w:rPr>
              <w:t>综合相互关系分析</w:t>
            </w:r>
            <w:r>
              <w:tab/>
            </w:r>
            <w:r>
              <w:fldChar w:fldCharType="begin"/>
            </w:r>
            <w:r>
              <w:instrText xml:space="preserve"> PAGEREF _Toc24578 \h </w:instrText>
            </w:r>
            <w:r>
              <w:fldChar w:fldCharType="separate"/>
            </w:r>
            <w:r>
              <w:t>17</w:t>
            </w:r>
            <w:r>
              <w:fldChar w:fldCharType="end"/>
            </w:r>
          </w:hyperlink>
        </w:p>
        <w:p>
          <w:pPr>
            <w:pStyle w:val="WPSOffice1"/>
            <w:tabs>
              <w:tab w:val="right" w:leader="dot" w:pos="8306"/>
            </w:tabs>
            <w:rPr>
              <w:b/>
            </w:rPr>
          </w:pPr>
          <w:hyperlink w:anchor="_Toc23571" w:history="1">
            <w:r>
              <w:rPr>
                <w:rFonts w:ascii="黑体" w:hAnsi="黑体" w:hint="eastAsia"/>
                <w:b/>
                <w:szCs w:val="30"/>
              </w:rPr>
              <w:t>5  基于AHP对布局方案的评价选择</w:t>
            </w:r>
            <w:r>
              <w:rPr>
                <w:b/>
              </w:rPr>
              <w:tab/>
            </w:r>
            <w:r>
              <w:rPr>
                <w:b/>
              </w:rPr>
              <w:fldChar w:fldCharType="begin"/>
            </w:r>
            <w:r>
              <w:rPr>
                <w:b/>
              </w:rPr>
              <w:instrText xml:space="preserve"> PAGEREF _Toc23571 \h </w:instrText>
            </w:r>
            <w:r>
              <w:rPr>
                <w:b/>
              </w:rPr>
              <w:fldChar w:fldCharType="separate"/>
            </w:r>
            <w:r>
              <w:rPr>
                <w:b/>
              </w:rPr>
              <w:t>22</w:t>
            </w:r>
            <w:r>
              <w:rPr>
                <w:b/>
              </w:rPr>
              <w:fldChar w:fldCharType="end"/>
            </w:r>
          </w:hyperlink>
        </w:p>
        <w:p>
          <w:pPr>
            <w:pStyle w:val="WPSOffice2"/>
            <w:tabs>
              <w:tab w:val="right" w:leader="dot" w:pos="8306"/>
            </w:tabs>
          </w:pPr>
          <w:hyperlink w:anchor="_Toc26930" w:history="1">
            <w:r>
              <w:rPr>
                <w:rFonts w:ascii="黑体" w:eastAsia="黑体" w:hAnsi="黑体" w:cs="宋体" w:hint="eastAsia"/>
                <w:bCs w:val="0"/>
                <w:szCs w:val="28"/>
              </w:rPr>
              <w:t>5.1  建立评价指标体系</w:t>
            </w:r>
            <w:r>
              <w:tab/>
            </w:r>
            <w:r>
              <w:fldChar w:fldCharType="begin"/>
            </w:r>
            <w:r>
              <w:instrText xml:space="preserve"> PAGEREF _Toc26930 \h </w:instrText>
            </w:r>
            <w:r>
              <w:fldChar w:fldCharType="separate"/>
            </w:r>
            <w:r>
              <w:t>22</w:t>
            </w:r>
            <w:r>
              <w:fldChar w:fldCharType="end"/>
            </w:r>
          </w:hyperlink>
        </w:p>
        <w:p>
          <w:pPr>
            <w:pStyle w:val="WPSOffice2"/>
            <w:tabs>
              <w:tab w:val="right" w:leader="dot" w:pos="8306"/>
            </w:tabs>
          </w:pPr>
          <w:hyperlink w:anchor="_Toc7504" w:history="1">
            <w:r>
              <w:rPr>
                <w:rFonts w:ascii="黑体" w:eastAsia="黑体" w:hAnsi="黑体" w:cs="宋体" w:hint="eastAsia"/>
                <w:bCs w:val="0"/>
                <w:szCs w:val="28"/>
              </w:rPr>
              <w:t>5.2  构建判断矩阵</w:t>
            </w:r>
            <w:r>
              <w:tab/>
            </w:r>
            <w:r>
              <w:fldChar w:fldCharType="begin"/>
            </w:r>
            <w:r>
              <w:instrText xml:space="preserve"> PAGEREF _Toc7504 \h </w:instrText>
            </w:r>
            <w:r>
              <w:fldChar w:fldCharType="separate"/>
            </w:r>
            <w:r>
              <w:t>22</w:t>
            </w:r>
            <w:r>
              <w:fldChar w:fldCharType="end"/>
            </w:r>
          </w:hyperlink>
        </w:p>
        <w:p>
          <w:pPr>
            <w:pStyle w:val="WPSOffice2"/>
            <w:tabs>
              <w:tab w:val="right" w:leader="dot" w:pos="8306"/>
            </w:tabs>
          </w:pPr>
          <w:hyperlink w:anchor="_Toc4144" w:history="1">
            <w:r>
              <w:rPr>
                <w:rFonts w:ascii="黑体" w:eastAsia="黑体" w:hAnsi="黑体" w:cs="宋体" w:hint="eastAsia"/>
                <w:bCs w:val="0"/>
                <w:szCs w:val="28"/>
              </w:rPr>
              <w:t>5.3  分析和选择布局方案</w:t>
            </w:r>
            <w:r>
              <w:tab/>
            </w:r>
            <w:r>
              <w:fldChar w:fldCharType="begin"/>
            </w:r>
            <w:r>
              <w:instrText xml:space="preserve"> PAGEREF _Toc4144 \h </w:instrText>
            </w:r>
            <w:r>
              <w:fldChar w:fldCharType="separate"/>
            </w:r>
            <w:r>
              <w:t>24</w:t>
            </w:r>
            <w:r>
              <w:fldChar w:fldCharType="end"/>
            </w:r>
          </w:hyperlink>
        </w:p>
        <w:p>
          <w:pPr>
            <w:pStyle w:val="WPSOffice1"/>
            <w:tabs>
              <w:tab w:val="right" w:leader="dot" w:pos="8306"/>
            </w:tabs>
            <w:rPr>
              <w:b/>
            </w:rPr>
          </w:pPr>
          <w:hyperlink w:anchor="_Toc25812" w:history="1">
            <w:r>
              <w:rPr>
                <w:rFonts w:ascii="黑体" w:hAnsi="黑体" w:hint="eastAsia"/>
                <w:b/>
                <w:szCs w:val="32"/>
              </w:rPr>
              <w:t>总结与展望</w:t>
            </w:r>
            <w:r>
              <w:rPr>
                <w:b/>
              </w:rPr>
              <w:tab/>
            </w:r>
            <w:r>
              <w:rPr>
                <w:b/>
              </w:rPr>
              <w:fldChar w:fldCharType="begin"/>
            </w:r>
            <w:r>
              <w:rPr>
                <w:b/>
              </w:rPr>
              <w:instrText xml:space="preserve"> PAGEREF _Toc25812 \h </w:instrText>
            </w:r>
            <w:r>
              <w:rPr>
                <w:b/>
              </w:rPr>
              <w:fldChar w:fldCharType="separate"/>
            </w:r>
            <w:r>
              <w:rPr>
                <w:b/>
              </w:rPr>
              <w:t>25</w:t>
            </w:r>
            <w:r>
              <w:rPr>
                <w:b/>
              </w:rPr>
              <w:fldChar w:fldCharType="end"/>
            </w:r>
          </w:hyperlink>
        </w:p>
        <w:p>
          <w:pPr>
            <w:jc w:val="center"/>
            <w:rPr>
              <w:rFonts w:ascii="Times New Roman" w:eastAsia="黑体" w:hAnsi="Times New Roman"/>
              <w:color w:val="000000"/>
              <w:kern w:val="44"/>
              <w:sz w:val="32"/>
            </w:rPr>
          </w:pPr>
          <w:r>
            <w:rPr>
              <w:rFonts w:ascii="Times New Roman" w:eastAsia="黑体" w:hAnsi="Times New Roman"/>
              <w:b/>
              <w:color w:val="000000"/>
              <w:kern w:val="44"/>
            </w:rPr>
            <w:fldChar w:fldCharType="end"/>
          </w:r>
        </w:p>
      </w:sdtContent>
    </w:sdt>
    <w:p>
      <w:pPr>
        <w:jc w:val="center"/>
        <w:outlineLvl w:val="0"/>
        <w:rPr>
          <w:rFonts w:ascii="Times New Roman" w:eastAsia="黑体" w:hAnsi="Times New Roman"/>
          <w:color w:val="000000"/>
          <w:kern w:val="44"/>
          <w:sz w:val="32"/>
        </w:rPr>
      </w:pPr>
      <w:bookmarkStart w:id="1" w:name="_Toc30161"/>
      <w:r>
        <w:rPr>
          <w:rFonts w:ascii="Times New Roman" w:eastAsia="黑体" w:hAnsi="Times New Roman"/>
          <w:color w:val="000000"/>
          <w:kern w:val="44"/>
          <w:sz w:val="32"/>
        </w:rPr>
        <w:t>摘  要</w:t>
      </w:r>
      <w:bookmarkEnd w:id="1"/>
    </w:p>
    <w:p>
      <w:pPr>
        <w:jc w:val="center"/>
        <w:rPr>
          <w:rFonts w:ascii="Times New Roman" w:eastAsia="黑体" w:hAnsi="Times New Roman"/>
          <w:color w:val="000000"/>
          <w:kern w:val="44"/>
          <w:sz w:val="32"/>
        </w:rPr>
      </w:pPr>
    </w:p>
    <w:p>
      <w:pPr>
        <w:jc w:val="center"/>
        <w:rPr>
          <w:rFonts w:ascii="Times New Roman" w:eastAsia="黑体" w:hAnsi="Times New Roman"/>
          <w:color w:val="000000"/>
          <w:kern w:val="44"/>
          <w:sz w:val="32"/>
        </w:rPr>
      </w:pPr>
    </w:p>
    <w:p>
      <w:pPr>
        <w:spacing w:line="400" w:lineRule="exact"/>
        <w:ind w:firstLine="480" w:firstLineChars="200"/>
        <w:jc w:val="left"/>
        <w:rPr>
          <w:rFonts w:ascii="宋体" w:hAnsi="宋体" w:cs="宋体"/>
          <w:sz w:val="24"/>
          <w:szCs w:val="28"/>
        </w:rPr>
        <w:sectPr>
          <w:pgSz w:w="11906" w:h="16838"/>
          <w:pgMar w:top="1440" w:right="1800" w:bottom="1440" w:left="1800" w:header="851" w:footer="992" w:gutter="0"/>
          <w:cols w:num="1" w:space="425"/>
          <w:docGrid w:type="lines" w:linePitch="312" w:charSpace="0"/>
        </w:sectPr>
      </w:pPr>
      <w:r>
        <w:rPr>
          <w:rFonts w:ascii="宋体" w:hAnsi="宋体" w:hint="eastAsia"/>
          <w:sz w:val="24"/>
        </w:rPr>
        <w:t>在这个互联网快速发展的时代，也带动了许多产业的发展，电子商务的发展就以迅速猛增的趋势发展起来。网络消费品质不断提升，使得消费者从只关注商品，变成关注商品的同时，更加注重网购的服务体验。面对市场需求的变化，消费者越来越高的服务要求，所以电商企业对物流供应链不断进行升级和提高效率,才能使企业更具有竞争力。随着A企业的不断发展壮大，其在电商板块的业务量也大幅提升，这给A企业的仓库管理造成了巨大的压力，亟待进行优化改善。在A企业的电商发展过程中，原有的仓库布局和管理模式暴露出了明显的缺点，严重影响了A企业的工作效率。仓库作业是连接供应商与顾客之间的桥梁，在当今企业发展中占据举足轻重的地位。本文在对于</w:t>
      </w:r>
    </w:p>
    <w:p>
      <w:pPr>
        <w:spacing w:line="400" w:lineRule="exact"/>
        <w:ind w:firstLine="480" w:firstLineChars="200"/>
        <w:jc w:val="left"/>
        <w:rPr>
          <w:rFonts w:ascii="宋体" w:hAnsi="宋体" w:cs="宋体"/>
          <w:sz w:val="24"/>
          <w:szCs w:val="28"/>
        </w:rPr>
      </w:pPr>
      <w:r>
        <w:rPr>
          <w:rFonts w:ascii="宋体" w:hAnsi="宋体" w:cs="宋体" w:hint="eastAsia"/>
          <w:color w:val="000000"/>
          <w:sz w:val="24"/>
        </w:rPr>
        <w:t>电商仓库的概述、布局的内容和目标及原则的基础上，深入了解了SLP法的概念、设计原理以及实验步骤。本文通过实地调查，获取有效信息和数据，初步了解A企业电商仓库当前的布局现状及其存在的问题。最后，</w:t>
      </w:r>
      <w:r>
        <w:rPr>
          <w:rFonts w:ascii="宋体" w:hAnsi="宋体" w:cs="宋体" w:hint="eastAsia"/>
          <w:sz w:val="24"/>
          <w:szCs w:val="28"/>
        </w:rPr>
        <w:t>本文从电子商务仓库的特点出发，针对A企业仓库功能区布局提出改进对策建议。</w:t>
      </w:r>
    </w:p>
    <w:p>
      <w:pPr>
        <w:spacing w:line="400" w:lineRule="exact"/>
        <w:ind w:firstLine="420" w:firstLineChars="200"/>
        <w:jc w:val="left"/>
        <w:rPr>
          <w:rFonts w:ascii="宋体" w:hAnsi="宋体"/>
          <w:kern w:val="44"/>
        </w:rPr>
      </w:pPr>
    </w:p>
    <w:p>
      <w:pPr>
        <w:tabs>
          <w:tab w:val="right" w:leader="dot" w:pos="8296"/>
        </w:tabs>
        <w:spacing w:line="400" w:lineRule="exact"/>
        <w:jc w:val="left"/>
        <w:rPr>
          <w:rFonts w:ascii="宋体" w:hAnsi="宋体" w:cs="宋体"/>
          <w:sz w:val="24"/>
          <w:szCs w:val="28"/>
        </w:rPr>
      </w:pPr>
      <w:r>
        <w:rPr>
          <w:rFonts w:ascii="黑体" w:eastAsia="黑体" w:hAnsi="黑体" w:hint="eastAsia"/>
          <w:kern w:val="44"/>
          <w:sz w:val="24"/>
        </w:rPr>
        <w:t>关键词：</w:t>
      </w:r>
      <w:r>
        <w:rPr>
          <w:rFonts w:ascii="宋体" w:hAnsi="宋体" w:cs="宋体" w:hint="eastAsia"/>
          <w:sz w:val="24"/>
          <w:szCs w:val="28"/>
        </w:rPr>
        <w:t>电子商务；仓库布局；优化方案</w:t>
      </w:r>
    </w:p>
    <w:p>
      <w:pPr>
        <w:pStyle w:val="Heading1"/>
        <w:rPr>
          <w:rFonts w:ascii="黑体" w:eastAsia="Yu Mincho" w:hAnsi="黑体"/>
          <w:color w:val="000000"/>
          <w:szCs w:val="30"/>
        </w:rPr>
      </w:pPr>
      <w:bookmarkStart w:id="2" w:name="_Toc71288577"/>
      <w:bookmarkStart w:id="3" w:name="_Toc16942"/>
      <w:r>
        <w:rPr>
          <w:rFonts w:ascii="黑体" w:hAnsi="黑体" w:hint="eastAsia"/>
          <w:color w:val="000000"/>
          <w:szCs w:val="30"/>
        </w:rPr>
        <w:t>1绪论</w:t>
      </w:r>
      <w:bookmarkEnd w:id="2"/>
      <w:bookmarkEnd w:id="3"/>
    </w:p>
    <w:p>
      <w:pPr>
        <w:pStyle w:val="Heading2"/>
        <w:spacing w:before="120" w:after="120" w:line="600" w:lineRule="exact"/>
        <w:jc w:val="left"/>
        <w:rPr>
          <w:rFonts w:ascii="黑体" w:eastAsia="黑体" w:hAnsi="黑体" w:cs="宋体"/>
          <w:b w:val="0"/>
          <w:bCs w:val="0"/>
          <w:sz w:val="28"/>
          <w:szCs w:val="28"/>
        </w:rPr>
      </w:pPr>
      <w:bookmarkStart w:id="4" w:name="_Toc71288578"/>
      <w:bookmarkStart w:id="5" w:name="_Toc11958"/>
      <w:r>
        <w:rPr>
          <w:rFonts w:ascii="黑体" w:eastAsia="黑体" w:hAnsi="黑体" w:cs="宋体" w:hint="eastAsia"/>
          <w:b w:val="0"/>
          <w:bCs w:val="0"/>
          <w:sz w:val="28"/>
          <w:szCs w:val="28"/>
        </w:rPr>
        <w:t>1.1研究背景与研究意义</w:t>
      </w:r>
      <w:bookmarkEnd w:id="4"/>
      <w:bookmarkEnd w:id="5"/>
    </w:p>
    <w:p>
      <w:pPr>
        <w:pStyle w:val="Heading3"/>
        <w:spacing w:line="520" w:lineRule="exact"/>
        <w:jc w:val="left"/>
        <w:rPr>
          <w:rFonts w:ascii="黑体" w:eastAsia="黑体" w:hAnsi="黑体"/>
          <w:b w:val="0"/>
          <w:bCs w:val="0"/>
          <w:sz w:val="24"/>
        </w:rPr>
      </w:pPr>
      <w:bookmarkStart w:id="6" w:name="_Toc71288579"/>
      <w:r>
        <w:rPr>
          <w:rFonts w:ascii="黑体" w:eastAsia="黑体" w:hAnsi="黑体" w:hint="eastAsia"/>
          <w:b w:val="0"/>
          <w:bCs w:val="0"/>
          <w:sz w:val="24"/>
        </w:rPr>
        <w:t>1.1.1 研究背景</w:t>
      </w:r>
      <w:bookmarkEnd w:id="6"/>
    </w:p>
    <w:p>
      <w:pPr>
        <w:spacing w:line="360" w:lineRule="auto"/>
        <w:ind w:firstLine="480" w:firstLineChars="200"/>
        <w:rPr>
          <w:rFonts w:ascii="宋体" w:hAnsi="宋体"/>
          <w:sz w:val="24"/>
        </w:rPr>
      </w:pPr>
      <w:r>
        <w:rPr>
          <w:rFonts w:ascii="宋体" w:hAnsi="宋体" w:hint="eastAsia"/>
          <w:sz w:val="24"/>
        </w:rPr>
        <w:t>随着现代企业经营业务越来越多样化，具备加工、装配、包装、检验与逆向物流等多功能为一体的新型仓库备受青睐，同样，这也要求原有的仓库功能区设施布局必须进行改进，以符合企业对仓库的功能需求。</w:t>
      </w:r>
    </w:p>
    <w:p>
      <w:pPr>
        <w:spacing w:line="360" w:lineRule="auto"/>
        <w:ind w:firstLine="480" w:firstLineChars="200"/>
        <w:rPr>
          <w:rFonts w:ascii="宋体" w:hAnsi="宋体"/>
          <w:sz w:val="24"/>
        </w:rPr>
      </w:pPr>
      <w:r>
        <w:rPr>
          <w:rFonts w:ascii="宋体" w:hAnsi="宋体" w:hint="eastAsia"/>
          <w:sz w:val="24"/>
        </w:rPr>
        <w:t>随着互联网快速发展，许多产业的发展也随之不断发展壮大，电子商务的发展就以迅速猛增的趋势发展起来。在第45次中国互联网络发展统计状况报告中，截止2020年3月，我国网络购物用户规模达到7.10亿，与2018年底相比较，增长了16.4%，占据网民整体的78.6%。在网上进行消费是数字经济的重要组成部分，对于消费市场蓬勃发展发挥日趋重要的作用。网络零售的持续稳定发展，成为我国消费增长不可缺少的重要部分。在这个自由竞争环境大趋势下和国家出台的政策，为电子商务提供了良好的生长环境，电商法使电子商务的发展变得更规范。电商不仅仅只针对年轻客户群体，身边越来越多的老年人也开始在网上进行购物，电商已经影响到了各个年龄段。尤其是近几年，社区电商和直播电商的发展，给消费者带了便利，实现了隔日到达，还能送货上门，在平台上还可以买到新鲜蔬菜。这些都促进了网络消费的增长。网络消费品质不断提升，使得消费者从只关注商品，变成关注商品的同时，更加注重网购的服务体验。面对市场需求的变化，消费者越来越高的服务要求，所以电商企业对物流供应链不断进行升级和提高效率,才能使企业更具有竞争力。为了使企业能先抢占市场，投入大量的资金和人力去建设电商仓库和配送中心。</w:t>
      </w:r>
    </w:p>
    <w:p>
      <w:pPr>
        <w:spacing w:line="360" w:lineRule="auto"/>
        <w:ind w:firstLine="480" w:firstLineChars="200"/>
        <w:rPr>
          <w:rFonts w:ascii="宋体" w:hAnsi="宋体" w:cs="宋体"/>
          <w:sz w:val="24"/>
          <w:szCs w:val="28"/>
        </w:rPr>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firstLineChars="200"/>
        <w:rPr>
          <w:rFonts w:ascii="宋体" w:hAnsi="宋体" w:cs="宋体"/>
          <w:sz w:val="24"/>
          <w:szCs w:val="28"/>
        </w:rPr>
      </w:pPr>
      <w:r>
        <w:rPr>
          <w:rFonts w:ascii="宋体" w:hAnsi="宋体" w:cs="宋体" w:hint="eastAsia"/>
          <w:sz w:val="24"/>
          <w:szCs w:val="28"/>
        </w:rPr>
        <w:t>正是因为电商行业的快速发展，对于企业的仓库管理提供了更高层次的要求，需要企业进一步进行仓库管理、仓库布局的优化和改善。近年来，A企业不断拓展电商板块业务，致力于对标电商仓库的基本要求。通过对于现有的文献的分析，发现，当前电子商务企业的仓库应具备以下特点：首先是对于企业而言，电子商务平台上需要投放大量的产品类别，每种产品类别都应具备一定数量的库存。其次，随着社会生活节奏的加快，电子商务企业仓库的工作效率应进一步提升，再者，在电子商务平台的运行过程中具有很多特殊时间点，如年货节、“双11”等，在这些时间段中，电子商务企业的库存压力会非常大，应予以特别关注。对标这些特点，A企业在库存管理和库存布局方面仍然存在着较大的问题，比如很多功能区未能得到合理的运用；在电商活动时期仓库库位安排不合理等。为了进一步推动A企业发展，必须进一步对于A企业仓库管理进行优化。</w:t>
      </w:r>
    </w:p>
    <w:p>
      <w:pPr>
        <w:pStyle w:val="Heading3"/>
        <w:spacing w:line="520" w:lineRule="exact"/>
        <w:jc w:val="left"/>
        <w:rPr>
          <w:rFonts w:ascii="黑体" w:eastAsia="黑体" w:hAnsi="黑体"/>
          <w:b w:val="0"/>
          <w:bCs w:val="0"/>
          <w:sz w:val="24"/>
        </w:rPr>
      </w:pPr>
      <w:bookmarkStart w:id="7" w:name="_Toc71288580"/>
      <w:r>
        <w:rPr>
          <w:rFonts w:ascii="黑体" w:eastAsia="黑体" w:hAnsi="黑体" w:hint="eastAsia"/>
          <w:b w:val="0"/>
          <w:bCs w:val="0"/>
          <w:sz w:val="24"/>
        </w:rPr>
        <w:t>1.1.2研究意义</w:t>
      </w:r>
      <w:bookmarkEnd w:id="7"/>
    </w:p>
    <w:p>
      <w:pPr>
        <w:spacing w:line="360" w:lineRule="auto"/>
        <w:ind w:firstLine="480" w:firstLineChars="200"/>
        <w:rPr>
          <w:rFonts w:ascii="宋体" w:hAnsi="宋体" w:cs="宋体"/>
          <w:sz w:val="24"/>
          <w:szCs w:val="28"/>
        </w:rPr>
      </w:pPr>
      <w:r>
        <w:rPr>
          <w:rFonts w:ascii="宋体" w:hAnsi="宋体" w:cs="宋体" w:hint="eastAsia"/>
          <w:sz w:val="24"/>
          <w:szCs w:val="28"/>
        </w:rPr>
        <w:t>首先针对A企业仓库货物存储采用的托盘堆放方式，设置密集存储区用于对单品库存量较大的货物进行存放，使用巷道进深模型对密集存储区和包装材料存储区进行存储货位布置优化，减少存储区整体的空间损失，提高仓库存储区域单位面积的存储容量，提高了仓库灵活应对电商活动等峰值备货的能力。</w:t>
      </w:r>
    </w:p>
    <w:p>
      <w:pPr>
        <w:spacing w:line="360" w:lineRule="auto"/>
        <w:ind w:firstLine="480" w:firstLineChars="200"/>
        <w:rPr>
          <w:rFonts w:ascii="宋体" w:hAnsi="宋体" w:cs="宋体"/>
          <w:sz w:val="24"/>
          <w:szCs w:val="28"/>
        </w:rPr>
      </w:pPr>
      <w:r>
        <w:rPr>
          <w:rFonts w:ascii="宋体" w:hAnsi="宋体" w:cs="宋体" w:hint="eastAsia"/>
          <w:sz w:val="24"/>
          <w:szCs w:val="28"/>
        </w:rPr>
        <w:t>其次，提出改进SLP方法对仓库功能区布局进行优化。针对传统SLP方法存在的缺点，本文提出三点改进: 1)使用EIQ分析代替原有方法中的产品(P)、数量(Q)分析，相比于原有方案分析仓库在推动模式下的基本要素，EIQ分析法能够更好的分析拉动模式下的仓库基本要素，更符合电子商务下仓库的业务特点。</w:t>
      </w:r>
    </w:p>
    <w:p>
      <w:pPr>
        <w:spacing w:line="360" w:lineRule="auto"/>
        <w:ind w:firstLine="480" w:firstLineChars="200"/>
        <w:rPr>
          <w:rFonts w:ascii="宋体" w:hAnsi="宋体" w:cs="宋体"/>
          <w:sz w:val="24"/>
          <w:szCs w:val="28"/>
        </w:rPr>
      </w:pPr>
      <w:r>
        <w:rPr>
          <w:rFonts w:ascii="宋体" w:hAnsi="宋体" w:cs="宋体" w:hint="eastAsia"/>
          <w:sz w:val="24"/>
          <w:szCs w:val="28"/>
        </w:rPr>
        <w:t xml:space="preserve">本文根据仓库功能区布局规划的实践过程，充分考虑非物流因素对功能区布局规划的影响，对非物流影响因素进行更加细致的分析，减少因非物流因素选取欠缺准确度而对功能区布局方案造成的影响；通过构建并求解数学模型的方式降低人为主观因素对最终布局方案的干扰。本文首先运用 SLP 法对仓库各个功能区进行关联性分析，再通过建立仓库平面布局模型，构建以物料搬运时间最短和功能区间综合关系最大为目标的多目标函数模型，采用遗传算法进行求解，最大程度的降低人为因素对功能区布局方案的影响。 </w:t>
      </w:r>
    </w:p>
    <w:p>
      <w:pPr>
        <w:spacing w:line="360" w:lineRule="auto"/>
        <w:ind w:firstLine="480" w:firstLineChars="200"/>
        <w:rPr>
          <w:rFonts w:ascii="宋体" w:hAnsi="宋体" w:cs="宋体"/>
          <w:sz w:val="24"/>
          <w:szCs w:val="28"/>
        </w:rPr>
        <w:sectPr>
          <w:type w:val="nextPage"/>
          <w:pgSz w:w="11906" w:h="16838"/>
          <w:pgMar w:top="1440" w:right="1800" w:bottom="1440" w:left="1800" w:header="851" w:footer="992" w:gutter="0"/>
          <w:pgNumType w:start="3"/>
          <w:cols w:num="1" w:space="425"/>
          <w:titlePg w:val="0"/>
          <w:docGrid w:type="lines" w:linePitch="312" w:charSpace="0"/>
        </w:sectPr>
      </w:pPr>
    </w:p>
    <w:p>
      <w:pPr>
        <w:spacing w:line="360" w:lineRule="auto"/>
        <w:ind w:firstLine="480" w:firstLineChars="200"/>
        <w:rPr>
          <w:rFonts w:ascii="宋体" w:hAnsi="宋体" w:cs="宋体"/>
          <w:sz w:val="24"/>
          <w:szCs w:val="28"/>
        </w:rPr>
      </w:pPr>
      <w:r>
        <w:rPr>
          <w:rFonts w:ascii="宋体" w:hAnsi="宋体" w:cs="宋体" w:hint="eastAsia"/>
          <w:sz w:val="24"/>
          <w:szCs w:val="28"/>
        </w:rPr>
        <w:t>最后，本文从电子商务仓库的特点出发，针对A企业仓库功能区布局规划不合理导致拣选路线迂回，电商活动前存储区域爆仓导致的商品占用通道、摆放混乱，影响作业效率等问题，采用存储货位布置优化和功能区布局优化的方式，提高了仓库的灵活应对电商活动峰值存储需求的能力，改善仓库拣选路线迂回，库内作业效率较低等问题，为A企业仓库布局规划提供一定的现实借鉴意义。</w:t>
      </w:r>
      <w:r>
        <w:rPr>
          <w:rFonts w:ascii="宋体" w:hAnsi="宋体" w:cs="宋体" w:hint="eastAsia"/>
          <w:sz w:val="24"/>
          <w:szCs w:val="28"/>
        </w:rPr>
        <w:t xml:space="preserve"> </w:t>
      </w:r>
    </w:p>
    <w:p>
      <w:pPr>
        <w:pStyle w:val="Heading2"/>
        <w:spacing w:before="120" w:after="120" w:line="600" w:lineRule="exact"/>
        <w:jc w:val="left"/>
        <w:rPr>
          <w:rFonts w:ascii="黑体" w:eastAsia="黑体" w:hAnsi="黑体" w:cs="宋体"/>
          <w:b w:val="0"/>
          <w:bCs w:val="0"/>
          <w:sz w:val="28"/>
          <w:szCs w:val="28"/>
        </w:rPr>
      </w:pPr>
      <w:bookmarkStart w:id="8" w:name="_Toc71288581"/>
      <w:bookmarkStart w:id="9" w:name="_Toc23029"/>
      <w:r>
        <w:rPr>
          <w:rFonts w:ascii="黑体" w:eastAsia="黑体" w:hAnsi="黑体" w:cs="宋体" w:hint="eastAsia"/>
          <w:b w:val="0"/>
          <w:bCs w:val="0"/>
          <w:sz w:val="28"/>
          <w:szCs w:val="28"/>
        </w:rPr>
        <w:t>1.2  国内外发展现状</w:t>
      </w:r>
      <w:bookmarkEnd w:id="8"/>
      <w:bookmarkEnd w:id="9"/>
    </w:p>
    <w:p>
      <w:pPr>
        <w:pStyle w:val="Heading3"/>
        <w:spacing w:line="520" w:lineRule="exact"/>
        <w:jc w:val="left"/>
        <w:rPr>
          <w:rFonts w:ascii="黑体" w:eastAsia="黑体" w:hAnsi="黑体"/>
          <w:b w:val="0"/>
          <w:bCs w:val="0"/>
          <w:sz w:val="24"/>
        </w:rPr>
      </w:pPr>
      <w:bookmarkStart w:id="10" w:name="_Toc71288582"/>
      <w:r>
        <w:rPr>
          <w:rFonts w:ascii="黑体" w:eastAsia="黑体" w:hAnsi="黑体" w:hint="eastAsia"/>
          <w:b w:val="0"/>
          <w:bCs w:val="0"/>
          <w:sz w:val="24"/>
        </w:rPr>
        <w:t>1.2.1国内研究现状</w:t>
      </w:r>
      <w:bookmarkEnd w:id="10"/>
    </w:p>
    <w:p>
      <w:pPr>
        <w:spacing w:line="360" w:lineRule="auto"/>
        <w:ind w:firstLine="480" w:firstLineChars="200"/>
        <w:rPr>
          <w:rFonts w:ascii="宋体" w:hAnsi="宋体" w:cs="宋体"/>
          <w:sz w:val="24"/>
          <w:szCs w:val="28"/>
        </w:rPr>
      </w:pPr>
      <w:r>
        <w:rPr>
          <w:rFonts w:ascii="宋体" w:hAnsi="宋体" w:cs="宋体" w:hint="eastAsia"/>
          <w:sz w:val="24"/>
          <w:szCs w:val="28"/>
        </w:rPr>
        <w:t xml:space="preserve">国内有关仓库布局改进方面更多的是布局优化方法的改进、创新及应用。在系统布置设计方法改进方面，由于传统 SLP 法存在一定的局限性，因此需要对系统布置方法进行改进。对 SLP 方法进行改进通常集中在作业单位间相互关系分析、程序模式以及模型构建等方面。杨晓英等人（2003）根据现代企业特点提出了新的适应企业发展的物流系统技术；冯定忠等人（2012）则使用 SLP 和物料搬运系统分析（Systematic Handling Analysis，SHA）结合的方法对企业新建车间进行系统设置，最后结合 Delmia/QUEST 仿真软件进行仿真模拟；刘济楚（2013）使用改进型 SLP 对仓库进行布局优化，更加细化仓库功能区及流程分析，并使用遗传算法获得最优方案；朱兴航（2016）以铁路物流中心为研究对象，通过在 SLP方法上细化功能区相关关系，强调功能区间非物流因素的对布局优化的影响；王卿（2017）在对仓库布局优化过程中，更加侧重于非物流因素对功能区的影响，在此基础上对传统 SLP 法进行修改，并用层次分析法对方案进行评价分析。  </w:t>
      </w:r>
    </w:p>
    <w:p>
      <w:pPr>
        <w:pStyle w:val="Heading3"/>
        <w:spacing w:line="520" w:lineRule="exact"/>
        <w:jc w:val="left"/>
        <w:rPr>
          <w:rFonts w:ascii="黑体" w:eastAsia="黑体" w:hAnsi="黑体"/>
          <w:b w:val="0"/>
          <w:bCs w:val="0"/>
          <w:sz w:val="24"/>
        </w:rPr>
      </w:pPr>
      <w:bookmarkStart w:id="11" w:name="_Toc71288583"/>
      <w:r>
        <w:rPr>
          <w:rFonts w:ascii="黑体" w:eastAsia="黑体" w:hAnsi="黑体" w:hint="eastAsia"/>
          <w:b w:val="0"/>
          <w:bCs w:val="0"/>
          <w:sz w:val="24"/>
        </w:rPr>
        <w:t>1.2.2国外研究现状</w:t>
      </w:r>
      <w:bookmarkEnd w:id="11"/>
    </w:p>
    <w:p>
      <w:pPr>
        <w:spacing w:line="360" w:lineRule="auto"/>
        <w:ind w:firstLine="480" w:firstLineChars="200"/>
        <w:rPr>
          <w:rFonts w:ascii="宋体" w:hAnsi="宋体" w:cs="宋体"/>
          <w:sz w:val="24"/>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cs="宋体" w:hint="eastAsia"/>
          <w:sz w:val="24"/>
          <w:szCs w:val="28"/>
        </w:rPr>
        <w:t>在仓库布局规划应用方面，国外较为流行也最具代表性的方法是美国学者Richard</w:t>
      </w:r>
      <w:r>
        <w:rPr>
          <w:rFonts w:ascii="宋体" w:hAnsi="宋体" w:cs="宋体" w:hint="eastAsia"/>
          <w:sz w:val="24"/>
          <w:szCs w:val="28"/>
        </w:rPr>
        <w:t xml:space="preserve"> Muller（1961）提出的系统布置设计（SLP）方法，该方法首次被应用于企业设施规划中；日本学者铃木震（1981）将系统布置方法应用到更为广泛的领域，如餐厅布置、仓库布局优化等方面，同时在设施规划过程中引入</w:t>
      </w:r>
      <w:r>
        <w:rPr>
          <w:rFonts w:ascii="宋体" w:hAnsi="宋体" w:cs="宋体" w:hint="eastAsia"/>
          <w:sz w:val="24"/>
          <w:szCs w:val="28"/>
        </w:rPr>
        <w:t xml:space="preserve"> EIQ</w:t>
      </w:r>
      <w:r>
        <w:rPr>
          <w:rFonts w:ascii="宋体" w:hAnsi="宋体" w:cs="宋体" w:hint="eastAsia"/>
          <w:sz w:val="24"/>
          <w:szCs w:val="28"/>
        </w:rPr>
        <w:t xml:space="preserve"> 分析，丰富了</w:t>
      </w:r>
      <w:r>
        <w:rPr>
          <w:rFonts w:ascii="宋体" w:hAnsi="宋体" w:cs="宋体" w:hint="eastAsia"/>
          <w:sz w:val="24"/>
          <w:szCs w:val="28"/>
        </w:rPr>
        <w:t xml:space="preserve"> SLP</w:t>
      </w:r>
      <w:r>
        <w:rPr>
          <w:rFonts w:ascii="宋体" w:hAnsi="宋体" w:cs="宋体" w:hint="eastAsia"/>
          <w:sz w:val="24"/>
          <w:szCs w:val="28"/>
        </w:rPr>
        <w:t xml:space="preserve"> 方法中的原始资料，增加了设施规划布局灵活性；Kusiak</w:t>
      </w:r>
      <w:r>
        <w:rPr>
          <w:rFonts w:ascii="宋体" w:hAnsi="宋体" w:cs="宋体" w:hint="eastAsia"/>
          <w:sz w:val="24"/>
          <w:szCs w:val="28"/>
        </w:rPr>
        <w:t xml:space="preserve"> and</w:t>
      </w:r>
      <w:r>
        <w:rPr>
          <w:rFonts w:ascii="宋体" w:hAnsi="宋体" w:cs="宋体" w:hint="eastAsia"/>
          <w:sz w:val="24"/>
          <w:szCs w:val="28"/>
        </w:rPr>
        <w:t xml:space="preserve"> Heragu（1984）在文章中表示设施规划研究包括设施内部布局优化以及设施选址研究，而仓库布局优化是属于设施规划内部研究，故仓库布局是设施规划布局内容的一部分；Tompkins（1984）在书中同样使用</w:t>
      </w:r>
      <w:r>
        <w:rPr>
          <w:rFonts w:ascii="宋体" w:hAnsi="宋体" w:cs="宋体" w:hint="eastAsia"/>
          <w:sz w:val="24"/>
          <w:szCs w:val="28"/>
        </w:rPr>
        <w:t xml:space="preserve"> SLP</w:t>
      </w:r>
    </w:p>
    <w:p>
      <w:pPr>
        <w:spacing w:line="360" w:lineRule="auto"/>
        <w:ind w:firstLine="480" w:firstLineChars="200"/>
        <w:rPr>
          <w:rFonts w:ascii="宋体" w:hAnsi="宋体" w:cs="宋体"/>
          <w:sz w:val="24"/>
          <w:szCs w:val="28"/>
        </w:rPr>
      </w:pPr>
      <w:r>
        <w:rPr>
          <w:rFonts w:ascii="宋体" w:hAnsi="宋体" w:cs="宋体" w:hint="eastAsia"/>
          <w:sz w:val="24"/>
          <w:szCs w:val="28"/>
        </w:rPr>
        <w:t xml:space="preserve"> 法进行设施规划研究；Sunderesh</w:t>
      </w:r>
      <w:r>
        <w:rPr>
          <w:rFonts w:ascii="宋体" w:hAnsi="宋体" w:cs="宋体" w:hint="eastAsia"/>
          <w:sz w:val="24"/>
          <w:szCs w:val="28"/>
        </w:rPr>
        <w:t xml:space="preserve"> et</w:t>
      </w:r>
      <w:r>
        <w:rPr>
          <w:rFonts w:ascii="宋体" w:hAnsi="宋体" w:cs="宋体" w:hint="eastAsia"/>
          <w:sz w:val="24"/>
          <w:szCs w:val="28"/>
        </w:rPr>
        <w:t xml:space="preserve"> </w:t>
      </w:r>
      <w:r>
        <w:rPr>
          <w:rFonts w:ascii="宋体" w:hAnsi="宋体" w:cs="宋体" w:hint="eastAsia"/>
          <w:sz w:val="24"/>
          <w:szCs w:val="28"/>
        </w:rPr>
        <w:t xml:space="preserve"> al.（1992）则通过将</w:t>
      </w:r>
      <w:r>
        <w:rPr>
          <w:rFonts w:ascii="宋体" w:hAnsi="宋体" w:cs="宋体" w:hint="eastAsia"/>
          <w:sz w:val="24"/>
          <w:szCs w:val="28"/>
        </w:rPr>
        <w:t xml:space="preserve"> SLP</w:t>
      </w:r>
      <w:r>
        <w:rPr>
          <w:rFonts w:ascii="宋体" w:hAnsi="宋体" w:cs="宋体" w:hint="eastAsia"/>
          <w:sz w:val="24"/>
          <w:szCs w:val="28"/>
        </w:rPr>
        <w:t xml:space="preserve"> 与实际案例进行结合，从而验证了</w:t>
      </w:r>
      <w:r>
        <w:rPr>
          <w:rFonts w:ascii="宋体" w:hAnsi="宋体" w:cs="宋体" w:hint="eastAsia"/>
          <w:sz w:val="24"/>
          <w:szCs w:val="28"/>
        </w:rPr>
        <w:t xml:space="preserve"> SLP</w:t>
      </w:r>
      <w:r>
        <w:rPr>
          <w:rFonts w:ascii="宋体" w:hAnsi="宋体" w:cs="宋体" w:hint="eastAsia"/>
          <w:sz w:val="24"/>
          <w:szCs w:val="28"/>
        </w:rPr>
        <w:t xml:space="preserve"> 方法的可行性与有效性；Emre</w:t>
      </w:r>
      <w:r>
        <w:rPr>
          <w:rFonts w:ascii="宋体" w:hAnsi="宋体" w:cs="宋体" w:hint="eastAsia"/>
          <w:sz w:val="24"/>
          <w:szCs w:val="28"/>
        </w:rPr>
        <w:t xml:space="preserve"> Cakmak</w:t>
      </w:r>
      <w:r>
        <w:rPr>
          <w:rFonts w:ascii="宋体" w:hAnsi="宋体" w:cs="宋体" w:hint="eastAsia"/>
          <w:sz w:val="24"/>
          <w:szCs w:val="28"/>
        </w:rPr>
        <w:t xml:space="preserve"> et</w:t>
      </w:r>
      <w:r>
        <w:rPr>
          <w:rFonts w:ascii="宋体" w:hAnsi="宋体" w:cs="宋体" w:hint="eastAsia"/>
          <w:sz w:val="24"/>
          <w:szCs w:val="28"/>
        </w:rPr>
        <w:t xml:space="preserve"> al.</w:t>
      </w:r>
      <w:r>
        <w:rPr>
          <w:rFonts w:ascii="宋体" w:hAnsi="宋体" w:cs="宋体" w:hint="eastAsia"/>
          <w:sz w:val="24"/>
          <w:szCs w:val="28"/>
        </w:rPr>
        <w:t xml:space="preserve"> (2012)</w:t>
      </w:r>
      <w:r>
        <w:rPr>
          <w:rFonts w:ascii="宋体" w:hAnsi="宋体" w:cs="宋体" w:hint="eastAsia"/>
          <w:sz w:val="24"/>
          <w:szCs w:val="28"/>
        </w:rPr>
        <w:t xml:space="preserve"> </w:t>
      </w:r>
      <w:r>
        <w:rPr>
          <w:rFonts w:ascii="宋体" w:hAnsi="宋体" w:cs="宋体" w:hint="eastAsia"/>
          <w:sz w:val="24"/>
          <w:szCs w:val="28"/>
        </w:rPr>
        <w:t xml:space="preserve"> 在研究发现，仓库布局过程中</w:t>
      </w:r>
      <w:r>
        <w:rPr>
          <w:rFonts w:ascii="宋体" w:hAnsi="宋体" w:cs="宋体" w:hint="eastAsia"/>
          <w:sz w:val="24"/>
          <w:szCs w:val="28"/>
        </w:rPr>
        <w:t xml:space="preserve"> U</w:t>
      </w:r>
      <w:r>
        <w:rPr>
          <w:rFonts w:ascii="宋体" w:hAnsi="宋体" w:cs="宋体" w:hint="eastAsia"/>
          <w:sz w:val="24"/>
          <w:szCs w:val="28"/>
        </w:rPr>
        <w:t xml:space="preserve"> 型仓库布局可以有效满足短时间且高频率的货物，因此建议在仓库布局优化过程中要考虑物流动线对仓库布局的影响.Jean-Paul</w:t>
      </w:r>
      <w:r>
        <w:rPr>
          <w:rFonts w:ascii="宋体" w:hAnsi="宋体" w:cs="宋体" w:hint="eastAsia"/>
          <w:sz w:val="24"/>
          <w:szCs w:val="28"/>
        </w:rPr>
        <w:t xml:space="preserve"> Arnaout（2017）使用蚁群算法对多层仓库布局优化问题进行研究，并将蚁群算法与遗传算法进行比较，从而验证使用蚁群算法对求解仓库布局优化方面具有的优越性；Shahab</w:t>
      </w:r>
      <w:r>
        <w:rPr>
          <w:rFonts w:ascii="宋体" w:hAnsi="宋体" w:cs="宋体" w:hint="eastAsia"/>
          <w:sz w:val="24"/>
          <w:szCs w:val="28"/>
        </w:rPr>
        <w:t xml:space="preserve"> Derhami</w:t>
      </w:r>
      <w:r>
        <w:rPr>
          <w:rFonts w:ascii="宋体" w:hAnsi="宋体" w:cs="宋体" w:hint="eastAsia"/>
          <w:sz w:val="24"/>
          <w:szCs w:val="28"/>
        </w:rPr>
        <w:t xml:space="preserve"> et</w:t>
      </w:r>
      <w:r>
        <w:rPr>
          <w:rFonts w:ascii="宋体" w:hAnsi="宋体" w:cs="宋体" w:hint="eastAsia"/>
          <w:sz w:val="24"/>
          <w:szCs w:val="28"/>
        </w:rPr>
        <w:t xml:space="preserve"> al.（2019）通过研究仓库过道、交叉通道数量及托架深度等因素对物料搬运成本、空间利用率的影响，基于此建立双目标函数，最后通过仿真和算法求出仓库最佳布局，从而达到优化仓库布局的目的；Jang</w:t>
      </w:r>
      <w:r>
        <w:rPr>
          <w:rFonts w:ascii="宋体" w:hAnsi="宋体" w:cs="宋体" w:hint="eastAsia"/>
          <w:sz w:val="24"/>
          <w:szCs w:val="28"/>
        </w:rPr>
        <w:t xml:space="preserve"> et</w:t>
      </w:r>
      <w:r>
        <w:rPr>
          <w:rFonts w:ascii="宋体" w:hAnsi="宋体" w:cs="宋体" w:hint="eastAsia"/>
          <w:sz w:val="24"/>
          <w:szCs w:val="28"/>
        </w:rPr>
        <w:t xml:space="preserve"> al.（2020）主要在对设施布局进行优化过程中，将影响设施布局的因素作为目标函数，进一步构建起针对楼层建筑布局优化的多目标模型，最后使用遗传算法对模型获得最优方案。</w:t>
      </w:r>
      <w:r>
        <w:rPr>
          <w:rFonts w:ascii="宋体" w:hAnsi="宋体" w:cs="宋体" w:hint="eastAsia"/>
          <w:sz w:val="24"/>
          <w:szCs w:val="28"/>
        </w:rPr>
        <w:t xml:space="preserve"> </w:t>
      </w:r>
    </w:p>
    <w:p>
      <w:pPr>
        <w:pStyle w:val="Heading2"/>
        <w:spacing w:before="120" w:after="120" w:line="600" w:lineRule="exact"/>
        <w:jc w:val="left"/>
        <w:rPr>
          <w:rFonts w:ascii="黑体" w:eastAsia="黑体" w:hAnsi="黑体" w:cs="宋体"/>
          <w:b w:val="0"/>
          <w:bCs w:val="0"/>
          <w:sz w:val="28"/>
          <w:szCs w:val="28"/>
        </w:rPr>
      </w:pPr>
      <w:bookmarkStart w:id="12" w:name="_Toc71288584"/>
      <w:bookmarkStart w:id="13" w:name="_Toc5283"/>
      <w:r>
        <w:rPr>
          <w:rFonts w:ascii="黑体" w:eastAsia="黑体" w:hAnsi="黑体" w:cs="宋体" w:hint="eastAsia"/>
          <w:b w:val="0"/>
          <w:bCs w:val="0"/>
          <w:sz w:val="28"/>
          <w:szCs w:val="28"/>
        </w:rPr>
        <w:t>1.3研究方法与研究内容</w:t>
      </w:r>
      <w:bookmarkEnd w:id="12"/>
      <w:bookmarkEnd w:id="13"/>
    </w:p>
    <w:p>
      <w:pPr>
        <w:pStyle w:val="Heading3"/>
        <w:spacing w:line="520" w:lineRule="exact"/>
        <w:jc w:val="left"/>
        <w:rPr>
          <w:rFonts w:ascii="黑体" w:eastAsia="黑体" w:hAnsi="黑体"/>
          <w:b w:val="0"/>
          <w:bCs w:val="0"/>
          <w:sz w:val="24"/>
        </w:rPr>
      </w:pPr>
      <w:bookmarkStart w:id="14" w:name="_Toc71288585"/>
      <w:r>
        <w:rPr>
          <w:rFonts w:ascii="黑体" w:eastAsia="黑体" w:hAnsi="黑体" w:hint="eastAsia"/>
          <w:b w:val="0"/>
          <w:bCs w:val="0"/>
          <w:sz w:val="24"/>
        </w:rPr>
        <w:t>1.3.1 研究方法</w:t>
      </w:r>
      <w:bookmarkEnd w:id="14"/>
    </w:p>
    <w:p>
      <w:pPr>
        <w:tabs>
          <w:tab w:val="right" w:leader="dot" w:pos="8296"/>
        </w:tabs>
        <w:spacing w:line="440" w:lineRule="exact"/>
        <w:ind w:firstLine="480" w:firstLineChars="200"/>
        <w:rPr>
          <w:rFonts w:ascii="黑体" w:eastAsia="黑体" w:hAnsi="黑体"/>
          <w:sz w:val="24"/>
        </w:rPr>
      </w:pPr>
      <w:r>
        <w:rPr>
          <w:rFonts w:ascii="黑体" w:eastAsia="黑体" w:hAnsi="黑体" w:hint="eastAsia"/>
          <w:sz w:val="24"/>
        </w:rPr>
        <w:t>（1）</w:t>
      </w:r>
      <w:r>
        <w:rPr>
          <w:rFonts w:ascii="宋体" w:hAnsi="宋体" w:hint="eastAsia"/>
          <w:sz w:val="24"/>
        </w:rPr>
        <w:t>文献综述方法</w:t>
      </w:r>
    </w:p>
    <w:p>
      <w:pPr>
        <w:tabs>
          <w:tab w:val="right" w:leader="dot" w:pos="8296"/>
        </w:tabs>
        <w:spacing w:line="440" w:lineRule="exact"/>
        <w:rPr>
          <w:rFonts w:ascii="宋体" w:hAnsi="宋体"/>
          <w:sz w:val="24"/>
        </w:rPr>
      </w:pPr>
      <w:r>
        <w:rPr>
          <w:rFonts w:ascii="宋体" w:hAnsi="宋体" w:hint="eastAsia"/>
          <w:sz w:val="24"/>
        </w:rPr>
        <w:t xml:space="preserve">    通过各种方式去收集仓库布局优化研究的相关理论和文献资料，并仔细阅读文献，总结归纳出有用的信息，为研究电商仓库的布局优化研究打下坚实基础。</w:t>
      </w:r>
    </w:p>
    <w:p>
      <w:pPr>
        <w:tabs>
          <w:tab w:val="right" w:leader="dot" w:pos="8296"/>
        </w:tabs>
        <w:spacing w:line="440" w:lineRule="exact"/>
        <w:ind w:firstLine="480" w:firstLineChars="200"/>
        <w:rPr>
          <w:rFonts w:ascii="宋体" w:hAnsi="宋体"/>
          <w:sz w:val="24"/>
        </w:rPr>
      </w:pPr>
      <w:r>
        <w:rPr>
          <w:rFonts w:ascii="宋体" w:hAnsi="宋体" w:hint="eastAsia"/>
          <w:sz w:val="24"/>
        </w:rPr>
        <w:t>（2）实地调查方法</w:t>
      </w:r>
    </w:p>
    <w:p>
      <w:pPr>
        <w:tabs>
          <w:tab w:val="right" w:leader="dot" w:pos="8296"/>
        </w:tabs>
        <w:spacing w:line="440" w:lineRule="exact"/>
        <w:ind w:firstLine="480" w:firstLineChars="200"/>
        <w:rPr>
          <w:rFonts w:ascii="宋体" w:hAnsi="宋体"/>
          <w:sz w:val="24"/>
        </w:rPr>
      </w:pPr>
      <w:r>
        <w:rPr>
          <w:rFonts w:ascii="宋体" w:hAnsi="宋体" w:hint="eastAsia"/>
          <w:sz w:val="24"/>
        </w:rPr>
        <w:t>通过毕业实习的这段时间，对于A企业电商仓库的布局有一定的了解，加上与同事的沟通交流知道A企业电商仓库现状，并分析出仓库布局主要存在的问题。</w:t>
      </w:r>
    </w:p>
    <w:p>
      <w:pPr>
        <w:tabs>
          <w:tab w:val="right" w:leader="dot" w:pos="8296"/>
        </w:tabs>
        <w:spacing w:line="440" w:lineRule="exact"/>
        <w:ind w:firstLine="480" w:firstLineChars="200"/>
        <w:rPr>
          <w:rFonts w:ascii="宋体" w:hAnsi="宋体"/>
          <w:sz w:val="24"/>
        </w:rPr>
      </w:pPr>
      <w:r>
        <w:rPr>
          <w:rFonts w:ascii="宋体" w:hAnsi="宋体" w:hint="eastAsia"/>
          <w:sz w:val="24"/>
        </w:rPr>
        <w:t>（3）系统布置设计法（SLP）</w:t>
      </w:r>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通过</w:t>
      </w:r>
      <w:r>
        <w:rPr>
          <w:rFonts w:ascii="宋体" w:hAnsi="宋体" w:hint="cs"/>
          <w:color w:val="000000"/>
          <w:sz w:val="24"/>
        </w:rPr>
        <w:t>S</w:t>
      </w:r>
      <w:r>
        <w:rPr>
          <w:rFonts w:ascii="宋体" w:hAnsi="宋体"/>
          <w:color w:val="000000"/>
          <w:sz w:val="24"/>
        </w:rPr>
        <w:t>LP</w:t>
      </w:r>
      <w:r>
        <w:rPr>
          <w:rFonts w:ascii="宋体" w:hAnsi="宋体" w:cs="宋体" w:hint="eastAsia"/>
          <w:color w:val="000000"/>
          <w:sz w:val="24"/>
        </w:rPr>
        <w:t>方法进行物流分析与非物流分析，将定量与定性的因素相结合，对仓库作业单元间相互关系密切程度进行量化处理，使电商布局问题在优化过程中可以综合考虑多种因素，使布局方案更加均衡完善。</w:t>
      </w:r>
    </w:p>
    <w:p>
      <w:pPr>
        <w:tabs>
          <w:tab w:val="right" w:leader="dot" w:pos="8296"/>
        </w:tabs>
        <w:spacing w:line="440" w:lineRule="exact"/>
        <w:ind w:firstLine="240" w:firstLineChars="100"/>
        <w:rPr>
          <w:rFonts w:ascii="宋体" w:hAnsi="宋体" w:cs="宋体"/>
          <w:color w:val="000000"/>
          <w:sz w:val="24"/>
        </w:rPr>
      </w:pPr>
      <w:r>
        <w:rPr>
          <w:rFonts w:ascii="宋体" w:hAnsi="宋体" w:cs="宋体" w:hint="eastAsia"/>
          <w:color w:val="000000"/>
          <w:sz w:val="24"/>
        </w:rPr>
        <w:t>（4）层次分析法（A</w:t>
      </w:r>
      <w:r>
        <w:rPr>
          <w:rFonts w:ascii="宋体" w:hAnsi="宋体" w:cs="宋体"/>
          <w:color w:val="000000"/>
          <w:sz w:val="24"/>
        </w:rPr>
        <w:t>HP</w:t>
      </w:r>
      <w:r>
        <w:rPr>
          <w:rFonts w:ascii="宋体" w:hAnsi="宋体" w:cs="宋体" w:hint="eastAsia"/>
          <w:color w:val="000000"/>
          <w:sz w:val="24"/>
        </w:rPr>
        <w:t>）</w:t>
      </w:r>
    </w:p>
    <w:p>
      <w:pPr>
        <w:tabs>
          <w:tab w:val="right" w:leader="dot" w:pos="8296"/>
        </w:tabs>
        <w:spacing w:line="440" w:lineRule="exact"/>
        <w:rPr>
          <w:rFonts w:ascii="宋体" w:hAnsi="宋体" w:cs="宋体"/>
          <w:sz w:val="24"/>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hAnsi="宋体" w:cs="宋体" w:hint="eastAsia"/>
          <w:color w:val="000000"/>
          <w:sz w:val="24"/>
        </w:rPr>
        <w:t xml:space="preserve"> </w:t>
      </w:r>
      <w:r>
        <w:rPr>
          <w:rFonts w:ascii="宋体" w:hAnsi="宋体" w:cs="宋体"/>
          <w:color w:val="000000"/>
          <w:sz w:val="24"/>
        </w:rPr>
        <w:t xml:space="preserve"> </w:t>
      </w:r>
      <w:r>
        <w:rPr>
          <w:rFonts w:ascii="宋体" w:hAnsi="宋体" w:cs="宋体" w:hint="eastAsia"/>
          <w:color w:val="000000"/>
          <w:sz w:val="24"/>
        </w:rPr>
        <w:t xml:space="preserve">  通过层次分析法建立评价指标体系，然后构建判断矩阵，进行计算，选出对</w:t>
      </w:r>
      <w:r>
        <w:rPr>
          <w:rFonts w:ascii="宋体" w:hAnsi="宋体" w:cs="宋体"/>
          <w:color w:val="000000"/>
          <w:sz w:val="24"/>
        </w:rPr>
        <w:t>A</w:t>
      </w:r>
      <w:r>
        <w:rPr>
          <w:rFonts w:ascii="宋体" w:hAnsi="宋体" w:cs="宋体" w:hint="eastAsia"/>
          <w:color w:val="000000"/>
          <w:sz w:val="24"/>
        </w:rPr>
        <w:t>企业电商仓库更优的方案布局方案。</w:t>
      </w:r>
    </w:p>
    <w:p>
      <w:pPr>
        <w:pStyle w:val="Heading3"/>
        <w:spacing w:line="520" w:lineRule="exact"/>
        <w:jc w:val="left"/>
        <w:rPr>
          <w:rFonts w:ascii="黑体" w:eastAsia="黑体" w:hAnsi="黑体"/>
          <w:b w:val="0"/>
          <w:bCs w:val="0"/>
          <w:sz w:val="24"/>
        </w:rPr>
      </w:pPr>
      <w:bookmarkStart w:id="15" w:name="_Toc71288586"/>
      <w:r>
        <w:rPr>
          <w:rFonts w:ascii="黑体" w:eastAsia="黑体" w:hAnsi="黑体" w:hint="eastAsia"/>
          <w:b w:val="0"/>
          <w:bCs w:val="0"/>
          <w:sz w:val="24"/>
        </w:rPr>
        <w:t>1.3.2 研究内容</w:t>
      </w:r>
      <w:bookmarkEnd w:id="15"/>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本文共分为六个部分，大致框架如下：</w:t>
      </w:r>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第一章：绪论。本章从论文的研究背景和意义，国内外就此方面研究现状以及论文的研究方法和内容进行了简单介绍。</w:t>
      </w:r>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第二章：相关理论综述。本章介绍了电商仓库的概述、布局的内容和目标及原则，还介绍了SLP法的概念、设计原理以及实验步骤。</w:t>
      </w:r>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第三章：A企业电商仓库现状分析。本章通过实地调查，获取有效信息和数据，初步了解A企业电商仓库当前的布局现状及其存在的问题。</w:t>
      </w:r>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第四章：A企业仓库系统布置设计(SLP)分析。本章运用SLP法对A企业电商仓库当前的布局进行优化设置，提出两个优化方案。</w:t>
      </w:r>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第五章：基于AHP对布局方案的评价选择。本章运用AHP法，对提出的两个优化方案进行综合评定，选出最佳方案。</w:t>
      </w:r>
    </w:p>
    <w:p>
      <w:pPr>
        <w:tabs>
          <w:tab w:val="right" w:leader="dot" w:pos="8296"/>
        </w:tabs>
        <w:spacing w:line="440" w:lineRule="exact"/>
        <w:ind w:firstLine="480" w:firstLineChars="200"/>
        <w:rPr>
          <w:rFonts w:ascii="宋体" w:hAnsi="宋体" w:cs="宋体"/>
          <w:color w:val="000000"/>
          <w:sz w:val="24"/>
        </w:rPr>
      </w:pPr>
      <w:r>
        <w:rPr>
          <w:rFonts w:ascii="宋体" w:hAnsi="宋体" w:cs="宋体" w:hint="eastAsia"/>
          <w:color w:val="000000"/>
          <w:sz w:val="24"/>
        </w:rPr>
        <w:t>第六章：总结与展望。对研究的内容和不足之处进行简单的归纳总结。</w:t>
      </w:r>
    </w:p>
    <w:p>
      <w:pPr>
        <w:pStyle w:val="Heading1"/>
        <w:rPr>
          <w:rFonts w:ascii="黑体" w:hAnsi="黑体"/>
          <w:color w:val="000000"/>
          <w:szCs w:val="30"/>
        </w:rPr>
      </w:pPr>
      <w:bookmarkStart w:id="16" w:name="_Toc71288587"/>
      <w:bookmarkStart w:id="17" w:name="_Toc17033"/>
      <w:r>
        <w:rPr>
          <w:rFonts w:ascii="黑体" w:hAnsi="黑体" w:hint="eastAsia"/>
          <w:color w:val="000000"/>
          <w:szCs w:val="30"/>
        </w:rPr>
        <w:t>2相关理论综述</w:t>
      </w:r>
      <w:bookmarkEnd w:id="16"/>
      <w:bookmarkEnd w:id="17"/>
    </w:p>
    <w:p>
      <w:pPr>
        <w:pStyle w:val="Heading2"/>
        <w:spacing w:before="120" w:after="120" w:line="600" w:lineRule="exact"/>
        <w:jc w:val="left"/>
        <w:rPr>
          <w:rFonts w:ascii="宋体" w:hAnsi="宋体" w:cs="宋体"/>
          <w:color w:val="000000"/>
          <w:sz w:val="24"/>
        </w:rPr>
      </w:pPr>
      <w:bookmarkStart w:id="18" w:name="_Toc71288588"/>
      <w:bookmarkStart w:id="19" w:name="_Toc9594"/>
      <w:r>
        <w:rPr>
          <w:rFonts w:ascii="黑体" w:eastAsia="黑体" w:hAnsi="黑体" w:cs="宋体" w:hint="eastAsia"/>
          <w:b w:val="0"/>
          <w:bCs w:val="0"/>
          <w:sz w:val="28"/>
          <w:szCs w:val="28"/>
        </w:rPr>
        <w:t>2.1 电商仓库的理论</w:t>
      </w:r>
      <w:bookmarkEnd w:id="18"/>
      <w:bookmarkEnd w:id="19"/>
    </w:p>
    <w:p>
      <w:pPr>
        <w:pStyle w:val="Heading3"/>
        <w:spacing w:line="520" w:lineRule="exact"/>
        <w:jc w:val="left"/>
        <w:rPr>
          <w:rFonts w:ascii="黑体" w:eastAsia="黑体" w:hAnsi="黑体"/>
          <w:b w:val="0"/>
          <w:bCs w:val="0"/>
          <w:sz w:val="24"/>
        </w:rPr>
      </w:pPr>
      <w:bookmarkStart w:id="20" w:name="_Toc71288589"/>
      <w:r>
        <w:rPr>
          <w:rFonts w:ascii="黑体" w:eastAsia="黑体" w:hAnsi="黑体" w:hint="eastAsia"/>
          <w:b w:val="0"/>
          <w:bCs w:val="0"/>
          <w:sz w:val="24"/>
        </w:rPr>
        <w:t>2.1.1 仓库概述</w:t>
      </w:r>
      <w:bookmarkEnd w:id="20"/>
    </w:p>
    <w:p>
      <w:pPr>
        <w:spacing w:line="360" w:lineRule="auto"/>
        <w:ind w:firstLine="480" w:firstLineChars="200"/>
        <w:rPr>
          <w:rFonts w:ascii="宋体" w:hAnsi="宋体" w:cs="宋体"/>
          <w:color w:val="000000"/>
          <w:sz w:val="24"/>
        </w:rPr>
      </w:pPr>
      <w:r>
        <w:rPr>
          <w:rFonts w:ascii="宋体" w:hAnsi="宋体" w:cs="宋体"/>
          <w:color w:val="000000"/>
          <w:sz w:val="24"/>
        </w:rPr>
        <w:t>“仓库”自古代以来就是用来储存粮草及生活物资的场所，如今仓库虽然仍是作为存储各种生活物资的场地,但仓库的功能已经不再局限于简单的储存货物，而是已经发展成为集加工、制造、包装、配送、逆向物流、存储一体化等物流活动的多功能现代仓库。随着国民经济的不断发展与社会的持续进步，仓库的功能在不断地升级和完善，也使得仓库有多种分类类型，如仓库用途、货物特性、建筑形式、仓库所在地等。具体的分类如下:</w:t>
      </w:r>
    </w:p>
    <w:p>
      <w:pPr>
        <w:spacing w:line="360" w:lineRule="auto"/>
        <w:ind w:left="420" w:leftChars="200"/>
        <w:rPr>
          <w:rFonts w:ascii="宋体" w:hAnsi="宋体" w:cs="宋体"/>
          <w:color w:val="000000"/>
          <w:sz w:val="24"/>
        </w:rPr>
      </w:pPr>
      <w:r>
        <w:rPr>
          <w:rFonts w:ascii="宋体" w:hAnsi="宋体" w:cs="宋体"/>
          <w:color w:val="000000"/>
          <w:sz w:val="24"/>
        </w:rPr>
        <w:t>(1)按照仓库用途分类</w:t>
      </w:r>
    </w:p>
    <w:p>
      <w:pPr>
        <w:spacing w:line="360" w:lineRule="auto"/>
        <w:ind w:firstLine="480" w:firstLineChars="200"/>
        <w:rPr>
          <w:rFonts w:ascii="宋体" w:hAnsi="宋体" w:cs="宋体"/>
          <w:color w:val="000000"/>
          <w:sz w:val="24"/>
        </w:rPr>
      </w:pPr>
      <w:r>
        <w:rPr>
          <w:rFonts w:ascii="宋体" w:hAnsi="宋体" w:cs="宋体"/>
          <w:color w:val="000000"/>
          <w:sz w:val="24"/>
        </w:rPr>
        <w:t>仓库根据自身功能可以分为:进货仓库、存放仓库、加工仓库、批发仓库、保税仓库等。</w:t>
      </w:r>
    </w:p>
    <w:p>
      <w:pPr>
        <w:spacing w:line="360" w:lineRule="auto"/>
        <w:ind w:left="420" w:leftChars="200"/>
        <w:rPr>
          <w:rFonts w:ascii="宋体" w:hAnsi="宋体" w:cs="宋体"/>
          <w:color w:val="000000"/>
          <w:sz w:val="24"/>
        </w:rPr>
      </w:pPr>
      <w:r>
        <w:rPr>
          <w:rFonts w:ascii="宋体" w:hAnsi="宋体" w:cs="宋体"/>
          <w:color w:val="000000"/>
          <w:sz w:val="24"/>
        </w:rPr>
        <w:t>(2)按照货物特性分类</w:t>
      </w:r>
    </w:p>
    <w:p>
      <w:pPr>
        <w:spacing w:line="360" w:lineRule="auto"/>
        <w:ind w:firstLine="480" w:firstLineChars="200"/>
        <w:rPr>
          <w:rFonts w:ascii="宋体" w:hAnsi="宋体" w:cs="宋体"/>
          <w:color w:val="000000"/>
          <w:sz w:val="24"/>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hAnsi="宋体" w:cs="宋体"/>
          <w:color w:val="000000"/>
          <w:sz w:val="24"/>
        </w:rPr>
        <w:t>根据存放货物的特征，仓库可以分为:原料仓库、冷藏仓库、水面仓库、恒温恒湿及保温仓库、特种仓库（危险品仓库)、产品仓库等。</w:t>
      </w:r>
    </w:p>
    <w:p>
      <w:pPr>
        <w:spacing w:line="360" w:lineRule="auto"/>
        <w:ind w:left="420" w:leftChars="200"/>
        <w:rPr>
          <w:rFonts w:ascii="宋体" w:hAnsi="宋体" w:cs="宋体"/>
          <w:color w:val="000000"/>
          <w:sz w:val="24"/>
        </w:rPr>
      </w:pPr>
      <w:r>
        <w:rPr>
          <w:rFonts w:ascii="宋体" w:hAnsi="宋体" w:cs="宋体"/>
          <w:color w:val="000000"/>
          <w:sz w:val="24"/>
        </w:rPr>
        <w:t>(3）按照货架构造类型分类</w:t>
      </w:r>
    </w:p>
    <w:p>
      <w:pPr>
        <w:spacing w:line="360" w:lineRule="auto"/>
        <w:ind w:firstLine="480" w:firstLineChars="200"/>
        <w:rPr>
          <w:rFonts w:ascii="宋体" w:hAnsi="宋体" w:cs="宋体"/>
          <w:color w:val="000000"/>
          <w:sz w:val="24"/>
        </w:rPr>
      </w:pPr>
      <w:r>
        <w:rPr>
          <w:rFonts w:ascii="宋体" w:hAnsi="宋体" w:cs="宋体"/>
          <w:color w:val="000000"/>
          <w:sz w:val="24"/>
        </w:rPr>
        <w:t>根据仓库的货架构造类型可以将仓库分为:单元货格式立体仓库、贯通式立体仓库、自动化柜式立体仓库、条形货架立体仓库等。</w:t>
      </w:r>
    </w:p>
    <w:p>
      <w:pPr>
        <w:spacing w:line="360" w:lineRule="auto"/>
        <w:ind w:left="420" w:leftChars="200"/>
        <w:rPr>
          <w:rFonts w:ascii="宋体" w:hAnsi="宋体" w:cs="宋体"/>
          <w:color w:val="000000"/>
          <w:sz w:val="24"/>
        </w:rPr>
      </w:pPr>
      <w:r>
        <w:rPr>
          <w:rFonts w:ascii="宋体" w:hAnsi="宋体" w:cs="宋体"/>
          <w:color w:val="000000"/>
          <w:sz w:val="24"/>
        </w:rPr>
        <w:t>(4)按照仓库性质分类</w:t>
      </w:r>
    </w:p>
    <w:p>
      <w:pPr>
        <w:spacing w:line="360" w:lineRule="auto"/>
        <w:ind w:firstLine="480" w:firstLineChars="200"/>
        <w:rPr>
          <w:rFonts w:ascii="宋体" w:hAnsi="宋体" w:cs="宋体"/>
          <w:color w:val="000000"/>
          <w:sz w:val="24"/>
        </w:rPr>
      </w:pPr>
      <w:r>
        <w:rPr>
          <w:rFonts w:ascii="宋体" w:hAnsi="宋体" w:cs="宋体"/>
          <w:color w:val="000000"/>
          <w:sz w:val="24"/>
        </w:rPr>
        <w:t>根据仓库所在地进行分类，仓库可以分为:农场仓库、企业仓库、海港仓库、机场仓库、军区仓库等。</w:t>
      </w:r>
    </w:p>
    <w:p>
      <w:pPr>
        <w:pStyle w:val="Heading3"/>
        <w:spacing w:line="520" w:lineRule="exact"/>
        <w:jc w:val="left"/>
        <w:rPr>
          <w:rFonts w:ascii="黑体" w:eastAsia="黑体" w:hAnsi="黑体"/>
          <w:b w:val="0"/>
          <w:bCs w:val="0"/>
          <w:sz w:val="24"/>
        </w:rPr>
      </w:pPr>
      <w:bookmarkStart w:id="21" w:name="_Toc71288590"/>
      <w:r>
        <w:rPr>
          <w:rFonts w:ascii="黑体" w:eastAsia="黑体" w:hAnsi="黑体" w:hint="eastAsia"/>
          <w:b w:val="0"/>
          <w:bCs w:val="0"/>
          <w:sz w:val="24"/>
        </w:rPr>
        <w:t>2.1.2 电商仓库布局内容</w:t>
      </w:r>
      <w:bookmarkEnd w:id="21"/>
    </w:p>
    <w:p>
      <w:pPr>
        <w:spacing w:line="360" w:lineRule="auto"/>
        <w:ind w:firstLine="480" w:firstLineChars="200"/>
        <w:rPr>
          <w:rFonts w:ascii="宋体" w:hAnsi="宋体" w:cs="宋体"/>
          <w:color w:val="000000"/>
          <w:sz w:val="24"/>
        </w:rPr>
      </w:pPr>
      <w:r>
        <w:rPr>
          <w:rFonts w:ascii="宋体" w:hAnsi="宋体" w:cs="宋体" w:hint="eastAsia"/>
          <w:color w:val="000000"/>
          <w:sz w:val="24"/>
        </w:rPr>
        <w:t>电商仓库布局</w:t>
      </w:r>
      <w:r>
        <w:rPr>
          <w:rFonts w:ascii="宋体" w:hAnsi="宋体" w:cs="宋体"/>
          <w:color w:val="000000"/>
          <w:sz w:val="24"/>
        </w:rPr>
        <w:t>通常可以划分为三个部分:主要功能区、辅助功能区及生活区。主要功能区作为整个仓库的核心区域，一般由出、入库区、理货区、储存区（可以细分为A、B、C、D类仓储区或成品区、半成品区、原材料等)、拣货区等功能区构成;辅助功能区则包括:逆向物流区、设备区等;生活区组成部分有:休息区、办公室、会议室等组成。入库区主要包括车辆卸载货物、上架缓存区、贴条形码区等;存储区主要以托盘为存储单元，托盘拣货作业区;理货区作为仓库主要功能区，承担着大量的物流活动，主要包括对入库货物进行核查、检验、整理以及送至存储区等;拣货区是订单拣选、分类，以箱为拣货单位;增值服务区是为客户提供定制化服务，硬盘分区及格式化、安装应用程序等;包装复核区是成箱拣货和零散拣货在该区进行，主要以托盘为装载工具;逆向物流区主要功能是退货、维修、调货、换货补货、废品处理等产品暂存区;出库区作为离开仓库的最后一个环节，其主要功能是核查、检验拣货区运送的货物、将货物进行装载以及停放配送车辆等区域;设备存放区根据存放的设备不同可以划分为托盘存放区、叉车存放区、液态拖车存放区等。</w:t>
      </w:r>
    </w:p>
    <w:p>
      <w:pPr>
        <w:pStyle w:val="Heading3"/>
        <w:spacing w:line="520" w:lineRule="exact"/>
        <w:jc w:val="left"/>
        <w:rPr>
          <w:rFonts w:ascii="黑体" w:eastAsia="黑体" w:hAnsi="黑体"/>
          <w:b w:val="0"/>
          <w:bCs w:val="0"/>
          <w:sz w:val="24"/>
        </w:rPr>
      </w:pPr>
      <w:bookmarkStart w:id="22" w:name="_Toc71288591"/>
      <w:r>
        <w:rPr>
          <w:rFonts w:ascii="黑体" w:eastAsia="黑体" w:hAnsi="黑体" w:hint="eastAsia"/>
          <w:b w:val="0"/>
          <w:bCs w:val="0"/>
          <w:sz w:val="24"/>
        </w:rPr>
        <w:t>2.1.3 仓库布局优化原则</w:t>
      </w:r>
      <w:bookmarkEnd w:id="22"/>
      <w:r>
        <w:rPr>
          <w:rFonts w:ascii="黑体" w:eastAsia="黑体" w:hAnsi="黑体" w:hint="eastAsia"/>
          <w:b w:val="0"/>
          <w:bCs w:val="0"/>
          <w:sz w:val="24"/>
        </w:rPr>
        <w:t xml:space="preserve"> </w:t>
      </w:r>
    </w:p>
    <w:p>
      <w:pPr>
        <w:spacing w:line="360" w:lineRule="auto"/>
        <w:ind w:firstLine="480" w:firstLineChars="200"/>
        <w:rPr>
          <w:rFonts w:ascii="宋体" w:hAnsi="宋体" w:cs="宋体"/>
          <w:color w:val="000000"/>
          <w:sz w:val="24"/>
        </w:rPr>
      </w:pPr>
      <w:r>
        <w:rPr>
          <w:rFonts w:ascii="宋体" w:hAnsi="宋体" w:cs="宋体"/>
          <w:color w:val="000000"/>
          <w:sz w:val="24"/>
        </w:rPr>
        <w:t>根据不同企业经营目标及需求仓库功能区在布局优化过程中会进行不同布置设计，合理有效的布局方案能够提高企业仓库作业效率，给企业带来更高的收益。因此，有必要对仓库布局优化的原则进行概括。在对仓库功能区进行布局规划时，需要根据以下布局原则开展规划作业，相关布局原则如下:</w:t>
      </w:r>
    </w:p>
    <w:p>
      <w:pPr>
        <w:spacing w:line="360" w:lineRule="auto"/>
        <w:ind w:left="420" w:leftChars="200"/>
        <w:rPr>
          <w:rFonts w:ascii="宋体" w:hAnsi="宋体" w:cs="宋体"/>
          <w:color w:val="000000"/>
          <w:sz w:val="24"/>
        </w:rPr>
      </w:pPr>
      <w:r>
        <w:rPr>
          <w:rFonts w:ascii="宋体" w:hAnsi="宋体" w:cs="宋体"/>
          <w:color w:val="000000"/>
          <w:sz w:val="24"/>
        </w:rPr>
        <w:t>(1）距离最小原则</w:t>
      </w:r>
      <w:r>
        <w:rPr>
          <w:rFonts w:ascii="宋体" w:hAnsi="宋体" w:cs="宋体"/>
          <w:color w:val="000000"/>
          <w:sz w:val="24"/>
        </w:rPr>
        <w:br/>
      </w:r>
      <w:r>
        <w:rPr>
          <w:rFonts w:ascii="宋体" w:hAnsi="宋体" w:cs="宋体"/>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https://d.book118.com/917151113111006042</w:t>
        </w:r>
      </w:hyperlink>
    </w:p>
    <w:p>
      <w:pPr>
        <w:spacing w:line="360" w:lineRule="auto"/>
        <w:ind w:left="420" w:leftChars="200"/>
        <w:rPr>
          <w:rFonts w:ascii="宋体" w:hAnsi="宋体" w:cs="宋体"/>
          <w:color w:val="000000"/>
          <w:sz w:val="24"/>
        </w:rPr>
      </w:pPr>
    </w:p>
    <w:sectPr>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Yu Mincho">
    <w:altName w:val="Yu Gothic"/>
    <w:panose1 w:val="00000000000000000000"/>
    <w:charset w:val="80"/>
    <w:family w:val="roman"/>
    <w:pitch w:val="default"/>
    <w:sig w:usb0="00000000" w:usb1="00000000" w:usb2="00000012" w:usb3="00000000" w:csb0="0002009F" w:csb1="00000000"/>
  </w:font>
  <w:font w:name="Yu Gothic">
    <w:panose1 w:val="020B04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C6E"/>
    <w:rsid w:val="0002365A"/>
    <w:rsid w:val="000776F2"/>
    <w:rsid w:val="00122454"/>
    <w:rsid w:val="00136196"/>
    <w:rsid w:val="00144FAC"/>
    <w:rsid w:val="001B37A0"/>
    <w:rsid w:val="00256C44"/>
    <w:rsid w:val="002A380B"/>
    <w:rsid w:val="002E2934"/>
    <w:rsid w:val="002F7787"/>
    <w:rsid w:val="003351ED"/>
    <w:rsid w:val="00365B13"/>
    <w:rsid w:val="00385C6E"/>
    <w:rsid w:val="0042166D"/>
    <w:rsid w:val="00483EE8"/>
    <w:rsid w:val="004938A5"/>
    <w:rsid w:val="00511894"/>
    <w:rsid w:val="00516C35"/>
    <w:rsid w:val="006B077C"/>
    <w:rsid w:val="006B12BF"/>
    <w:rsid w:val="00715876"/>
    <w:rsid w:val="007B2268"/>
    <w:rsid w:val="007F65B1"/>
    <w:rsid w:val="0089138C"/>
    <w:rsid w:val="008C5F14"/>
    <w:rsid w:val="00920B66"/>
    <w:rsid w:val="00944C89"/>
    <w:rsid w:val="00983013"/>
    <w:rsid w:val="00A55A43"/>
    <w:rsid w:val="00B06BCF"/>
    <w:rsid w:val="00B62145"/>
    <w:rsid w:val="00B73578"/>
    <w:rsid w:val="00B92E00"/>
    <w:rsid w:val="00B941DC"/>
    <w:rsid w:val="00B94735"/>
    <w:rsid w:val="00BF030E"/>
    <w:rsid w:val="00C57953"/>
    <w:rsid w:val="00CD740E"/>
    <w:rsid w:val="00D53DE0"/>
    <w:rsid w:val="00DB67C3"/>
    <w:rsid w:val="00DC20CD"/>
    <w:rsid w:val="00DC5815"/>
    <w:rsid w:val="00DF1EA1"/>
    <w:rsid w:val="00E24D34"/>
    <w:rsid w:val="00E45F6B"/>
    <w:rsid w:val="00E529DA"/>
    <w:rsid w:val="00EC1095"/>
    <w:rsid w:val="00EE57AB"/>
    <w:rsid w:val="00F27423"/>
    <w:rsid w:val="00F31F66"/>
    <w:rsid w:val="2DAB514B"/>
    <w:rsid w:val="7E422EBC"/>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4"/>
      <w:lang w:val="en-US" w:eastAsia="zh-CN" w:bidi="ar-SA"/>
    </w:rPr>
  </w:style>
  <w:style w:type="paragraph" w:styleId="Heading1">
    <w:name w:val="heading 1"/>
    <w:next w:val="Normal"/>
    <w:link w:val="1"/>
    <w:autoRedefine/>
    <w:qFormat/>
    <w:pPr>
      <w:keepNext/>
      <w:spacing w:line="600" w:lineRule="exact"/>
      <w:outlineLvl w:val="0"/>
    </w:pPr>
    <w:rPr>
      <w:rFonts w:eastAsia="黑体" w:asciiTheme="majorHAnsi" w:hAnsiTheme="majorHAnsi" w:cstheme="majorBidi"/>
      <w:kern w:val="2"/>
      <w:sz w:val="30"/>
      <w:szCs w:val="36"/>
      <w:lang w:val="en-US" w:eastAsia="ja-JP" w:bidi="ar-SA"/>
    </w:rPr>
  </w:style>
  <w:style w:type="paragraph" w:styleId="Heading2">
    <w:name w:val="heading 2"/>
    <w:basedOn w:val="Normal"/>
    <w:next w:val="Normal"/>
    <w:link w:val="2"/>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10"/>
    <w:uiPriority w:val="99"/>
    <w:qFormat/>
    <w:pPr>
      <w:jc w:val="left"/>
    </w:pPr>
    <w:rPr>
      <w:lang w:val="zh-CN"/>
    </w:rPr>
  </w:style>
  <w:style w:type="paragraph" w:styleId="TOC3">
    <w:name w:val="toc 3"/>
    <w:basedOn w:val="Normal"/>
    <w:next w:val="Normal"/>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59" w:lineRule="auto"/>
      <w:jc w:val="left"/>
    </w:pPr>
    <w:rPr>
      <w:rFonts w:asciiTheme="minorHAnsi" w:eastAsiaTheme="minorEastAsia" w:hAnsiTheme="minorHAnsi"/>
      <w:kern w:val="0"/>
      <w:sz w:val="22"/>
      <w:szCs w:val="22"/>
    </w:rPr>
  </w:style>
  <w:style w:type="paragraph" w:styleId="TOC2">
    <w:name w:val="toc 2"/>
    <w:basedOn w:val="Normal"/>
    <w:next w:val="Normal"/>
    <w:autoRedefine/>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uiPriority w:val="99"/>
    <w:qFormat/>
    <w:rPr>
      <w:sz w:val="21"/>
      <w:szCs w:val="21"/>
    </w:rPr>
  </w:style>
  <w:style w:type="character" w:customStyle="1" w:styleId="1">
    <w:name w:val="标题 1 字符"/>
    <w:basedOn w:val="DefaultParagraphFont"/>
    <w:link w:val="Heading1"/>
    <w:autoRedefine/>
    <w:qFormat/>
    <w:rPr>
      <w:rFonts w:eastAsia="黑体" w:asciiTheme="majorHAnsi" w:hAnsiTheme="majorHAnsi" w:cstheme="majorBidi"/>
      <w:kern w:val="2"/>
      <w:sz w:val="30"/>
      <w:szCs w:val="36"/>
      <w:lang w:eastAsia="ja-JP"/>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文字 字符"/>
    <w:basedOn w:val="DefaultParagraphFont"/>
    <w:autoRedefine/>
    <w:uiPriority w:val="99"/>
    <w:semiHidden/>
    <w:qFormat/>
    <w:rPr>
      <w:rFonts w:ascii="Calibri" w:eastAsia="宋体" w:hAnsi="Calibri" w:cs="Times New Roman"/>
      <w:szCs w:val="24"/>
    </w:rPr>
  </w:style>
  <w:style w:type="character" w:customStyle="1" w:styleId="10">
    <w:name w:val="批注文字 字符1"/>
    <w:link w:val="CommentText"/>
    <w:autoRedefine/>
    <w:uiPriority w:val="99"/>
    <w:qFormat/>
    <w:rPr>
      <w:rFonts w:ascii="Calibri" w:eastAsia="宋体" w:hAnsi="Calibri" w:cs="Times New Roman"/>
      <w:szCs w:val="24"/>
      <w:lang w:val="zh-CN" w:eastAsia="zh-CN"/>
    </w:rPr>
  </w:style>
  <w:style w:type="paragraph" w:customStyle="1" w:styleId="TOC10">
    <w:name w:val="TOC 标题1"/>
    <w:basedOn w:val="Heading1"/>
    <w:next w:val="Normal"/>
    <w:uiPriority w:val="39"/>
    <w:unhideWhenUsed/>
    <w:qFormat/>
    <w:pPr>
      <w:spacing w:before="240" w:line="259" w:lineRule="auto"/>
      <w:outlineLvl w:val="9"/>
    </w:pPr>
    <w:rPr>
      <w:rFonts w:eastAsiaTheme="majorEastAsia"/>
      <w:color w:val="2F5597" w:themeColor="accent1" w:themeShade="BF"/>
      <w:sz w:val="32"/>
      <w:szCs w:val="32"/>
      <w:lang w:eastAsia="zh-CN"/>
    </w:rPr>
  </w:style>
  <w:style w:type="character" w:customStyle="1" w:styleId="2">
    <w:name w:val="标题 2 字符"/>
    <w:basedOn w:val="DefaultParagraphFont"/>
    <w:link w:val="Heading2"/>
    <w:uiPriority w:val="9"/>
    <w:semiHidden/>
    <w:qFormat/>
    <w:rPr>
      <w:rFonts w:asciiTheme="majorHAnsi" w:eastAsiaTheme="majorEastAsia" w:hAnsiTheme="majorHAnsi" w:cstheme="majorBidi"/>
      <w:b/>
      <w:bCs/>
      <w:kern w:val="2"/>
      <w:sz w:val="32"/>
      <w:szCs w:val="32"/>
    </w:rPr>
  </w:style>
  <w:style w:type="character" w:customStyle="1" w:styleId="3">
    <w:name w:val="标题 3 字符"/>
    <w:basedOn w:val="DefaultParagraphFont"/>
    <w:link w:val="Heading3"/>
    <w:autoRedefine/>
    <w:uiPriority w:val="9"/>
    <w:semiHidden/>
    <w:qFormat/>
    <w:rPr>
      <w:rFonts w:ascii="Calibri" w:hAnsi="Calibri"/>
      <w:b/>
      <w:bCs/>
      <w:kern w:val="2"/>
      <w:sz w:val="32"/>
      <w:szCs w:val="32"/>
    </w:rPr>
  </w:style>
  <w:style w:type="paragraph" w:customStyle="1" w:styleId="TOCHeading">
    <w:name w:val="TOC Heading"/>
    <w:basedOn w:val="Heading1"/>
    <w:next w:val="Normal"/>
    <w:uiPriority w:val="39"/>
    <w:unhideWhenUsed/>
    <w:qFormat/>
    <w:pPr>
      <w:keepLines/>
      <w:spacing w:before="240" w:line="259" w:lineRule="auto"/>
      <w:outlineLvl w:val="9"/>
    </w:pPr>
    <w:rPr>
      <w:rFonts w:eastAsiaTheme="majorEastAsia"/>
      <w:color w:val="2F5597" w:themeColor="accent1" w:themeShade="BF"/>
      <w:kern w:val="0"/>
      <w:sz w:val="32"/>
      <w:szCs w:val="32"/>
      <w:lang w:eastAsia="zh-CN"/>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17151113111006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C827D0-FA4C-4593-8CEB-3EF56363A44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7258</Words>
  <Characters>8276</Characters>
  <Application>Microsoft Office Word</Application>
  <DocSecurity>0</DocSecurity>
  <Lines>591</Lines>
  <Paragraphs>647</Paragraphs>
  <ScaleCrop>false</ScaleCrop>
  <Company/>
  <LinksUpToDate>false</LinksUpToDate>
  <CharactersWithSpaces>14887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 兰馨</dc:creator>
  <cp:lastModifiedBy>ABEEL</cp:lastModifiedBy>
  <cp:revision>13</cp:revision>
  <dcterms:created xsi:type="dcterms:W3CDTF">2021-05-06T04:05:00Z</dcterms:created>
  <dcterms:modified xsi:type="dcterms:W3CDTF">2024-02-18T07:54:17Z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AC7864073E39465B846AFD26E4C82E34_13</vt:lpwstr>
  </property>
  <property fmtid="{D5CDD505-2E9C-101B-9397-08002B2CF9AE}" pid="3" name="KSOProductBuildVer">
    <vt:lpwstr>2052-12.1.0.16388</vt:lpwstr>
  </property>
</Properties>
</file>