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肺鳞癌个体化治疗进展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8954213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肺鳞癌概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个体化治疗概</w:t>
            </w:r>
            <w:r>
              <w:rPr>
                <w:spacing w:val="-10"/>
              </w:rPr>
              <w:t>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肺鳞癌病理特</w:t>
            </w:r>
            <w:r>
              <w:rPr>
                <w:spacing w:val="-10"/>
              </w:rPr>
              <w:t>征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靶向治疗进</w:t>
            </w:r>
            <w:r>
              <w:rPr>
                <w:spacing w:val="-10"/>
              </w:rPr>
              <w:t>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免疫治疗现</w:t>
            </w:r>
            <w:r>
              <w:rPr>
                <w:spacing w:val="-10"/>
              </w:rPr>
              <w:t>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治疗策略优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伴随诊断应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展望与挑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肺</w:t>
      </w:r>
      <w:r>
        <w:t>鳞</w:t>
      </w:r>
      <w:r>
        <w:t>癌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6"/>
        <w:gridCol w:w="5530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0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肺鳞癌的定义和流行病学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肺鳞癌是一种最常见的肺癌类型，占所有肺癌病例的大</w:t>
            </w:r>
            <w:r>
              <w:rPr>
                <w:spacing w:val="-21"/>
                <w:sz w:val="21"/>
              </w:rPr>
              <w:t xml:space="preserve">约 </w:t>
            </w:r>
            <w:r>
              <w:rPr>
                <w:rFonts w:ascii="Times New Roman" w:eastAsia="Times New Roman"/>
                <w:sz w:val="21"/>
              </w:rPr>
              <w:t>30%</w:t>
            </w:r>
            <w:r>
              <w:rPr>
                <w:sz w:val="21"/>
              </w:rPr>
              <w:t>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它起源于支气管上皮细胞，并具有鳞状细胞的特点。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男性吸烟者是肺鳞癌的主要风险群体，尤其是在亚洲国</w:t>
            </w:r>
            <w:r>
              <w:rPr>
                <w:spacing w:val="-6"/>
                <w:sz w:val="21"/>
              </w:rPr>
              <w:t>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肺鳞癌的症状和诊断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肺鳞癌早期通常无症状，晚期可出现咳嗽、咳痰、血丝</w:t>
            </w:r>
            <w:r>
              <w:rPr>
                <w:spacing w:val="-2"/>
                <w:sz w:val="21"/>
              </w:rPr>
              <w:t>痰、胸痛等症状。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69" w:lineRule="exact"/>
              <w:ind w:left="370" w:right="-15" w:hanging="263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确诊肺鳞癌需要进行影像学检查（</w:t>
            </w:r>
            <w:r>
              <w:rPr>
                <w:spacing w:val="-9"/>
                <w:sz w:val="21"/>
              </w:rPr>
              <w:t xml:space="preserve">如 </w:t>
            </w:r>
            <w:r>
              <w:rPr>
                <w:rFonts w:ascii="Times New Roman" w:eastAsia="Times New Roman"/>
                <w:spacing w:val="25"/>
                <w:sz w:val="21"/>
              </w:rPr>
              <w:t>C</w:t>
            </w:r>
            <w:r>
              <w:rPr>
                <w:rFonts w:ascii="Times New Roman" w:eastAsia="Times New Roman"/>
                <w:spacing w:val="24"/>
                <w:sz w:val="21"/>
              </w:rPr>
              <w:t>T</w:t>
            </w:r>
            <w:r>
              <w:rPr>
                <w:spacing w:val="-80"/>
                <w:sz w:val="21"/>
              </w:rPr>
              <w:t>）</w:t>
            </w:r>
            <w:r>
              <w:rPr>
                <w:spacing w:val="-11"/>
                <w:sz w:val="21"/>
              </w:rPr>
              <w:t>、组织活检等。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18"/>
              </w:tabs>
              <w:spacing w:before="43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TNM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分期系统用于评估肺鳞癌的临床阶段，对治疗决策</w:t>
            </w:r>
            <w:r>
              <w:rPr>
                <w:spacing w:val="-2"/>
                <w:sz w:val="21"/>
              </w:rPr>
              <w:t>至关重要。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肺鳞癌的治疗方法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手术、放疗、化疗是肺鳞癌的主要治疗方法。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43" w:after="0" w:line="240" w:lineRule="auto"/>
              <w:ind w:left="370" w:right="-101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免疫疗法和靶向疗法在部分患者中也显示出较好的疗效。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治疗选择取决于患者的病情、身体状况以及肿瘤的病理</w:t>
            </w:r>
            <w:r>
              <w:rPr>
                <w:spacing w:val="-4"/>
                <w:sz w:val="21"/>
              </w:rPr>
              <w:t>特征。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肺鳞癌的预后因素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分期、肿瘤大小、淋巴结转移、病理类型等因素影响肺</w:t>
            </w:r>
            <w:r>
              <w:rPr>
                <w:spacing w:val="-2"/>
                <w:sz w:val="21"/>
              </w:rPr>
              <w:t>鳞癌的预后。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患者的年龄、健康状况、基因突变状态也可能影响生存</w:t>
            </w:r>
            <w:r>
              <w:rPr>
                <w:spacing w:val="-6"/>
                <w:sz w:val="21"/>
              </w:rPr>
              <w:t>率。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提前发现和积极治疗有助于改善患者的预后。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肺鳞癌的个体化治疗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根据每个患者的具体情况制定个性化的治疗方案。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利用分子标志物指导靶向治疗和免疫治疗的选择。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z w:val="21"/>
              </w:rPr>
              <w:t>基于精准医疗的理念，实施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一人一策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pacing w:val="-2"/>
                <w:sz w:val="21"/>
              </w:rPr>
              <w:t>的治疗策略。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6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肺鳞癌的研究进展</w:t>
            </w:r>
          </w:p>
        </w:tc>
        <w:tc>
          <w:tcPr>
            <w:tcW w:w="5530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新型药物和治疗技术不断涌现，为肺鳞癌提供了更多的</w:t>
            </w:r>
            <w:r>
              <w:rPr>
                <w:spacing w:val="-2"/>
                <w:sz w:val="21"/>
              </w:rPr>
              <w:t>治疗选择。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靶向药物和免疫疗法的研究正逐渐揭示其作用机制和潜</w:t>
            </w:r>
            <w:r>
              <w:rPr>
                <w:spacing w:val="-4"/>
                <w:sz w:val="21"/>
              </w:rPr>
              <w:t>在优势。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多学科综合治疗模式的探索有望进一步提高肺鳞癌的治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愈率和生存质量。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98" w:firstLine="560"/>
      </w:pPr>
      <w:r>
        <w:rPr>
          <w:spacing w:val="-11"/>
        </w:rPr>
        <w:t>肺癌是全球最常见的恶性肿瘤之一，其发病率和死亡率均居首位。</w:t>
      </w:r>
      <w:r>
        <w:rPr>
          <w:spacing w:val="28"/>
        </w:rPr>
        <w:t>根据组织学类型， 肺癌主要分为鳞状细胞癌</w:t>
      </w:r>
      <w:r>
        <w:t>（</w:t>
      </w:r>
      <w:r>
        <w:rPr>
          <w:spacing w:val="-73"/>
        </w:rPr>
        <w:t xml:space="preserve"> </w:t>
      </w:r>
      <w:r>
        <w:t>squamous cell carcinoma,</w:t>
      </w:r>
      <w:r>
        <w:rPr>
          <w:spacing w:val="-35"/>
        </w:rPr>
        <w:t xml:space="preserve"> </w:t>
      </w:r>
      <w:r>
        <w:rPr>
          <w:spacing w:val="35"/>
        </w:rPr>
        <w:t>SCC</w:t>
      </w:r>
      <w:r>
        <w:rPr>
          <w:spacing w:val="-105"/>
        </w:rPr>
        <w:t>）</w:t>
      </w:r>
      <w:r>
        <w:t>、腺癌（adenocarcinoma,</w:t>
      </w:r>
      <w:r>
        <w:rPr>
          <w:spacing w:val="-35"/>
        </w:rPr>
        <w:t xml:space="preserve"> </w:t>
      </w:r>
      <w:r>
        <w:t>AC）和大细胞癌（large cell carcinoma, LCC）等。其中，肺鳞癌在不同地区及种族中所占</w:t>
      </w:r>
    </w:p>
    <w:p>
      <w:pPr>
        <w:pStyle w:val="BodyText"/>
        <w:spacing w:line="417" w:lineRule="auto"/>
        <w:ind w:left="120" w:right="518"/>
      </w:pPr>
      <w:r>
        <w:rPr>
          <w:spacing w:val="-5"/>
        </w:rPr>
        <w:t xml:space="preserve">比例有所不同，在我国，肺鳞癌约占所有肺癌的 </w:t>
      </w:r>
      <w:r>
        <w:rPr>
          <w:spacing w:val="-2"/>
        </w:rPr>
        <w:t>40%~50%，是一种较</w:t>
      </w:r>
      <w:r>
        <w:rPr>
          <w:spacing w:val="-2"/>
        </w:rPr>
        <w:t>为常见的肺癌亚型。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肺鳞癌的发生与吸烟、空气污染、职业暴露等因素密切相关。研究发</w:t>
      </w:r>
      <w:r>
        <w:rPr>
          <w:spacing w:val="-4"/>
        </w:rPr>
        <w:t xml:space="preserve">现，吸烟者患肺鳞癌的风险比非吸烟者高 </w:t>
      </w:r>
      <w:r>
        <w:rPr>
          <w:spacing w:val="-2"/>
        </w:rPr>
        <w:t>2-10</w:t>
      </w:r>
      <w:r>
        <w:rPr>
          <w:spacing w:val="-8"/>
        </w:rPr>
        <w:t xml:space="preserve"> 倍。此外，遗传因素</w:t>
      </w:r>
      <w:r>
        <w:rPr>
          <w:spacing w:val="-4"/>
        </w:rPr>
        <w:t>也可能对肺鳞癌的发生起一定的作用。然而，尽管我们对肺鳞癌的危</w:t>
      </w:r>
      <w:r>
        <w:rPr>
          <w:spacing w:val="-2"/>
        </w:rPr>
        <w:t>险因素有所了解，但具体的发病机制尚未完全阐明。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在临床表现方面，肺鳞癌的早期症状通常不明显，往往在出现咳嗽、</w:t>
      </w:r>
      <w:r>
        <w:rPr>
          <w:spacing w:val="-2"/>
        </w:rPr>
        <w:t>咳痰、胸痛等症状时才被患者察觉，此时疾病已经进展至中晚期。因</w:t>
      </w:r>
      <w:r>
        <w:rPr>
          <w:spacing w:val="-2"/>
        </w:rPr>
        <w:t xml:space="preserve"> </w:t>
      </w:r>
      <w:r>
        <w:rPr>
          <w:spacing w:val="-2"/>
        </w:rPr>
        <w:t>此，对于高危人群进行定期体检以及早期筛查显得尤为重要。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在诊断上，肺鳞癌的金标准为病理组织学检查，主要包括经支气管镜</w:t>
      </w:r>
      <w:r>
        <w:rPr>
          <w:spacing w:val="-2"/>
        </w:rPr>
        <w:t xml:space="preserve"> </w:t>
      </w:r>
      <w:r>
        <w:rPr>
          <w:spacing w:val="-1"/>
        </w:rPr>
        <w:t xml:space="preserve">活检、经皮肺穿刺活检等方法。影像学检查如胸部 </w:t>
      </w:r>
      <w:r>
        <w:t>CT、PET/CT</w:t>
      </w:r>
      <w:r>
        <w:rPr>
          <w:spacing w:val="-7"/>
        </w:rPr>
        <w:t xml:space="preserve"> 等也</w:t>
      </w:r>
      <w:r>
        <w:t xml:space="preserve"> </w:t>
      </w:r>
      <w:r>
        <w:rPr>
          <w:spacing w:val="-2"/>
        </w:rPr>
        <w:t>在肺鳞癌的诊断和分期中发挥重要作用。血液检测中的肿瘤标志物，</w:t>
      </w:r>
      <w:r>
        <w:rPr>
          <w:spacing w:val="-11"/>
        </w:rPr>
        <w:t xml:space="preserve">如 </w:t>
      </w:r>
      <w:r>
        <w:t>CEA、Cyfra21-1、SCC</w:t>
      </w:r>
      <w:r>
        <w:rPr>
          <w:spacing w:val="-5"/>
        </w:rPr>
        <w:t xml:space="preserve"> 抗原等，可以作为辅助诊断指标。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治疗方面，肺鳞癌的治疗方法包括手术、放疗、化疗、靶向治疗和免</w:t>
      </w:r>
    </w:p>
    <w:p>
      <w:pPr>
        <w:spacing w:after="0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242"/>
      </w:pPr>
      <w:r>
        <w:rPr>
          <w:spacing w:val="-2"/>
        </w:rPr>
        <w:t>疫治疗等多种方式。手术切除是治疗局限性肺鳞癌的主要手段，但因</w:t>
      </w:r>
      <w:r>
        <w:rPr>
          <w:spacing w:val="-2"/>
        </w:rPr>
        <w:t xml:space="preserve"> </w:t>
      </w:r>
      <w:r>
        <w:rPr>
          <w:spacing w:val="-2"/>
        </w:rPr>
        <w:t>多数患者就诊时已处于中晚期，手术机会较少。放射治疗和化学治疗</w:t>
      </w:r>
      <w:r>
        <w:rPr>
          <w:spacing w:val="-2"/>
        </w:rPr>
        <w:t xml:space="preserve"> </w:t>
      </w:r>
      <w:r>
        <w:rPr>
          <w:spacing w:val="-2"/>
        </w:rPr>
        <w:t>是治疗不可切除或转移性肺鳞癌的重要选择。近年来，随着基因组测</w:t>
      </w:r>
      <w:r>
        <w:rPr>
          <w:spacing w:val="-2"/>
        </w:rPr>
        <w:t xml:space="preserve"> </w:t>
      </w:r>
      <w:r>
        <w:rPr>
          <w:spacing w:val="-12"/>
        </w:rPr>
        <w:t>序技术的发展，针对驱动基因突变的靶向药物逐渐应用于肺鳞癌的治</w:t>
      </w:r>
      <w:r>
        <w:rPr>
          <w:spacing w:val="-2"/>
        </w:rPr>
        <w:t xml:space="preserve"> </w:t>
      </w:r>
      <w:r>
        <w:rPr>
          <w:spacing w:val="-5"/>
        </w:rPr>
        <w:t xml:space="preserve">疗中，如 </w:t>
      </w:r>
      <w:r>
        <w:t>EGFR-TKIs、ALK</w:t>
      </w:r>
      <w:r>
        <w:rPr>
          <w:spacing w:val="-5"/>
        </w:rPr>
        <w:t xml:space="preserve"> 抑制剂等。此外，免疫检查点抑制剂</w:t>
      </w:r>
      <w:r>
        <w:t>（如 PD-1/PD-L1</w:t>
      </w:r>
      <w:r>
        <w:rPr>
          <w:spacing w:val="-11"/>
        </w:rPr>
        <w:t xml:space="preserve"> 抑制剂</w:t>
      </w:r>
      <w:r>
        <w:t>）的出现为肺鳞癌的个体化治疗带来了新的希望。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预后方面，肺鳞癌的总体生存期相对较短，5</w:t>
      </w:r>
      <w:r>
        <w:rPr>
          <w:spacing w:val="-11"/>
        </w:rPr>
        <w:t xml:space="preserve"> 年生存率仅为 </w:t>
      </w:r>
      <w:r>
        <w:rPr>
          <w:spacing w:val="-2"/>
        </w:rPr>
        <w:t>10%-15%</w:t>
      </w:r>
      <w:r>
        <w:rPr>
          <w:spacing w:val="-13"/>
        </w:rPr>
        <w:t>左右。这主要是因为肺鳞癌易发生远处转移且对传统化疗的敏感度较</w:t>
      </w:r>
      <w:r>
        <w:rPr>
          <w:spacing w:val="-4"/>
        </w:rPr>
        <w:t>低。然而，随着医学技术的进步，特别是个体化治疗的发展，患者的</w:t>
      </w:r>
      <w:r>
        <w:rPr>
          <w:spacing w:val="-2"/>
        </w:rPr>
        <w:t>生存期和生活质量都有了显著提高。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综上所述，肺鳞癌是一种常见的恶性肿瘤，其病因复杂，临床表现多</w:t>
      </w:r>
      <w:r>
        <w:rPr>
          <w:spacing w:val="-4"/>
        </w:rPr>
        <w:t>样化，诊断需综合运用多种手段，治疗策略也应根据患者的具体情况</w:t>
      </w:r>
      <w:r>
        <w:rPr>
          <w:spacing w:val="-4"/>
        </w:rPr>
        <w:t>制定。未来，随着更多新疗法的涌现，我们有望为肺鳞癌患者提供更</w:t>
      </w:r>
      <w:r>
        <w:rPr>
          <w:spacing w:val="-2"/>
        </w:rPr>
        <w:t>加有效、个性化的治疗方案。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1" w:name="_TOC_250006"/>
      <w:r>
        <w:t>第二部分</w:t>
      </w:r>
      <w:r>
        <w:rPr>
          <w:spacing w:val="210"/>
          <w:w w:val="150"/>
        </w:rPr>
        <w:t xml:space="preserve"> </w:t>
      </w:r>
      <w:bookmarkEnd w:id="1"/>
      <w:r>
        <w:rPr>
          <w:spacing w:val="-2"/>
        </w:rPr>
        <w:t>个体化治疗概念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【个体化治疗概念】：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13"/>
                <w:sz w:val="21"/>
              </w:rPr>
              <w:t>定义：个体化治疗是指根据患者的遗传特征、病理类型、</w:t>
            </w:r>
            <w:r>
              <w:rPr>
                <w:spacing w:val="-2"/>
                <w:sz w:val="21"/>
              </w:rPr>
              <w:t>病情进展等因素，为患者制定个性化、精准的治疗方案。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目标：提高疗效、减少副作用、优化治疗效果和改善生</w:t>
            </w:r>
            <w:r>
              <w:rPr>
                <w:spacing w:val="-4"/>
                <w:sz w:val="21"/>
              </w:rPr>
              <w:t>活质量。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方法：包括基因检测、生物标记物筛选、药物敏感性测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试等。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【肺鳞癌的个体化治疗】：</w:t>
            </w: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  <w:jc w:val="both"/>
      </w:pPr>
      <w:r>
        <w:rPr>
          <w:spacing w:val="-2"/>
        </w:rPr>
        <w:t>个体化治疗是一种针对每个患者的具体情况进行定制化的治疗</w:t>
      </w:r>
      <w:r>
        <w:rPr>
          <w:spacing w:val="-4"/>
        </w:rPr>
        <w:t>方法。它基于一个基本的理念：不同的患者对同一种疾病会有不同的</w:t>
      </w:r>
      <w:r>
        <w:rPr>
          <w:spacing w:val="-4"/>
        </w:rPr>
        <w:t>反应，因此需要个性化的治疗方案来实现最佳的治疗效果。对于肺鳞</w:t>
      </w:r>
      <w:r>
        <w:rPr>
          <w:spacing w:val="-4"/>
        </w:rPr>
        <w:t>癌这一类型的肺癌来说，个体化治疗尤为重要，因为肺鳞癌患者的病</w:t>
      </w:r>
      <w:r>
        <w:rPr>
          <w:spacing w:val="-4"/>
        </w:rPr>
        <w:t>理类型、基因突变状况、临床分期以及患者的身体状况等因素都可能</w:t>
      </w:r>
      <w:r>
        <w:rPr>
          <w:spacing w:val="-2"/>
        </w:rPr>
        <w:t>影响到治疗的效果和预后。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在肺鳞癌的个体化治疗中，首先需要对患者的病情进行全面评估，包</w:t>
      </w:r>
      <w:r>
        <w:rPr>
          <w:spacing w:val="-4"/>
        </w:rPr>
        <w:t>括病理检查、影像学检查以及基因检测等。这些检查结果将为医生制</w:t>
      </w:r>
      <w:r>
        <w:rPr>
          <w:spacing w:val="-4"/>
        </w:rPr>
        <w:t>定个性化的治疗方案提供重要的依据。例如，如果通过基因检测发现</w:t>
      </w:r>
      <w:r>
        <w:rPr>
          <w:spacing w:val="-9"/>
        </w:rPr>
        <w:t>患者存在某种特定的基因突变，那么医生可能会选择针对性的靶向药</w:t>
      </w:r>
      <w:r>
        <w:rPr>
          <w:spacing w:val="-4"/>
        </w:rPr>
        <w:t>物进行治疗。此外，患者的年龄、性别、体重、吸烟史等基本信息也</w:t>
      </w:r>
      <w:r>
        <w:rPr>
          <w:spacing w:val="-2"/>
        </w:rPr>
        <w:t>是制定治疗方案的重要参考因素。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其次，在制定个体化治疗方案时，还需要考虑到治疗的风险和收益。</w:t>
      </w:r>
      <w:r>
        <w:rPr>
          <w:spacing w:val="-7"/>
        </w:rPr>
        <w:t>不同的治疗方法可能会带来不同的副作用和并发症，而患者的身体状</w:t>
      </w:r>
      <w:r>
        <w:rPr>
          <w:spacing w:val="-2"/>
        </w:rPr>
        <w:t xml:space="preserve"> </w:t>
      </w:r>
      <w:r>
        <w:rPr>
          <w:spacing w:val="-2"/>
        </w:rPr>
        <w:t>况和耐受性则会影响到他们对治疗的反应。因此，医生需要根据患者</w:t>
      </w:r>
      <w:r>
        <w:rPr>
          <w:spacing w:val="-2"/>
        </w:rPr>
        <w:t xml:space="preserve"> </w:t>
      </w:r>
      <w:r>
        <w:rPr>
          <w:spacing w:val="-2"/>
        </w:rPr>
        <w:t>的具体情况，权衡各种治疗方法的优点和缺点，制定出最合适的治疗</w:t>
      </w:r>
      <w:r>
        <w:rPr>
          <w:spacing w:val="-2"/>
        </w:rPr>
        <w:t xml:space="preserve"> </w:t>
      </w:r>
      <w:r>
        <w:rPr>
          <w:spacing w:val="-4"/>
        </w:rPr>
        <w:t>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ind w:left="120"/>
      </w:pPr>
      <w:r>
        <w:rPr>
          <w:spacing w:val="-5"/>
        </w:rPr>
        <w:t>最后，个体化治疗不仅仅是针对初次诊断的肺鳞癌患者，也适用于那</w:t>
      </w:r>
    </w:p>
    <w:p>
      <w:pPr>
        <w:spacing w:after="0"/>
        <w:sectPr>
          <w:footerReference w:type="default" r:id="rId10"/>
          <w:type w:val="nextPage"/>
          <w:pgSz w:w="11910" w:h="16840"/>
          <w:pgMar w:top="1400" w:right="1280" w:bottom="1380" w:left="1680" w:header="0" w:footer="1198"/>
          <w:pgNumType w:start="6"/>
          <w:cols w:space="708"/>
          <w:titlePg w:val="0"/>
        </w:sectPr>
      </w:pPr>
    </w:p>
    <w:p>
      <w:pPr>
        <w:pStyle w:val="BodyText"/>
        <w:spacing w:before="37" w:line="417" w:lineRule="auto"/>
        <w:ind w:left="120" w:right="518"/>
        <w:jc w:val="both"/>
      </w:pPr>
      <w:r>
        <w:rPr>
          <w:spacing w:val="-4"/>
        </w:rPr>
        <w:t>些已经接受过治疗但病情复发或进展的患者。在这种情况下，医生需</w:t>
      </w:r>
      <w:r>
        <w:rPr>
          <w:spacing w:val="-4"/>
        </w:rPr>
        <w:t>要重新评估患者的情况，并调整原有的治疗方案，以期达到更好的治</w:t>
      </w:r>
      <w:r>
        <w:rPr>
          <w:spacing w:val="-4"/>
        </w:rPr>
        <w:t>疗效果。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总的来说，肺鳞癌的个体化治疗是一个复杂的过程，涉及到多种因素</w:t>
      </w:r>
      <w:r>
        <w:rPr>
          <w:spacing w:val="-4"/>
        </w:rPr>
        <w:t>的综合考虑。它需要医生具备深厚的医学知识、丰富的临床经验和良</w:t>
      </w:r>
      <w:r>
        <w:rPr>
          <w:spacing w:val="-4"/>
        </w:rPr>
        <w:t>好的沟通能力。随着科学技术的进步，我们相信未来个体化治疗将会</w:t>
      </w:r>
      <w:r>
        <w:rPr>
          <w:spacing w:val="-2"/>
        </w:rPr>
        <w:t>更加普及和成熟，为更多的肺鳞癌患者带来福音。</w:t>
      </w:r>
    </w:p>
    <w:p>
      <w:pPr>
        <w:pStyle w:val="BodyText"/>
      </w:pPr>
    </w:p>
    <w:p>
      <w:pPr>
        <w:pStyle w:val="Heading1"/>
        <w:jc w:val="both"/>
      </w:pPr>
      <w:bookmarkStart w:id="2" w:name="_TOC_250005"/>
      <w:r>
        <w:t>第三部分</w:t>
      </w:r>
      <w:r>
        <w:rPr>
          <w:spacing w:val="210"/>
          <w:w w:val="150"/>
        </w:rPr>
        <w:t xml:space="preserve"> </w:t>
      </w:r>
      <w:bookmarkEnd w:id="2"/>
      <w:r>
        <w:rPr>
          <w:spacing w:val="-2"/>
        </w:rPr>
        <w:t>肺鳞癌病理特征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3" w:type="dxa"/>
          </w:tcPr>
          <w:p>
            <w:pPr>
              <w:pStyle w:val="TableParagraph"/>
              <w:spacing w:before="23"/>
              <w:ind w:left="107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肺鳞癌的病理分类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肺鳞癌是最常见的肺癌类型之一，根据组织学特点可分</w:t>
            </w:r>
            <w:r>
              <w:rPr>
                <w:spacing w:val="-2"/>
                <w:sz w:val="21"/>
              </w:rPr>
              <w:t>为多种亚型，包括角化型、非角化型和混合型。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角化型肺鳞癌通常预后较好，而非角化型和混合型肺鳞</w:t>
            </w:r>
            <w:r>
              <w:rPr>
                <w:spacing w:val="-2"/>
                <w:sz w:val="21"/>
              </w:rPr>
              <w:t>癌的恶性程度较高，更容易出现淋巴结转移和远处转移。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除了组织学分型外，还应考虑其他病理因素，如肿瘤大</w:t>
            </w:r>
            <w:r>
              <w:rPr>
                <w:spacing w:val="-2"/>
                <w:sz w:val="21"/>
              </w:rPr>
              <w:t>小、侵犯深度、脉管侵犯和神经侵犯等，这些因素对患者</w:t>
            </w:r>
            <w:r>
              <w:rPr>
                <w:spacing w:val="-2"/>
                <w:sz w:val="21"/>
              </w:rPr>
              <w:t>的治疗选择和预后评估具有重要意义。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肺鳞癌的发生机制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7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肺鳞癌的发生与基因突变密切相关，其中包括 </w:t>
            </w:r>
            <w:r>
              <w:rPr>
                <w:rFonts w:ascii="Times New Roman" w:eastAsia="Times New Roman"/>
                <w:sz w:val="21"/>
              </w:rPr>
              <w:t>TP53</w:t>
            </w:r>
            <w:r>
              <w:rPr>
                <w:sz w:val="21"/>
              </w:rPr>
              <w:t xml:space="preserve">、 </w:t>
            </w:r>
            <w:r>
              <w:rPr>
                <w:rFonts w:ascii="Times New Roman" w:eastAsia="Times New Roman"/>
                <w:sz w:val="21"/>
              </w:rPr>
              <w:t>EGFR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KRAS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 xml:space="preserve">PIK3CA </w:t>
            </w:r>
            <w:r>
              <w:rPr>
                <w:sz w:val="21"/>
              </w:rPr>
              <w:t>等基因的突变或扩增。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吸烟是导致肺鳞癌的主要危险因素，烟草中的致癌物质</w:t>
            </w:r>
            <w:r>
              <w:rPr>
                <w:spacing w:val="-6"/>
                <w:sz w:val="21"/>
              </w:rPr>
              <w:t xml:space="preserve">可诱导 </w:t>
            </w:r>
            <w:r>
              <w:rPr>
                <w:rFonts w:ascii="Times New Roman" w:eastAsia="Times New Roman"/>
                <w:sz w:val="21"/>
              </w:rPr>
              <w:t xml:space="preserve">DNA </w:t>
            </w:r>
            <w:r>
              <w:rPr>
                <w:sz w:val="21"/>
              </w:rPr>
              <w:t>损伤并引发基因突变。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此外，环境因素、遗传易感性和免疫功能异常等也可能</w:t>
            </w:r>
            <w:r>
              <w:rPr>
                <w:spacing w:val="-2"/>
                <w:sz w:val="21"/>
              </w:rPr>
              <w:t>参与肺鳞癌的发生和发展。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肺鳞癌的分子标记物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2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PD-L1 </w:t>
            </w:r>
            <w:r>
              <w:rPr>
                <w:sz w:val="21"/>
              </w:rPr>
              <w:t>表达检测是目前肺鳞癌免疫治疗的重要预测标志</w:t>
            </w:r>
            <w:r>
              <w:rPr>
                <w:spacing w:val="-2"/>
                <w:sz w:val="21"/>
              </w:rPr>
              <w:t>物，高表达的患者可能从免疫检查点抑制剂治疗中获益。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18"/>
              </w:tabs>
              <w:spacing w:before="0" w:after="0" w:line="269" w:lineRule="exact"/>
              <w:ind w:left="318" w:right="0" w:hanging="211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EGFR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27"/>
                <w:sz w:val="21"/>
              </w:rPr>
              <w:t xml:space="preserve">和 </w:t>
            </w:r>
            <w:r>
              <w:rPr>
                <w:rFonts w:ascii="Times New Roman" w:eastAsia="Times New Roman"/>
                <w:sz w:val="21"/>
              </w:rPr>
              <w:t>ALK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基因突变在肺鳞癌中的发生率相对较低，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但仍有部分患者可从中受益于靶向治疗。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3" w:type="dxa"/>
          </w:tcPr>
          <w:p>
            <w:pPr>
              <w:pStyle w:val="TableParagraph"/>
              <w:spacing w:before="23" w:line="278" w:lineRule="auto"/>
              <w:ind w:left="107"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其他分子标记物，如 </w:t>
            </w:r>
            <w:r>
              <w:rPr>
                <w:rFonts w:ascii="Times New Roman" w:eastAsia="Times New Roman"/>
                <w:sz w:val="21"/>
              </w:rPr>
              <w:t>ROS1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RET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MET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等，在肺鳞癌</w:t>
            </w:r>
            <w:r>
              <w:rPr>
                <w:spacing w:val="-2"/>
                <w:sz w:val="21"/>
              </w:rPr>
              <w:t>中的作用和临床价值尚需进一步研究。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肺鳞癌的病理分期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left="107" w:right="95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1.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2"/>
                <w:sz w:val="21"/>
              </w:rPr>
              <w:t>TNM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分期系统是目前最常用的肺鳞癌分期方法，它根据</w:t>
            </w:r>
            <w:r>
              <w:rPr>
                <w:spacing w:val="-2"/>
                <w:sz w:val="21"/>
              </w:rPr>
              <w:t>肿瘤的大小</w:t>
            </w:r>
            <w:r>
              <w:rPr>
                <w:spacing w:val="34"/>
                <w:sz w:val="21"/>
              </w:rPr>
              <w:t>（</w:t>
            </w:r>
            <w:r>
              <w:rPr>
                <w:rFonts w:ascii="Times New Roman" w:eastAsia="Times New Roman"/>
                <w:spacing w:val="30"/>
                <w:sz w:val="21"/>
              </w:rPr>
              <w:t>T</w:t>
            </w:r>
            <w:r>
              <w:rPr>
                <w:spacing w:val="-71"/>
                <w:sz w:val="21"/>
              </w:rPr>
              <w:t>）</w:t>
            </w:r>
            <w:r>
              <w:rPr>
                <w:spacing w:val="-2"/>
                <w:sz w:val="21"/>
              </w:rPr>
              <w:t>、淋巴结转移情况（</w:t>
            </w:r>
            <w:r>
              <w:rPr>
                <w:rFonts w:ascii="Times New Roman" w:eastAsia="Times New Roman"/>
                <w:spacing w:val="-2"/>
                <w:sz w:val="21"/>
              </w:rPr>
              <w:t>N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4"/>
                <w:sz w:val="21"/>
              </w:rPr>
              <w:t>和远处转移情况</w:t>
            </w:r>
          </w:p>
          <w:p>
            <w:pPr>
              <w:pStyle w:val="TableParagraph"/>
              <w:spacing w:line="269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M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3"/>
                <w:sz w:val="21"/>
              </w:rPr>
              <w:t>来确定患者的临床分期。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晚期肺鳞癌的治疗效果较差，因此早期发现和诊断对于</w:t>
            </w:r>
            <w:r>
              <w:rPr>
                <w:spacing w:val="-2"/>
                <w:sz w:val="21"/>
              </w:rPr>
              <w:t>改善患者的生存状况至关重要。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影像学检查和病理活检结果相结合可以更准确地进行分</w:t>
            </w:r>
            <w:r>
              <w:rPr>
                <w:spacing w:val="-2"/>
                <w:sz w:val="21"/>
              </w:rPr>
              <w:t>期，并为制定个性化治疗方案提供依据。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肺鳞癌的病理组织学评估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病理组织学评估是诊断肺鳞癌的关键步骤，通常需要通</w:t>
            </w:r>
            <w:r>
              <w:rPr>
                <w:spacing w:val="-2"/>
                <w:sz w:val="21"/>
              </w:rPr>
              <w:t>过支气管镜、胸腔镜或开胸手术取得病变组织样本进行病</w:t>
            </w:r>
            <w:r>
              <w:rPr>
                <w:spacing w:val="-4"/>
                <w:sz w:val="21"/>
              </w:rPr>
              <w:t>理检查。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组织切片染色和免疫组化检测有助于确定肺鳞癌的组织</w:t>
            </w:r>
            <w:r>
              <w:rPr>
                <w:spacing w:val="-2"/>
                <w:sz w:val="21"/>
              </w:rPr>
              <w:t>学类型和分化程度，以及有无特殊病理特征。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病理报告应详细描述肿瘤的形态、大小、位置、侵犯范</w:t>
            </w:r>
            <w:r>
              <w:rPr>
                <w:spacing w:val="-2"/>
                <w:sz w:val="21"/>
              </w:rPr>
              <w:t>围和其他相关病理信息，以便医生制定最佳治疗策略。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肺鳞癌的预后因素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肿瘤的分期、组织学类型和分化程度是影响肺鳞癌预后</w:t>
            </w:r>
            <w:r>
              <w:rPr>
                <w:spacing w:val="-2"/>
                <w:sz w:val="21"/>
              </w:rPr>
              <w:t>的关键因素。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淋巴结转移、远处转移和肿瘤大小也与患者的生存时间</w:t>
            </w:r>
            <w:r>
              <w:rPr>
                <w:spacing w:val="-2"/>
                <w:sz w:val="21"/>
              </w:rPr>
              <w:t>密切相关。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0" w:after="0" w:line="269" w:lineRule="exact"/>
              <w:ind w:left="371" w:right="0" w:hanging="265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此外，年龄、性别、吸烟史、身体状况和合并症等因素</w:t>
            </w:r>
          </w:p>
          <w:p>
            <w:pPr>
              <w:pStyle w:val="TableParagraph"/>
              <w:spacing w:before="43"/>
              <w:ind w:left="107"/>
              <w:rPr>
                <w:sz w:val="21"/>
              </w:rPr>
            </w:pPr>
            <w:r>
              <w:rPr>
                <w:spacing w:val="-1"/>
                <w:sz w:val="21"/>
              </w:rPr>
              <w:t>也可影响肺鳞癌的预后。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3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238" w:firstLine="560"/>
      </w:pPr>
      <w:r>
        <w:rPr>
          <w:spacing w:val="-2"/>
        </w:rPr>
        <w:t>肺鳞癌是肺癌中的一种主要病理类型，通常起源于气管、支气管</w:t>
      </w:r>
      <w:r>
        <w:rPr>
          <w:spacing w:val="-2"/>
        </w:rPr>
        <w:t xml:space="preserve"> </w:t>
      </w:r>
      <w:r>
        <w:t>和细支气管的上皮细胞。根据世界卫生组织（WHO）2015</w:t>
      </w:r>
      <w:r>
        <w:rPr>
          <w:spacing w:val="-8"/>
        </w:rPr>
        <w:t xml:space="preserve"> 年版的分类</w:t>
      </w:r>
      <w:r>
        <w:t xml:space="preserve"> </w:t>
      </w:r>
      <w:r>
        <w:rPr>
          <w:spacing w:val="-2"/>
        </w:rPr>
        <w:t xml:space="preserve">标准，肺鳞癌主要包括大细胞神经内分泌癌、高分化鳞状细胞癌、中 </w:t>
      </w:r>
      <w:r>
        <w:rPr>
          <w:spacing w:val="-2"/>
        </w:rPr>
        <w:t>分化鳞状细胞癌、低分化鳞状细胞癌和未分化鳞状细胞癌五种类型。</w:t>
      </w:r>
      <w:r>
        <w:rPr>
          <w:spacing w:val="-2"/>
        </w:rPr>
        <w:t>下面将详细介绍肺鳞癌的主要病理特征。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一、肿瘤大小和形态</w:t>
      </w:r>
    </w:p>
    <w:p>
      <w:pPr>
        <w:spacing w:after="0"/>
        <w:sectPr>
          <w:footerReference w:type="default" r:id="rId12"/>
          <w:type w:val="continuous"/>
          <w:pgSz w:w="11910" w:h="16840"/>
          <w:pgMar w:top="140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2"/>
        </w:rPr>
        <w:t>肺鳞癌肿瘤的大小和形态与其分级密切相关。一般来说，低级别鳞状</w:t>
      </w:r>
      <w:r>
        <w:rPr>
          <w:spacing w:val="-2"/>
        </w:rPr>
        <w:t>细胞癌（如高分化鳞状细胞癌）表现为实性或部分实性的肿块，边界</w:t>
      </w:r>
      <w:r>
        <w:rPr>
          <w:spacing w:val="-2"/>
        </w:rPr>
        <w:t>清晰，常有不同程度的钙化；而高级别鳞状细胞癌（如中、低分化鳞</w:t>
      </w:r>
      <w:r>
        <w:t>状细胞癌</w:t>
      </w:r>
      <w:r>
        <w:rPr>
          <w:spacing w:val="-79"/>
        </w:rPr>
        <w:t>）</w:t>
      </w:r>
      <w:r>
        <w:rPr>
          <w:spacing w:val="-11"/>
        </w:rPr>
        <w:t>则多呈不规则形或分叶状，边缘模糊不清，且易发生坏死。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二、肿瘤细胞学特征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44"/>
      </w:pPr>
      <w:r>
        <w:rPr>
          <w:spacing w:val="-6"/>
        </w:rPr>
        <w:t>肺鳞癌的主要细胞学特征为鳞状上皮细胞的异常增生和分化。根据分</w:t>
      </w:r>
      <w:r>
        <w:rPr>
          <w:spacing w:val="-2"/>
        </w:rPr>
        <w:t xml:space="preserve"> </w:t>
      </w:r>
      <w:r>
        <w:rPr>
          <w:spacing w:val="-2"/>
        </w:rPr>
        <w:t>化程度的不同，肺鳞癌可以分为高分化、中分化和低分化三种类型。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高分化鳞状细胞癌：其细胞核相对较小，形状规则，染色质分布</w:t>
      </w:r>
      <w:r>
        <w:rPr>
          <w:spacing w:val="-4"/>
          <w:sz w:val="28"/>
        </w:rPr>
        <w:t>均匀，可见明显的细胞间桥，并有多数角化珠形成，细胞浆丰富，有</w:t>
      </w:r>
      <w:r>
        <w:rPr>
          <w:spacing w:val="-2"/>
          <w:sz w:val="28"/>
        </w:rPr>
        <w:t>时可出现鳞状上皮细胞的“杯状”结构。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中分化鳞状细胞癌：其细胞核较高中分化鳞状细胞癌略大，形状</w:t>
      </w:r>
      <w:r>
        <w:rPr>
          <w:spacing w:val="-4"/>
          <w:sz w:val="28"/>
        </w:rPr>
        <w:t>稍不规则，染色质分布尚均匀，细胞间桥较少，角化珠也较少见，细</w:t>
      </w:r>
      <w:r>
        <w:rPr>
          <w:spacing w:val="-2"/>
          <w:sz w:val="28"/>
        </w:rPr>
        <w:t>胞浆量中等，可见一定程度的异型性。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低分化鳞状细胞癌：其细胞核较大，形状极不规则，染色质浓集，</w:t>
      </w:r>
      <w:r>
        <w:rPr>
          <w:spacing w:val="-2"/>
          <w:sz w:val="28"/>
        </w:rPr>
        <w:t>核仁明显，无细胞间桥，无角化珠，细胞浆少，异型性显著。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3"/>
          <w:pgSz w:w="11910" w:h="16840"/>
          <w:pgMar w:top="19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三、肿瘤浸润和转移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2"/>
        </w:rPr>
        <w:t>肺鳞癌的发展过程中，瘤细胞会逐渐侵袭周围正常组织并扩散到远处</w:t>
      </w:r>
      <w:r>
        <w:rPr>
          <w:spacing w:val="-4"/>
        </w:rPr>
        <w:t>器官。浸润方式主要有直接蔓延和淋巴道转移两种。直接蔓延是指瘤</w:t>
      </w:r>
      <w:r>
        <w:rPr>
          <w:spacing w:val="-9"/>
        </w:rPr>
        <w:t>细胞沿呼吸道壁向邻近组织侵犯，淋巴道转移则是通过淋巴管道将瘤</w:t>
      </w:r>
      <w:r>
        <w:rPr>
          <w:spacing w:val="-4"/>
        </w:rPr>
        <w:t>细胞转移到其他部位。此外，肺鳞癌还可能通过血行途径进行远隔脏</w:t>
      </w:r>
      <w:r>
        <w:rPr>
          <w:spacing w:val="-4"/>
        </w:rPr>
        <w:t>器转移。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四、分子生物学特点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12"/>
        </w:rPr>
        <w:t>近年来的研究发现，肺鳞癌的发生和发展与多种基因突变和表观遗传</w:t>
      </w:r>
      <w:r>
        <w:rPr>
          <w:spacing w:val="-2"/>
        </w:rPr>
        <w:t xml:space="preserve"> </w:t>
      </w:r>
      <w:r>
        <w:t>改变有关。例如，EGFR、KRAS、ALK、ROS1、HER2</w:t>
      </w:r>
      <w:r>
        <w:rPr>
          <w:spacing w:val="-7"/>
        </w:rPr>
        <w:t xml:space="preserve"> 等基因的突变和扩</w:t>
      </w:r>
      <w:r>
        <w:t xml:space="preserve"> </w:t>
      </w:r>
      <w:r>
        <w:rPr>
          <w:spacing w:val="-1"/>
        </w:rPr>
        <w:t xml:space="preserve">增在肺鳞癌中均有报道。同时，一些表观遗传改变，如 </w:t>
      </w:r>
      <w:r>
        <w:t>DNA</w:t>
      </w:r>
      <w:r>
        <w:rPr>
          <w:spacing w:val="-5"/>
        </w:rPr>
        <w:t xml:space="preserve"> 甲基化、</w:t>
      </w:r>
      <w:r>
        <w:rPr>
          <w:spacing w:val="-1"/>
        </w:rPr>
        <w:t xml:space="preserve">组蛋白修饰和非编码 </w:t>
      </w:r>
      <w:r>
        <w:t>RNA</w:t>
      </w:r>
      <w:r>
        <w:rPr>
          <w:spacing w:val="-5"/>
        </w:rPr>
        <w:t xml:space="preserve"> 的异常表达等也在肺鳞癌的发生发展中起</w:t>
      </w:r>
      <w:r>
        <w:t xml:space="preserve"> </w:t>
      </w:r>
      <w:r>
        <w:rPr>
          <w:spacing w:val="-2"/>
        </w:rPr>
        <w:t>到重要作用。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19"/>
        </w:rPr>
        <w:t>综上所述，肺鳞癌的病理特征主要包括肿瘤大小和形态、细胞学特征、</w:t>
      </w:r>
      <w:r>
        <w:rPr>
          <w:spacing w:val="-2"/>
        </w:rPr>
        <w:t>浸润和转移以及分子生物学特点等方面。这些特征对于诊断、预后评</w:t>
      </w:r>
      <w:r>
        <w:rPr>
          <w:spacing w:val="-2"/>
        </w:rPr>
        <w:t>估以及制定个体化治疗策略具有重要意义。</w:t>
      </w:r>
    </w:p>
    <w:p>
      <w:pPr>
        <w:pStyle w:val="BodyText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09"/>
          <w:w w:val="150"/>
        </w:rPr>
        <w:t xml:space="preserve"> </w:t>
      </w:r>
      <w:bookmarkEnd w:id="3"/>
      <w:r>
        <w:rPr>
          <w:spacing w:val="-2"/>
        </w:rPr>
        <w:t>靶向治疗进展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1"/>
        <w:gridCol w:w="550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0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1"/>
        <w:gridCol w:w="550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EGFR </w:t>
            </w:r>
            <w:r>
              <w:rPr>
                <w:spacing w:val="-2"/>
                <w:sz w:val="21"/>
              </w:rPr>
              <w:t>突变与靶向治疗</w:t>
            </w:r>
          </w:p>
        </w:tc>
        <w:tc>
          <w:tcPr>
            <w:tcW w:w="550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EGFR </w:t>
            </w:r>
            <w:r>
              <w:rPr>
                <w:sz w:val="21"/>
              </w:rPr>
              <w:t>突变在肺鳞癌中相对较少，但仍然是靶向治疗的</w:t>
            </w:r>
            <w:r>
              <w:rPr>
                <w:spacing w:val="-3"/>
                <w:sz w:val="21"/>
              </w:rPr>
              <w:t xml:space="preserve">重要方向。针对 </w:t>
            </w:r>
            <w:r>
              <w:rPr>
                <w:rFonts w:ascii="Times New Roman" w:eastAsia="Times New Roman"/>
                <w:sz w:val="21"/>
              </w:rPr>
              <w:t>EGFR</w:t>
            </w:r>
            <w:r>
              <w:rPr>
                <w:rFonts w:ascii="Times New Roman" w:eastAsia="Times New Roman"/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突变的酪氨酸激酶抑制剂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TKI</w:t>
            </w:r>
            <w:r>
              <w:rPr>
                <w:sz w:val="21"/>
              </w:rPr>
              <w:t>）</w:t>
            </w:r>
            <w:r>
              <w:rPr>
                <w:spacing w:val="-2"/>
                <w:sz w:val="21"/>
              </w:rPr>
              <w:t>如吉非替尼、厄洛替尼等已被广泛应用。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4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针对 </w:t>
            </w:r>
            <w:r>
              <w:rPr>
                <w:rFonts w:ascii="Times New Roman" w:eastAsia="Times New Roman"/>
                <w:spacing w:val="-2"/>
                <w:sz w:val="21"/>
              </w:rPr>
              <w:t>T790M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耐药突变的三代 </w:t>
            </w:r>
            <w:r>
              <w:rPr>
                <w:rFonts w:ascii="Times New Roman" w:eastAsia="Times New Roman"/>
                <w:spacing w:val="-2"/>
                <w:sz w:val="21"/>
              </w:rPr>
              <w:t>TKI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奥希替尼在 </w:t>
            </w:r>
            <w:r>
              <w:rPr>
                <w:rFonts w:ascii="Times New Roman" w:eastAsia="Times New Roman"/>
                <w:spacing w:val="-2"/>
                <w:sz w:val="21"/>
              </w:rPr>
              <w:t>EGFR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突</w:t>
            </w:r>
            <w:r>
              <w:rPr>
                <w:spacing w:val="-2"/>
                <w:sz w:val="21"/>
              </w:rPr>
              <w:t>变阳性肺鳞癌患者中有一定的疗效。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临床试验表明，</w:t>
            </w:r>
            <w:r>
              <w:rPr>
                <w:rFonts w:ascii="Times New Roman" w:eastAsia="Times New Roman"/>
                <w:spacing w:val="-2"/>
                <w:sz w:val="21"/>
              </w:rPr>
              <w:t>EGFR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2"/>
                <w:sz w:val="21"/>
              </w:rPr>
              <w:t>TKIs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联合化疗或免疫疗法可能改</w:t>
            </w:r>
            <w:r>
              <w:rPr>
                <w:spacing w:val="-11"/>
                <w:sz w:val="21"/>
              </w:rPr>
              <w:t xml:space="preserve">善 </w:t>
            </w:r>
            <w:r>
              <w:rPr>
                <w:rFonts w:ascii="Times New Roman" w:eastAsia="Times New Roman"/>
                <w:sz w:val="21"/>
              </w:rPr>
              <w:t xml:space="preserve">EGFR </w:t>
            </w:r>
            <w:r>
              <w:rPr>
                <w:sz w:val="21"/>
              </w:rPr>
              <w:t>突变阳性的肺鳞癌患者的预后。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ALK/ROS1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重排与靶向治疗</w:t>
            </w:r>
          </w:p>
        </w:tc>
        <w:tc>
          <w:tcPr>
            <w:tcW w:w="550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18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ALK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和 </w:t>
            </w:r>
            <w:r>
              <w:rPr>
                <w:rFonts w:ascii="Times New Roman" w:eastAsia="Times New Roman"/>
                <w:spacing w:val="-2"/>
                <w:sz w:val="21"/>
              </w:rPr>
              <w:t>ROS1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基因重排在肺鳞癌中的发生率较低，但在</w:t>
            </w:r>
            <w:r>
              <w:rPr>
                <w:sz w:val="21"/>
              </w:rPr>
              <w:t xml:space="preserve">这些患者中应用 </w:t>
            </w:r>
            <w:r>
              <w:rPr>
                <w:rFonts w:ascii="Times New Roman" w:eastAsia="Times New Roman"/>
                <w:sz w:val="21"/>
              </w:rPr>
              <w:t>ALK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抑制剂如克唑替尼和色瑞替尼可以</w:t>
            </w:r>
            <w:r>
              <w:rPr>
                <w:spacing w:val="-2"/>
                <w:sz w:val="21"/>
              </w:rPr>
              <w:t>获得显著的疗效。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对于进展后的患者，第二代和第三代 </w:t>
            </w:r>
            <w:r>
              <w:rPr>
                <w:rFonts w:ascii="Times New Roman" w:eastAsia="Times New Roman"/>
                <w:sz w:val="21"/>
              </w:rPr>
              <w:t>ALK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抑制剂如艾</w:t>
            </w:r>
            <w:r>
              <w:rPr>
                <w:spacing w:val="-2"/>
                <w:sz w:val="21"/>
              </w:rPr>
              <w:t>乐替尼和劳拉替尼可以作为后续治疗的选择。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进一步的研究正在探索联合使用 </w:t>
            </w:r>
            <w:r>
              <w:rPr>
                <w:rFonts w:ascii="Times New Roman" w:eastAsia="Times New Roman"/>
                <w:sz w:val="21"/>
              </w:rPr>
              <w:t>ALK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抑制剂和免疫检</w:t>
            </w:r>
            <w:r>
              <w:rPr>
                <w:spacing w:val="-2"/>
                <w:sz w:val="21"/>
              </w:rPr>
              <w:t>查点抑制剂的潜在协同效应。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MET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扩增与靶向治疗</w:t>
            </w:r>
          </w:p>
        </w:tc>
        <w:tc>
          <w:tcPr>
            <w:tcW w:w="550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18"/>
              </w:tabs>
              <w:spacing w:before="0" w:after="0" w:line="240" w:lineRule="auto"/>
              <w:ind w:left="318" w:right="0" w:hanging="21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MET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扩增在肺鳞癌中较为常见，并且与不良预后相关。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4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针对 </w:t>
            </w:r>
            <w:r>
              <w:rPr>
                <w:rFonts w:ascii="Times New Roman" w:eastAsia="Times New Roman"/>
                <w:sz w:val="21"/>
              </w:rPr>
              <w:t xml:space="preserve">MET </w:t>
            </w:r>
            <w:r>
              <w:rPr>
                <w:spacing w:val="-4"/>
                <w:sz w:val="21"/>
              </w:rPr>
              <w:t xml:space="preserve">扩增的药物如卡马替尼和 </w:t>
            </w:r>
            <w:r>
              <w:rPr>
                <w:rFonts w:ascii="Times New Roman" w:eastAsia="Times New Roman"/>
                <w:sz w:val="21"/>
              </w:rPr>
              <w:t xml:space="preserve">tepotinib </w:t>
            </w:r>
            <w:r>
              <w:rPr>
                <w:sz w:val="21"/>
              </w:rPr>
              <w:t>在早期研</w:t>
            </w:r>
            <w:r>
              <w:rPr>
                <w:spacing w:val="-2"/>
                <w:sz w:val="21"/>
              </w:rPr>
              <w:t>究中显示出良好的抗肿瘤活性。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4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需要更多的临床数据来确定 </w:t>
            </w:r>
            <w:r>
              <w:rPr>
                <w:rFonts w:ascii="Times New Roman" w:eastAsia="Times New Roman"/>
                <w:sz w:val="21"/>
              </w:rPr>
              <w:t xml:space="preserve">MET </w:t>
            </w:r>
            <w:r>
              <w:rPr>
                <w:sz w:val="21"/>
              </w:rPr>
              <w:t>抑制剂的最佳适应症</w:t>
            </w:r>
            <w:r>
              <w:rPr>
                <w:spacing w:val="-2"/>
                <w:sz w:val="21"/>
              </w:rPr>
              <w:t>和治疗顺序。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PD-1/PD-L1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抑制剂的应用</w:t>
            </w:r>
          </w:p>
        </w:tc>
        <w:tc>
          <w:tcPr>
            <w:tcW w:w="550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PD-1/PD-L1</w:t>
            </w:r>
            <w:r>
              <w:rPr>
                <w:rFonts w:ascii="Times New Roman" w:eastAsia="Times New Roman"/>
                <w:spacing w:val="-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抑制剂在多种实体瘤包括肺鳞癌中显示出显</w:t>
            </w:r>
            <w:r>
              <w:rPr>
                <w:spacing w:val="-2"/>
                <w:sz w:val="21"/>
              </w:rPr>
              <w:t>著的抗肿瘤效果。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spacing w:val="-7"/>
                <w:sz w:val="21"/>
              </w:rPr>
              <w:t xml:space="preserve">肺鳞癌中高表达 </w:t>
            </w:r>
            <w:r>
              <w:rPr>
                <w:rFonts w:ascii="Times New Roman" w:eastAsia="Times New Roman"/>
                <w:sz w:val="21"/>
              </w:rPr>
              <w:t>PD-L1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的患者更有可能从 </w:t>
            </w:r>
            <w:r>
              <w:rPr>
                <w:rFonts w:ascii="Times New Roman" w:eastAsia="Times New Roman"/>
                <w:sz w:val="21"/>
              </w:rPr>
              <w:t>PD-1/PD-</w:t>
            </w:r>
            <w:r>
              <w:rPr>
                <w:rFonts w:ascii="Times New Roman" w:eastAsia="Times New Roman"/>
                <w:spacing w:val="-5"/>
                <w:sz w:val="21"/>
              </w:rPr>
              <w:t>L1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抑制剂治疗中获益。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43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各种联合治疗策略正在被积极探索，以提高免疫治疗的</w:t>
            </w:r>
            <w:r>
              <w:rPr>
                <w:spacing w:val="-2"/>
                <w:sz w:val="21"/>
              </w:rPr>
              <w:t>效果并克服其局限性。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CTLA-4 </w:t>
            </w:r>
            <w:r>
              <w:rPr>
                <w:spacing w:val="-2"/>
                <w:sz w:val="21"/>
              </w:rPr>
              <w:t>抑制剂的研究进展</w:t>
            </w:r>
          </w:p>
        </w:tc>
        <w:tc>
          <w:tcPr>
            <w:tcW w:w="550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CTLA-4 </w:t>
            </w:r>
            <w:r>
              <w:rPr>
                <w:sz w:val="21"/>
              </w:rPr>
              <w:t>抑制剂伊匹单抗已在部分晚期肺鳞癌患者中显</w:t>
            </w:r>
            <w:r>
              <w:rPr>
                <w:spacing w:val="-2"/>
                <w:sz w:val="21"/>
              </w:rPr>
              <w:t>示出一定疗效。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7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联合使用 </w:t>
            </w:r>
            <w:r>
              <w:rPr>
                <w:rFonts w:ascii="Times New Roman" w:eastAsia="Times New Roman"/>
                <w:sz w:val="21"/>
              </w:rPr>
              <w:t xml:space="preserve">PD-1/PD-L1 </w:t>
            </w:r>
            <w:r>
              <w:rPr>
                <w:spacing w:val="-9"/>
                <w:sz w:val="21"/>
              </w:rPr>
              <w:t xml:space="preserve">抑制剂和 </w:t>
            </w:r>
            <w:r>
              <w:rPr>
                <w:rFonts w:ascii="Times New Roman" w:eastAsia="Times New Roman"/>
                <w:sz w:val="21"/>
              </w:rPr>
              <w:t xml:space="preserve">CTLA-4 </w:t>
            </w:r>
            <w:r>
              <w:rPr>
                <w:sz w:val="21"/>
              </w:rPr>
              <w:t>抑制剂可能会</w:t>
            </w:r>
            <w:r>
              <w:rPr>
                <w:spacing w:val="-2"/>
                <w:sz w:val="21"/>
              </w:rPr>
              <w:t>增强免疫反应并延长患者生存期。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left"/>
              <w:rPr>
                <w:sz w:val="21"/>
              </w:rPr>
            </w:pPr>
            <w:r>
              <w:rPr>
                <w:spacing w:val="4"/>
                <w:sz w:val="21"/>
              </w:rPr>
              <w:t>研究人员正在进行更多关于</w:t>
            </w:r>
            <w:r>
              <w:rPr>
                <w:rFonts w:ascii="Times New Roman" w:eastAsia="Times New Roman"/>
                <w:sz w:val="21"/>
              </w:rPr>
              <w:t>CTLA-4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抑制剂与其他疗法</w:t>
            </w:r>
            <w:r>
              <w:rPr>
                <w:spacing w:val="-2"/>
                <w:sz w:val="21"/>
              </w:rPr>
              <w:t>联合使用的临床试验。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9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个体化治疗的重要性</w:t>
            </w:r>
          </w:p>
        </w:tc>
        <w:tc>
          <w:tcPr>
            <w:tcW w:w="550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肺鳞癌的异质性使得个体化治疗成为必要。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80"/>
              </w:tabs>
              <w:spacing w:before="43" w:after="0" w:line="240" w:lineRule="auto"/>
              <w:ind w:left="379" w:right="0" w:hanging="272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基因检测可以帮助识别驱动突变并指导选择最合适的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15"/>
          <w:type w:val="continuous"/>
          <w:pgSz w:w="11910" w:h="16840"/>
          <w:pgMar w:top="1400" w:right="1280" w:bottom="1380" w:left="1680" w:header="0" w:footer="1198"/>
          <w:pgNumType w:start="11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1"/>
        <w:gridCol w:w="550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91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靶向治疗方案。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定期进行分子标志物检测以监测疾病演变和指导调整</w:t>
            </w:r>
            <w:r>
              <w:rPr>
                <w:spacing w:val="-2"/>
                <w:sz w:val="21"/>
              </w:rPr>
              <w:t>治疗策略是实现个体化治疗的关键。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9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0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</w:pPr>
      <w:r>
        <w:rPr>
          <w:spacing w:val="-8"/>
        </w:rPr>
        <w:t>在肺鳞癌个体化治疗的研究领域中，靶向治疗已经取得了显著的</w:t>
      </w:r>
      <w:r>
        <w:rPr>
          <w:spacing w:val="-2"/>
        </w:rPr>
        <w:t>进步。本文将针对这一方面进行深入的阐述。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t xml:space="preserve">首先，EGFR 基因突变是肺鳞癌患者中常见的驱动基因变异之一。一项大型回顾性研究发现，在肺鳞癌患者中，约有 2%-4%的患者存在 </w:t>
      </w:r>
      <w:r>
        <w:rPr>
          <w:spacing w:val="-6"/>
        </w:rPr>
        <w:t>EGFR</w:t>
      </w:r>
      <w:r>
        <w:rPr>
          <w:spacing w:val="-12"/>
        </w:rPr>
        <w:t xml:space="preserve"> 敏感突变。这些患者的治疗选择主要依赖于 </w:t>
      </w:r>
      <w:r>
        <w:rPr>
          <w:spacing w:val="-6"/>
        </w:rPr>
        <w:t>EGFR</w:t>
      </w:r>
      <w:r>
        <w:rPr>
          <w:spacing w:val="-10"/>
        </w:rPr>
        <w:t xml:space="preserve"> 酪氨酸激酶抑</w:t>
      </w:r>
      <w:r>
        <w:rPr>
          <w:spacing w:val="-4"/>
        </w:rPr>
        <w:t>制剂（TKIs）的应用。目前，包括吉非替尼、厄洛替尼和阿法替尼在</w:t>
      </w:r>
      <w:r>
        <w:rPr>
          <w:spacing w:val="-7"/>
        </w:rPr>
        <w:t xml:space="preserve">内的第一代和第二代 </w:t>
      </w:r>
      <w:r>
        <w:rPr>
          <w:spacing w:val="-4"/>
        </w:rPr>
        <w:t>EGFR-TKIs</w:t>
      </w:r>
      <w:r>
        <w:rPr>
          <w:spacing w:val="-13"/>
        </w:rPr>
        <w:t xml:space="preserve"> 已被批准用于治疗 </w:t>
      </w:r>
      <w:r>
        <w:rPr>
          <w:spacing w:val="-4"/>
        </w:rPr>
        <w:t>EGFR</w:t>
      </w:r>
      <w:r>
        <w:rPr>
          <w:spacing w:val="-10"/>
        </w:rPr>
        <w:t xml:space="preserve"> 突变阳性的</w:t>
      </w:r>
      <w:r>
        <w:rPr>
          <w:spacing w:val="-4"/>
        </w:rPr>
        <w:t xml:space="preserve">肺鳞癌患者。而在最新的临床试验中，奥希替尼等第三代 </w:t>
      </w:r>
      <w:r>
        <w:rPr>
          <w:spacing w:val="-2"/>
        </w:rPr>
        <w:t>EGFR-TKIs</w:t>
      </w:r>
      <w:r>
        <w:t>对于具有 T790M</w:t>
      </w:r>
      <w:r>
        <w:rPr>
          <w:spacing w:val="-1"/>
        </w:rPr>
        <w:t xml:space="preserve"> 耐药突变的肺鳞癌患者也显示出较高的有效率和良</w:t>
      </w:r>
      <w:r>
        <w:rPr>
          <w:spacing w:val="-2"/>
        </w:rPr>
        <w:t>好的耐受性。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t>其次，ALK</w:t>
      </w:r>
      <w:r>
        <w:rPr>
          <w:spacing w:val="-6"/>
        </w:rPr>
        <w:t xml:space="preserve"> 融合基因也是肺鳞癌中的一种重要的可靶向分子标记物。</w:t>
      </w:r>
      <w:r>
        <w:rPr>
          <w:spacing w:val="-3"/>
        </w:rPr>
        <w:t xml:space="preserve">根据相关研究显示，约有 </w:t>
      </w:r>
      <w:r>
        <w:t>1%-3%</w:t>
      </w:r>
      <w:r>
        <w:rPr>
          <w:spacing w:val="-3"/>
        </w:rPr>
        <w:t xml:space="preserve">的肺鳞癌患者携带 </w:t>
      </w:r>
      <w:r>
        <w:t>ALK</w:t>
      </w:r>
      <w:r>
        <w:rPr>
          <w:spacing w:val="-5"/>
        </w:rPr>
        <w:t xml:space="preserve"> 融合基因。对</w:t>
      </w:r>
      <w:r>
        <w:t xml:space="preserve"> </w:t>
      </w:r>
      <w:r>
        <w:rPr>
          <w:spacing w:val="-9"/>
        </w:rPr>
        <w:t>于这部分患者，使用克唑替尼等</w:t>
      </w:r>
      <w:r>
        <w:t>ALK</w:t>
      </w:r>
      <w:r>
        <w:rPr>
          <w:spacing w:val="-11"/>
        </w:rPr>
        <w:t xml:space="preserve"> 抑制剂可以取得较好的治疗效果。</w:t>
      </w:r>
      <w:r>
        <w:rPr>
          <w:spacing w:val="-16"/>
        </w:rPr>
        <w:t xml:space="preserve">此外，新一代的 </w:t>
      </w:r>
      <w:r>
        <w:t>ALK</w:t>
      </w:r>
      <w:r>
        <w:rPr>
          <w:spacing w:val="-5"/>
        </w:rPr>
        <w:t xml:space="preserve"> 抑制剂如艾乐替尼和恩沙替尼也在临床试验中显</w:t>
      </w:r>
      <w:r>
        <w:t xml:space="preserve"> </w:t>
      </w:r>
      <w:r>
        <w:rPr>
          <w:spacing w:val="-2"/>
        </w:rPr>
        <w:t>示出较高的抗肿瘤活性和更低的毒性反应。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13"/>
        </w:rPr>
        <w:t>再者，免疫检查点抑制剂在肺鳞癌的靶向治疗中也发挥着越来越重要</w:t>
      </w:r>
      <w:r>
        <w:rPr>
          <w:spacing w:val="-8"/>
        </w:rPr>
        <w:t xml:space="preserve">的作用。特别是 </w:t>
      </w:r>
      <w:r>
        <w:t>PD-1/PD-L1</w:t>
      </w:r>
      <w:r>
        <w:rPr>
          <w:spacing w:val="-9"/>
        </w:rPr>
        <w:t xml:space="preserve"> 通路的抑制剂，例如帕博利珠单抗、纳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https://d.book118.com/917166051031006050</w:t>
        </w:r>
      </w:hyperlink>
    </w:p>
    <w:p>
      <w:pPr>
        <w:spacing w:after="0" w:line="417" w:lineRule="auto"/>
      </w:pPr>
    </w:p>
    <w:sectPr>
      <w:footerReference w:type="default" r:id="rId17"/>
      <w:type w:val="continuous"/>
      <w:pgSz w:w="11910" w:h="16840"/>
      <w:pgMar w:top="1400" w:right="1280" w:bottom="1380" w:left="1680" w:header="0" w:footer="1198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8823B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">
    <w:nsid w:val="08CAE3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39" w:hanging="19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79" w:hanging="19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18" w:hanging="19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58" w:hanging="19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797" w:hanging="19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37" w:hanging="19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76" w:hanging="19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16" w:hanging="197"/>
      </w:pPr>
      <w:rPr>
        <w:rFonts w:hint="default"/>
        <w:lang w:val="en-US" w:eastAsia="zh-CN" w:bidi="ar-SA"/>
      </w:rPr>
    </w:lvl>
  </w:abstractNum>
  <w:abstractNum w:abstractNumId="2">
    <w:nsid w:val="094C358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">
    <w:nsid w:val="096C02A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4">
    <w:nsid w:val="0E10BC3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5">
    <w:nsid w:val="115403B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11C13AD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7">
    <w:nsid w:val="1348A4C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8">
    <w:nsid w:val="13D774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9">
    <w:nsid w:val="184556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10">
    <w:nsid w:val="1DAD43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1">
    <w:nsid w:val="1DD83DB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12">
    <w:nsid w:val="21AB9DD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3">
    <w:nsid w:val="229E73C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4">
    <w:nsid w:val="2393BA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15">
    <w:nsid w:val="255CDD8D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37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355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72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390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07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25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42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60" w:hanging="210"/>
      </w:pPr>
      <w:rPr>
        <w:rFonts w:hint="default"/>
        <w:lang w:val="en-US" w:eastAsia="zh-CN" w:bidi="ar-SA"/>
      </w:rPr>
    </w:lvl>
  </w:abstractNum>
  <w:abstractNum w:abstractNumId="16">
    <w:nsid w:val="2AC3481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7">
    <w:nsid w:val="2C176D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8">
    <w:nsid w:val="331311D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19">
    <w:nsid w:val="35B5942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0">
    <w:nsid w:val="3664A3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1">
    <w:nsid w:val="384DDD1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3AF247B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3">
    <w:nsid w:val="3E48A13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abstractNum w:abstractNumId="24">
    <w:nsid w:val="3EAAEE0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39" w:hanging="21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79" w:hanging="21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18" w:hanging="21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58" w:hanging="21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797" w:hanging="21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37" w:hanging="21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76" w:hanging="21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16" w:hanging="214"/>
      </w:pPr>
      <w:rPr>
        <w:rFonts w:hint="default"/>
        <w:lang w:val="en-US" w:eastAsia="zh-CN" w:bidi="ar-SA"/>
      </w:rPr>
    </w:lvl>
  </w:abstractNum>
  <w:abstractNum w:abstractNumId="25">
    <w:nsid w:val="404BA10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39" w:hanging="21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79" w:hanging="21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18" w:hanging="21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58" w:hanging="21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797" w:hanging="21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37" w:hanging="21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76" w:hanging="21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16" w:hanging="216"/>
      </w:pPr>
      <w:rPr>
        <w:rFonts w:hint="default"/>
        <w:lang w:val="en-US" w:eastAsia="zh-CN" w:bidi="ar-SA"/>
      </w:rPr>
    </w:lvl>
  </w:abstractNum>
  <w:abstractNum w:abstractNumId="26">
    <w:nsid w:val="447DF40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9"/>
      </w:pPr>
      <w:rPr>
        <w:rFonts w:hint="default"/>
        <w:lang w:val="en-US" w:eastAsia="zh-CN" w:bidi="ar-SA"/>
      </w:rPr>
    </w:lvl>
  </w:abstractNum>
  <w:abstractNum w:abstractNumId="27">
    <w:nsid w:val="4B63BD5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28">
    <w:nsid w:val="4CC6BF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29">
    <w:nsid w:val="4FB370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7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30">
    <w:nsid w:val="5085D80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2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3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6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72" w:hanging="263"/>
      </w:pPr>
      <w:rPr>
        <w:rFonts w:hint="default"/>
        <w:lang w:val="en-US" w:eastAsia="zh-CN" w:bidi="ar-SA"/>
      </w:rPr>
    </w:lvl>
  </w:abstractNum>
  <w:abstractNum w:abstractNumId="31">
    <w:nsid w:val="55BC1EB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1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1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1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1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1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1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14"/>
      </w:pPr>
      <w:rPr>
        <w:rFonts w:hint="default"/>
        <w:lang w:val="en-US" w:eastAsia="zh-CN" w:bidi="ar-SA"/>
      </w:rPr>
    </w:lvl>
  </w:abstractNum>
  <w:abstractNum w:abstractNumId="32">
    <w:nsid w:val="5615B3A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3"/>
      </w:pPr>
      <w:rPr>
        <w:rFonts w:hint="default"/>
        <w:lang w:val="en-US" w:eastAsia="zh-CN" w:bidi="ar-SA"/>
      </w:rPr>
    </w:lvl>
  </w:abstractNum>
  <w:abstractNum w:abstractNumId="33">
    <w:nsid w:val="5CCBB2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34">
    <w:nsid w:val="5D205B1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39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79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18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58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797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37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76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16" w:hanging="210"/>
      </w:pPr>
      <w:rPr>
        <w:rFonts w:hint="default"/>
        <w:lang w:val="en-US" w:eastAsia="zh-CN" w:bidi="ar-SA"/>
      </w:rPr>
    </w:lvl>
  </w:abstractNum>
  <w:abstractNum w:abstractNumId="35">
    <w:nsid w:val="716A9556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36">
    <w:nsid w:val="7338E8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1" w:hanging="2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3" w:hanging="2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5" w:hanging="268"/>
      </w:pPr>
      <w:rPr>
        <w:rFonts w:hint="default"/>
        <w:lang w:val="en-US" w:eastAsia="zh-CN" w:bidi="ar-SA"/>
      </w:rPr>
    </w:lvl>
  </w:abstractNum>
  <w:abstractNum w:abstractNumId="37">
    <w:nsid w:val="7A8DE5E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en-US" w:eastAsia="zh-CN" w:bidi="ar-SA"/>
      </w:rPr>
    </w:lvl>
  </w:abstractNum>
  <w:abstractNum w:abstractNumId="38">
    <w:nsid w:val="7CD6B3E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num w:numId="1">
    <w:abstractNumId w:val="13"/>
  </w:num>
  <w:num w:numId="2">
    <w:abstractNumId w:val="14"/>
  </w:num>
  <w:num w:numId="3">
    <w:abstractNumId w:val="23"/>
  </w:num>
  <w:num w:numId="4">
    <w:abstractNumId w:val="8"/>
  </w:num>
  <w:num w:numId="5">
    <w:abstractNumId w:val="7"/>
  </w:num>
  <w:num w:numId="6">
    <w:abstractNumId w:val="29"/>
  </w:num>
  <w:num w:numId="7">
    <w:abstractNumId w:val="6"/>
  </w:num>
  <w:num w:numId="8">
    <w:abstractNumId w:val="12"/>
  </w:num>
  <w:num w:numId="9">
    <w:abstractNumId w:val="0"/>
  </w:num>
  <w:num w:numId="10">
    <w:abstractNumId w:val="22"/>
  </w:num>
  <w:num w:numId="11">
    <w:abstractNumId w:val="32"/>
  </w:num>
  <w:num w:numId="12">
    <w:abstractNumId w:val="19"/>
  </w:num>
  <w:num w:numId="13">
    <w:abstractNumId w:val="18"/>
  </w:num>
  <w:num w:numId="14">
    <w:abstractNumId w:val="17"/>
  </w:num>
  <w:num w:numId="15">
    <w:abstractNumId w:val="36"/>
  </w:num>
  <w:num w:numId="16">
    <w:abstractNumId w:val="27"/>
  </w:num>
  <w:num w:numId="17">
    <w:abstractNumId w:val="2"/>
  </w:num>
  <w:num w:numId="18">
    <w:abstractNumId w:val="5"/>
  </w:num>
  <w:num w:numId="19">
    <w:abstractNumId w:val="28"/>
  </w:num>
  <w:num w:numId="20">
    <w:abstractNumId w:val="30"/>
  </w:num>
  <w:num w:numId="21">
    <w:abstractNumId w:val="25"/>
  </w:num>
  <w:num w:numId="22">
    <w:abstractNumId w:val="1"/>
  </w:num>
  <w:num w:numId="23">
    <w:abstractNumId w:val="15"/>
  </w:num>
  <w:num w:numId="24">
    <w:abstractNumId w:val="34"/>
  </w:num>
  <w:num w:numId="25">
    <w:abstractNumId w:val="24"/>
  </w:num>
  <w:num w:numId="26">
    <w:abstractNumId w:val="21"/>
  </w:num>
  <w:num w:numId="27">
    <w:abstractNumId w:val="4"/>
  </w:num>
  <w:num w:numId="28">
    <w:abstractNumId w:val="9"/>
  </w:num>
  <w:num w:numId="29">
    <w:abstractNumId w:val="35"/>
  </w:num>
  <w:num w:numId="30">
    <w:abstractNumId w:val="31"/>
  </w:num>
  <w:num w:numId="31">
    <w:abstractNumId w:val="26"/>
  </w:num>
  <w:num w:numId="32">
    <w:abstractNumId w:val="11"/>
  </w:num>
  <w:num w:numId="33">
    <w:abstractNumId w:val="16"/>
  </w:num>
  <w:num w:numId="34">
    <w:abstractNumId w:val="38"/>
  </w:num>
  <w:num w:numId="35">
    <w:abstractNumId w:val="37"/>
  </w:num>
  <w:num w:numId="36">
    <w:abstractNumId w:val="10"/>
  </w:num>
  <w:num w:numId="37">
    <w:abstractNumId w:val="3"/>
  </w:num>
  <w:num w:numId="38">
    <w:abstractNumId w:val="33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85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54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917166051031006050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2024-03-05T05:03:02Z</dcterms:created>
  <dcterms:modified xsi:type="dcterms:W3CDTF">2024-03-05T05:03:02Z</dcterms:modified>
</cp:coreProperties>
</file>