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植物稳态营养肥料项目规划设计蓝图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83" w:history="1">
        <w:r>
          <w:rPr>
            <w:rFonts w:ascii="仿宋" w:eastAsia="仿宋" w:hAnsi="仿宋" w:cs="仿宋" w:hint="eastAsia"/>
            <w:lang w:eastAsia="zh-CN"/>
          </w:rPr>
          <w:t>概论</w:t>
        </w:r>
        <w:r>
          <w:tab/>
        </w:r>
        <w:r>
          <w:fldChar w:fldCharType="begin"/>
        </w:r>
        <w:r>
          <w:instrText xml:space="preserve"> PAGEREF _Toc12383 \h </w:instrText>
        </w:r>
        <w:r>
          <w:fldChar w:fldCharType="separate"/>
        </w:r>
        <w:r>
          <w:t>3</w:t>
        </w:r>
        <w:r>
          <w:fldChar w:fldCharType="end"/>
        </w:r>
      </w:hyperlink>
    </w:p>
    <w:p>
      <w:pPr>
        <w:pStyle w:val="TOC1"/>
        <w:tabs>
          <w:tab w:val="right" w:leader="dot" w:pos="8306"/>
        </w:tabs>
      </w:pPr>
      <w:hyperlink w:anchor="_Toc18627" w:history="1">
        <w:r>
          <w:rPr>
            <w:rFonts w:ascii="仿宋" w:eastAsia="仿宋" w:hAnsi="仿宋" w:cs="仿宋" w:hint="eastAsia"/>
            <w:lang w:eastAsia="zh-CN"/>
          </w:rPr>
          <w:t>一、产品规划分析</w:t>
        </w:r>
        <w:r>
          <w:tab/>
        </w:r>
        <w:r>
          <w:fldChar w:fldCharType="begin"/>
        </w:r>
        <w:r>
          <w:instrText xml:space="preserve"> PAGEREF _Toc18627 \h </w:instrText>
        </w:r>
        <w:r>
          <w:fldChar w:fldCharType="separate"/>
        </w:r>
        <w:r>
          <w:t>3</w:t>
        </w:r>
        <w:r>
          <w:fldChar w:fldCharType="end"/>
        </w:r>
      </w:hyperlink>
    </w:p>
    <w:p>
      <w:pPr>
        <w:pStyle w:val="TOC2"/>
        <w:tabs>
          <w:tab w:val="right" w:leader="dot" w:pos="8306"/>
        </w:tabs>
      </w:pPr>
      <w:hyperlink w:anchor="_Toc1297" w:history="1">
        <w:r>
          <w:rPr>
            <w:rFonts w:ascii="仿宋" w:eastAsia="仿宋" w:hAnsi="仿宋" w:cs="仿宋" w:hint="eastAsia"/>
            <w:lang w:eastAsia="zh-CN"/>
          </w:rPr>
          <w:t>(一)、产品规划</w:t>
        </w:r>
        <w:r>
          <w:tab/>
        </w:r>
        <w:r>
          <w:fldChar w:fldCharType="begin"/>
        </w:r>
        <w:r>
          <w:instrText xml:space="preserve"> PAGEREF _Toc1297 \h </w:instrText>
        </w:r>
        <w:r>
          <w:fldChar w:fldCharType="separate"/>
        </w:r>
        <w:r>
          <w:t>3</w:t>
        </w:r>
        <w:r>
          <w:fldChar w:fldCharType="end"/>
        </w:r>
      </w:hyperlink>
    </w:p>
    <w:p>
      <w:pPr>
        <w:pStyle w:val="TOC2"/>
        <w:tabs>
          <w:tab w:val="right" w:leader="dot" w:pos="8306"/>
        </w:tabs>
      </w:pPr>
      <w:hyperlink w:anchor="_Toc12841" w:history="1">
        <w:r>
          <w:rPr>
            <w:rFonts w:ascii="仿宋" w:eastAsia="仿宋" w:hAnsi="仿宋" w:cs="仿宋" w:hint="eastAsia"/>
            <w:lang w:eastAsia="zh-CN"/>
          </w:rPr>
          <w:t>(二)、建设规模</w:t>
        </w:r>
        <w:r>
          <w:tab/>
        </w:r>
        <w:r>
          <w:fldChar w:fldCharType="begin"/>
        </w:r>
        <w:r>
          <w:instrText xml:space="preserve"> PAGEREF _Toc12841 \h </w:instrText>
        </w:r>
        <w:r>
          <w:fldChar w:fldCharType="separate"/>
        </w:r>
        <w:r>
          <w:t>4</w:t>
        </w:r>
        <w:r>
          <w:fldChar w:fldCharType="end"/>
        </w:r>
      </w:hyperlink>
    </w:p>
    <w:p>
      <w:pPr>
        <w:pStyle w:val="TOC1"/>
        <w:tabs>
          <w:tab w:val="right" w:leader="dot" w:pos="8306"/>
        </w:tabs>
      </w:pPr>
      <w:hyperlink w:anchor="_Toc28040" w:history="1">
        <w:r>
          <w:rPr>
            <w:rFonts w:ascii="仿宋" w:eastAsia="仿宋" w:hAnsi="仿宋" w:cs="仿宋" w:hint="eastAsia"/>
            <w:lang w:eastAsia="zh-CN"/>
          </w:rPr>
          <w:t>二、植物稳态营养肥料项目建设背景及必要性分析</w:t>
        </w:r>
        <w:r>
          <w:tab/>
        </w:r>
        <w:r>
          <w:fldChar w:fldCharType="begin"/>
        </w:r>
        <w:r>
          <w:instrText xml:space="preserve"> PAGEREF _Toc28040 \h </w:instrText>
        </w:r>
        <w:r>
          <w:fldChar w:fldCharType="separate"/>
        </w:r>
        <w:r>
          <w:t>5</w:t>
        </w:r>
        <w:r>
          <w:fldChar w:fldCharType="end"/>
        </w:r>
      </w:hyperlink>
    </w:p>
    <w:p>
      <w:pPr>
        <w:pStyle w:val="TOC2"/>
        <w:tabs>
          <w:tab w:val="right" w:leader="dot" w:pos="8306"/>
        </w:tabs>
      </w:pPr>
      <w:hyperlink w:anchor="_Toc31074" w:history="1">
        <w:r>
          <w:rPr>
            <w:rFonts w:ascii="仿宋" w:eastAsia="仿宋" w:hAnsi="仿宋" w:cs="仿宋" w:hint="eastAsia"/>
            <w:lang w:eastAsia="zh-CN"/>
          </w:rPr>
          <w:t>(一)、植物稳态营养肥料项目背景分析</w:t>
        </w:r>
        <w:r>
          <w:tab/>
        </w:r>
        <w:r>
          <w:fldChar w:fldCharType="begin"/>
        </w:r>
        <w:r>
          <w:instrText xml:space="preserve"> PAGEREF _Toc31074 \h </w:instrText>
        </w:r>
        <w:r>
          <w:fldChar w:fldCharType="separate"/>
        </w:r>
        <w:r>
          <w:t>5</w:t>
        </w:r>
        <w:r>
          <w:fldChar w:fldCharType="end"/>
        </w:r>
      </w:hyperlink>
    </w:p>
    <w:p>
      <w:pPr>
        <w:pStyle w:val="TOC2"/>
        <w:tabs>
          <w:tab w:val="right" w:leader="dot" w:pos="8306"/>
        </w:tabs>
      </w:pPr>
      <w:hyperlink w:anchor="_Toc18978" w:history="1">
        <w:r>
          <w:rPr>
            <w:rFonts w:ascii="仿宋" w:eastAsia="仿宋" w:hAnsi="仿宋" w:cs="仿宋" w:hint="eastAsia"/>
            <w:lang w:eastAsia="zh-CN"/>
          </w:rPr>
          <w:t>(二)、植物稳态营养肥料项目建设必要性分析</w:t>
        </w:r>
        <w:r>
          <w:tab/>
        </w:r>
        <w:r>
          <w:fldChar w:fldCharType="begin"/>
        </w:r>
        <w:r>
          <w:instrText xml:space="preserve"> PAGEREF _Toc18978 \h </w:instrText>
        </w:r>
        <w:r>
          <w:fldChar w:fldCharType="separate"/>
        </w:r>
        <w:r>
          <w:t>7</w:t>
        </w:r>
        <w:r>
          <w:fldChar w:fldCharType="end"/>
        </w:r>
      </w:hyperlink>
    </w:p>
    <w:p>
      <w:pPr>
        <w:pStyle w:val="TOC1"/>
        <w:tabs>
          <w:tab w:val="right" w:leader="dot" w:pos="8306"/>
        </w:tabs>
      </w:pPr>
      <w:hyperlink w:anchor="_Toc12390" w:history="1">
        <w:r>
          <w:rPr>
            <w:rFonts w:ascii="仿宋" w:eastAsia="仿宋" w:hAnsi="仿宋" w:cs="仿宋" w:hint="eastAsia"/>
            <w:lang w:eastAsia="zh-CN"/>
          </w:rPr>
          <w:t>三、市场分析、调研</w:t>
        </w:r>
        <w:r>
          <w:tab/>
        </w:r>
        <w:r>
          <w:fldChar w:fldCharType="begin"/>
        </w:r>
        <w:r>
          <w:instrText xml:space="preserve"> PAGEREF _Toc12390 \h </w:instrText>
        </w:r>
        <w:r>
          <w:fldChar w:fldCharType="separate"/>
        </w:r>
        <w:r>
          <w:t>8</w:t>
        </w:r>
        <w:r>
          <w:fldChar w:fldCharType="end"/>
        </w:r>
      </w:hyperlink>
    </w:p>
    <w:p>
      <w:pPr>
        <w:pStyle w:val="TOC2"/>
        <w:tabs>
          <w:tab w:val="right" w:leader="dot" w:pos="8306"/>
        </w:tabs>
      </w:pPr>
      <w:hyperlink w:anchor="_Toc5054" w:history="1">
        <w:r>
          <w:rPr>
            <w:rFonts w:ascii="仿宋" w:eastAsia="仿宋" w:hAnsi="仿宋" w:cs="仿宋" w:hint="eastAsia"/>
            <w:lang w:eastAsia="zh-CN"/>
          </w:rPr>
          <w:t>(一)、植物稳态营养肥料行业分析</w:t>
        </w:r>
        <w:r>
          <w:tab/>
        </w:r>
        <w:r>
          <w:fldChar w:fldCharType="begin"/>
        </w:r>
        <w:r>
          <w:instrText xml:space="preserve"> PAGEREF _Toc5054 \h </w:instrText>
        </w:r>
        <w:r>
          <w:fldChar w:fldCharType="separate"/>
        </w:r>
        <w:r>
          <w:t>8</w:t>
        </w:r>
        <w:r>
          <w:fldChar w:fldCharType="end"/>
        </w:r>
      </w:hyperlink>
    </w:p>
    <w:p>
      <w:pPr>
        <w:pStyle w:val="TOC2"/>
        <w:tabs>
          <w:tab w:val="right" w:leader="dot" w:pos="8306"/>
        </w:tabs>
      </w:pPr>
      <w:hyperlink w:anchor="_Toc2108" w:history="1">
        <w:r>
          <w:rPr>
            <w:rFonts w:ascii="仿宋" w:eastAsia="仿宋" w:hAnsi="仿宋" w:cs="仿宋" w:hint="eastAsia"/>
            <w:lang w:eastAsia="zh-CN"/>
          </w:rPr>
          <w:t>(二)、植物稳态营养肥料市场分析预测</w:t>
        </w:r>
        <w:r>
          <w:tab/>
        </w:r>
        <w:r>
          <w:fldChar w:fldCharType="begin"/>
        </w:r>
        <w:r>
          <w:instrText xml:space="preserve"> PAGEREF _Toc2108 \h </w:instrText>
        </w:r>
        <w:r>
          <w:fldChar w:fldCharType="separate"/>
        </w:r>
        <w:r>
          <w:t>9</w:t>
        </w:r>
        <w:r>
          <w:fldChar w:fldCharType="end"/>
        </w:r>
      </w:hyperlink>
    </w:p>
    <w:p>
      <w:pPr>
        <w:pStyle w:val="TOC1"/>
        <w:tabs>
          <w:tab w:val="right" w:leader="dot" w:pos="8306"/>
        </w:tabs>
      </w:pPr>
      <w:hyperlink w:anchor="_Toc27746" w:history="1">
        <w:r>
          <w:rPr>
            <w:rFonts w:ascii="仿宋" w:eastAsia="仿宋" w:hAnsi="仿宋" w:cs="仿宋" w:hint="eastAsia"/>
            <w:lang w:eastAsia="zh-CN"/>
          </w:rPr>
          <w:t>四、植物稳态营养肥料项目概论</w:t>
        </w:r>
        <w:r>
          <w:tab/>
        </w:r>
        <w:r>
          <w:fldChar w:fldCharType="begin"/>
        </w:r>
        <w:r>
          <w:instrText xml:space="preserve"> PAGEREF _Toc27746 \h </w:instrText>
        </w:r>
        <w:r>
          <w:fldChar w:fldCharType="separate"/>
        </w:r>
        <w:r>
          <w:t>10</w:t>
        </w:r>
        <w:r>
          <w:fldChar w:fldCharType="end"/>
        </w:r>
      </w:hyperlink>
    </w:p>
    <w:p>
      <w:pPr>
        <w:pStyle w:val="TOC2"/>
        <w:tabs>
          <w:tab w:val="right" w:leader="dot" w:pos="8306"/>
        </w:tabs>
      </w:pPr>
      <w:hyperlink w:anchor="_Toc25474" w:history="1">
        <w:r>
          <w:rPr>
            <w:rFonts w:ascii="仿宋" w:eastAsia="仿宋" w:hAnsi="仿宋" w:cs="仿宋" w:hint="eastAsia"/>
            <w:lang w:eastAsia="zh-CN"/>
          </w:rPr>
          <w:t>(一)、植物稳态营养肥料项目概况</w:t>
        </w:r>
        <w:r>
          <w:tab/>
        </w:r>
        <w:r>
          <w:fldChar w:fldCharType="begin"/>
        </w:r>
        <w:r>
          <w:instrText xml:space="preserve"> PAGEREF _Toc25474 \h </w:instrText>
        </w:r>
        <w:r>
          <w:fldChar w:fldCharType="separate"/>
        </w:r>
        <w:r>
          <w:t>10</w:t>
        </w:r>
        <w:r>
          <w:fldChar w:fldCharType="end"/>
        </w:r>
      </w:hyperlink>
    </w:p>
    <w:p>
      <w:pPr>
        <w:pStyle w:val="TOC2"/>
        <w:tabs>
          <w:tab w:val="right" w:leader="dot" w:pos="8306"/>
        </w:tabs>
      </w:pPr>
      <w:hyperlink w:anchor="_Toc6684" w:history="1">
        <w:r>
          <w:rPr>
            <w:rFonts w:ascii="仿宋" w:eastAsia="仿宋" w:hAnsi="仿宋" w:cs="仿宋" w:hint="eastAsia"/>
            <w:lang w:eastAsia="zh-CN"/>
          </w:rPr>
          <w:t>(二)、植物稳态营养肥料项目目标</w:t>
        </w:r>
        <w:r>
          <w:tab/>
        </w:r>
        <w:r>
          <w:fldChar w:fldCharType="begin"/>
        </w:r>
        <w:r>
          <w:instrText xml:space="preserve"> PAGEREF _Toc6684 \h </w:instrText>
        </w:r>
        <w:r>
          <w:fldChar w:fldCharType="separate"/>
        </w:r>
        <w:r>
          <w:t>12</w:t>
        </w:r>
        <w:r>
          <w:fldChar w:fldCharType="end"/>
        </w:r>
      </w:hyperlink>
    </w:p>
    <w:p>
      <w:pPr>
        <w:pStyle w:val="TOC2"/>
        <w:tabs>
          <w:tab w:val="right" w:leader="dot" w:pos="8306"/>
        </w:tabs>
      </w:pPr>
      <w:hyperlink w:anchor="_Toc20046" w:history="1">
        <w:r>
          <w:rPr>
            <w:rFonts w:ascii="仿宋" w:eastAsia="仿宋" w:hAnsi="仿宋" w:cs="仿宋" w:hint="eastAsia"/>
            <w:lang w:eastAsia="zh-CN"/>
          </w:rPr>
          <w:t>(三)、植物稳态营养肥料项目提出的理由</w:t>
        </w:r>
        <w:r>
          <w:tab/>
        </w:r>
        <w:r>
          <w:fldChar w:fldCharType="begin"/>
        </w:r>
        <w:r>
          <w:instrText xml:space="preserve"> PAGEREF _Toc20046 \h </w:instrText>
        </w:r>
        <w:r>
          <w:fldChar w:fldCharType="separate"/>
        </w:r>
        <w:r>
          <w:t>13</w:t>
        </w:r>
        <w:r>
          <w:fldChar w:fldCharType="end"/>
        </w:r>
      </w:hyperlink>
    </w:p>
    <w:p>
      <w:pPr>
        <w:pStyle w:val="TOC2"/>
        <w:tabs>
          <w:tab w:val="right" w:leader="dot" w:pos="8306"/>
        </w:tabs>
      </w:pPr>
      <w:hyperlink w:anchor="_Toc26085" w:history="1">
        <w:r>
          <w:rPr>
            <w:rFonts w:ascii="仿宋" w:eastAsia="仿宋" w:hAnsi="仿宋" w:cs="仿宋" w:hint="eastAsia"/>
            <w:lang w:eastAsia="zh-CN"/>
          </w:rPr>
          <w:t>(四)、植物稳态营养肥料项目意义</w:t>
        </w:r>
        <w:r>
          <w:tab/>
        </w:r>
        <w:r>
          <w:fldChar w:fldCharType="begin"/>
        </w:r>
        <w:r>
          <w:instrText xml:space="preserve"> PAGEREF _Toc26085 \h </w:instrText>
        </w:r>
        <w:r>
          <w:fldChar w:fldCharType="separate"/>
        </w:r>
        <w:r>
          <w:t>15</w:t>
        </w:r>
        <w:r>
          <w:fldChar w:fldCharType="end"/>
        </w:r>
      </w:hyperlink>
    </w:p>
    <w:p>
      <w:pPr>
        <w:pStyle w:val="TOC2"/>
        <w:tabs>
          <w:tab w:val="right" w:leader="dot" w:pos="8306"/>
        </w:tabs>
      </w:pPr>
      <w:hyperlink w:anchor="_Toc3594" w:history="1">
        <w:r>
          <w:rPr>
            <w:rFonts w:ascii="仿宋" w:eastAsia="仿宋" w:hAnsi="仿宋" w:cs="仿宋" w:hint="eastAsia"/>
            <w:lang w:eastAsia="zh-CN"/>
          </w:rPr>
          <w:t>(五)、植物稳态营养肥料项目背景</w:t>
        </w:r>
        <w:r>
          <w:tab/>
        </w:r>
        <w:r>
          <w:fldChar w:fldCharType="begin"/>
        </w:r>
        <w:r>
          <w:instrText xml:space="preserve"> PAGEREF _Toc3594 \h </w:instrText>
        </w:r>
        <w:r>
          <w:fldChar w:fldCharType="separate"/>
        </w:r>
        <w:r>
          <w:t>16</w:t>
        </w:r>
        <w:r>
          <w:fldChar w:fldCharType="end"/>
        </w:r>
      </w:hyperlink>
    </w:p>
    <w:p>
      <w:pPr>
        <w:pStyle w:val="TOC1"/>
        <w:tabs>
          <w:tab w:val="right" w:leader="dot" w:pos="8306"/>
        </w:tabs>
      </w:pPr>
      <w:hyperlink w:anchor="_Toc26248" w:history="1">
        <w:r>
          <w:rPr>
            <w:rFonts w:ascii="仿宋" w:eastAsia="仿宋" w:hAnsi="仿宋" w:cs="仿宋" w:hint="eastAsia"/>
            <w:lang w:eastAsia="zh-CN"/>
          </w:rPr>
          <w:t>五、植物稳态营养肥料项目土建工程</w:t>
        </w:r>
        <w:r>
          <w:tab/>
        </w:r>
        <w:r>
          <w:fldChar w:fldCharType="begin"/>
        </w:r>
        <w:r>
          <w:instrText xml:space="preserve"> PAGEREF _Toc26248 \h </w:instrText>
        </w:r>
        <w:r>
          <w:fldChar w:fldCharType="separate"/>
        </w:r>
        <w:r>
          <w:t>17</w:t>
        </w:r>
        <w:r>
          <w:fldChar w:fldCharType="end"/>
        </w:r>
      </w:hyperlink>
    </w:p>
    <w:p>
      <w:pPr>
        <w:pStyle w:val="TOC2"/>
        <w:tabs>
          <w:tab w:val="right" w:leader="dot" w:pos="8306"/>
        </w:tabs>
      </w:pPr>
      <w:hyperlink w:anchor="_Toc20791" w:history="1">
        <w:r>
          <w:rPr>
            <w:rFonts w:ascii="仿宋" w:eastAsia="仿宋" w:hAnsi="仿宋" w:cs="仿宋" w:hint="eastAsia"/>
            <w:lang w:eastAsia="zh-CN"/>
          </w:rPr>
          <w:t>(一)、建筑工程设计原则</w:t>
        </w:r>
        <w:r>
          <w:tab/>
        </w:r>
        <w:r>
          <w:fldChar w:fldCharType="begin"/>
        </w:r>
        <w:r>
          <w:instrText xml:space="preserve"> PAGEREF _Toc20791 \h </w:instrText>
        </w:r>
        <w:r>
          <w:fldChar w:fldCharType="separate"/>
        </w:r>
        <w:r>
          <w:t>17</w:t>
        </w:r>
        <w:r>
          <w:fldChar w:fldCharType="end"/>
        </w:r>
      </w:hyperlink>
    </w:p>
    <w:p>
      <w:pPr>
        <w:pStyle w:val="TOC2"/>
        <w:tabs>
          <w:tab w:val="right" w:leader="dot" w:pos="8306"/>
        </w:tabs>
      </w:pPr>
      <w:hyperlink w:anchor="_Toc16351" w:history="1">
        <w:r>
          <w:rPr>
            <w:rFonts w:ascii="仿宋" w:eastAsia="仿宋" w:hAnsi="仿宋" w:cs="仿宋" w:hint="eastAsia"/>
            <w:lang w:eastAsia="zh-CN"/>
          </w:rPr>
          <w:t>(二)、土建工程设计年限及安全等级</w:t>
        </w:r>
        <w:r>
          <w:tab/>
        </w:r>
        <w:r>
          <w:fldChar w:fldCharType="begin"/>
        </w:r>
        <w:r>
          <w:instrText xml:space="preserve"> PAGEREF _Toc16351 \h </w:instrText>
        </w:r>
        <w:r>
          <w:fldChar w:fldCharType="separate"/>
        </w:r>
        <w:r>
          <w:t>18</w:t>
        </w:r>
        <w:r>
          <w:fldChar w:fldCharType="end"/>
        </w:r>
      </w:hyperlink>
    </w:p>
    <w:p>
      <w:pPr>
        <w:pStyle w:val="TOC2"/>
        <w:tabs>
          <w:tab w:val="right" w:leader="dot" w:pos="8306"/>
        </w:tabs>
      </w:pPr>
      <w:hyperlink w:anchor="_Toc1594" w:history="1">
        <w:r>
          <w:rPr>
            <w:rFonts w:ascii="仿宋" w:eastAsia="仿宋" w:hAnsi="仿宋" w:cs="仿宋" w:hint="eastAsia"/>
            <w:lang w:eastAsia="zh-CN"/>
          </w:rPr>
          <w:t>(三)、建筑工程设计总体要求</w:t>
        </w:r>
        <w:r>
          <w:tab/>
        </w:r>
        <w:r>
          <w:fldChar w:fldCharType="begin"/>
        </w:r>
        <w:r>
          <w:instrText xml:space="preserve"> PAGEREF _Toc1594 \h </w:instrText>
        </w:r>
        <w:r>
          <w:fldChar w:fldCharType="separate"/>
        </w:r>
        <w:r>
          <w:t>19</w:t>
        </w:r>
        <w:r>
          <w:fldChar w:fldCharType="end"/>
        </w:r>
      </w:hyperlink>
    </w:p>
    <w:p>
      <w:pPr>
        <w:pStyle w:val="TOC2"/>
        <w:tabs>
          <w:tab w:val="right" w:leader="dot" w:pos="8306"/>
        </w:tabs>
      </w:pPr>
      <w:hyperlink w:anchor="_Toc24806" w:history="1">
        <w:r>
          <w:rPr>
            <w:rFonts w:ascii="仿宋" w:eastAsia="仿宋" w:hAnsi="仿宋" w:cs="仿宋" w:hint="eastAsia"/>
            <w:lang w:eastAsia="zh-CN"/>
          </w:rPr>
          <w:t>(四)、土建工程建设指标</w:t>
        </w:r>
        <w:r>
          <w:tab/>
        </w:r>
        <w:r>
          <w:fldChar w:fldCharType="begin"/>
        </w:r>
        <w:r>
          <w:instrText xml:space="preserve"> PAGEREF _Toc24806 \h </w:instrText>
        </w:r>
        <w:r>
          <w:fldChar w:fldCharType="separate"/>
        </w:r>
        <w:r>
          <w:t>20</w:t>
        </w:r>
        <w:r>
          <w:fldChar w:fldCharType="end"/>
        </w:r>
      </w:hyperlink>
    </w:p>
    <w:p>
      <w:pPr>
        <w:pStyle w:val="TOC1"/>
        <w:tabs>
          <w:tab w:val="right" w:leader="dot" w:pos="8306"/>
        </w:tabs>
      </w:pPr>
      <w:hyperlink w:anchor="_Toc22941" w:history="1">
        <w:r>
          <w:rPr>
            <w:rFonts w:ascii="仿宋" w:eastAsia="仿宋" w:hAnsi="仿宋" w:cs="仿宋" w:hint="eastAsia"/>
            <w:lang w:eastAsia="zh-CN"/>
          </w:rPr>
          <w:t>六、植物稳态营养肥料项目可持续发展</w:t>
        </w:r>
        <w:r>
          <w:tab/>
        </w:r>
        <w:r>
          <w:fldChar w:fldCharType="begin"/>
        </w:r>
        <w:r>
          <w:instrText xml:space="preserve"> PAGEREF _Toc22941 \h </w:instrText>
        </w:r>
        <w:r>
          <w:fldChar w:fldCharType="separate"/>
        </w:r>
        <w:r>
          <w:t>20</w:t>
        </w:r>
        <w:r>
          <w:fldChar w:fldCharType="end"/>
        </w:r>
      </w:hyperlink>
    </w:p>
    <w:p>
      <w:pPr>
        <w:pStyle w:val="TOC2"/>
        <w:tabs>
          <w:tab w:val="right" w:leader="dot" w:pos="8306"/>
        </w:tabs>
      </w:pPr>
      <w:hyperlink w:anchor="_Toc24433" w:history="1">
        <w:r>
          <w:rPr>
            <w:rFonts w:ascii="仿宋" w:eastAsia="仿宋" w:hAnsi="仿宋" w:cs="仿宋" w:hint="eastAsia"/>
            <w:lang w:eastAsia="zh-CN"/>
          </w:rPr>
          <w:t>(一)、可持续战略与实践</w:t>
        </w:r>
        <w:r>
          <w:tab/>
        </w:r>
        <w:r>
          <w:fldChar w:fldCharType="begin"/>
        </w:r>
        <w:r>
          <w:instrText xml:space="preserve"> PAGEREF _Toc24433 \h </w:instrText>
        </w:r>
        <w:r>
          <w:fldChar w:fldCharType="separate"/>
        </w:r>
        <w:r>
          <w:t>20</w:t>
        </w:r>
        <w:r>
          <w:fldChar w:fldCharType="end"/>
        </w:r>
      </w:hyperlink>
    </w:p>
    <w:p>
      <w:pPr>
        <w:pStyle w:val="TOC2"/>
        <w:tabs>
          <w:tab w:val="right" w:leader="dot" w:pos="8306"/>
        </w:tabs>
      </w:pPr>
      <w:hyperlink w:anchor="_Toc8056" w:history="1">
        <w:r>
          <w:rPr>
            <w:rFonts w:ascii="仿宋" w:eastAsia="仿宋" w:hAnsi="仿宋" w:cs="仿宋" w:hint="eastAsia"/>
            <w:lang w:eastAsia="zh-CN"/>
          </w:rPr>
          <w:t>(二)、环保与社会责任</w:t>
        </w:r>
        <w:r>
          <w:tab/>
        </w:r>
        <w:r>
          <w:fldChar w:fldCharType="begin"/>
        </w:r>
        <w:r>
          <w:instrText xml:space="preserve"> PAGEREF _Toc8056 \h </w:instrText>
        </w:r>
        <w:r>
          <w:fldChar w:fldCharType="separate"/>
        </w:r>
        <w:r>
          <w:t>21</w:t>
        </w:r>
        <w:r>
          <w:fldChar w:fldCharType="end"/>
        </w:r>
      </w:hyperlink>
    </w:p>
    <w:p>
      <w:pPr>
        <w:pStyle w:val="TOC1"/>
        <w:tabs>
          <w:tab w:val="right" w:leader="dot" w:pos="8306"/>
        </w:tabs>
      </w:pPr>
      <w:hyperlink w:anchor="_Toc18059" w:history="1">
        <w:r>
          <w:rPr>
            <w:rFonts w:ascii="仿宋" w:eastAsia="仿宋" w:hAnsi="仿宋" w:cs="仿宋" w:hint="eastAsia"/>
            <w:lang w:eastAsia="zh-CN"/>
          </w:rPr>
          <w:t>七、植物稳态营养肥料项目社会影响</w:t>
        </w:r>
        <w:r>
          <w:tab/>
        </w:r>
        <w:r>
          <w:fldChar w:fldCharType="begin"/>
        </w:r>
        <w:r>
          <w:instrText xml:space="preserve"> PAGEREF _Toc18059 \h </w:instrText>
        </w:r>
        <w:r>
          <w:fldChar w:fldCharType="separate"/>
        </w:r>
        <w:r>
          <w:t>22</w:t>
        </w:r>
        <w:r>
          <w:fldChar w:fldCharType="end"/>
        </w:r>
      </w:hyperlink>
    </w:p>
    <w:p>
      <w:pPr>
        <w:pStyle w:val="TOC2"/>
        <w:tabs>
          <w:tab w:val="right" w:leader="dot" w:pos="8306"/>
        </w:tabs>
      </w:pPr>
      <w:hyperlink w:anchor="_Toc18637" w:history="1">
        <w:r>
          <w:rPr>
            <w:rFonts w:ascii="仿宋" w:eastAsia="仿宋" w:hAnsi="仿宋" w:cs="仿宋" w:hint="eastAsia"/>
            <w:lang w:eastAsia="zh-CN"/>
          </w:rPr>
          <w:t>(一)、社会责任与义务</w:t>
        </w:r>
        <w:r>
          <w:tab/>
        </w:r>
        <w:r>
          <w:fldChar w:fldCharType="begin"/>
        </w:r>
        <w:r>
          <w:instrText xml:space="preserve"> PAGEREF _Toc18637 \h </w:instrText>
        </w:r>
        <w:r>
          <w:fldChar w:fldCharType="separate"/>
        </w:r>
        <w:r>
          <w:t>22</w:t>
        </w:r>
        <w:r>
          <w:fldChar w:fldCharType="end"/>
        </w:r>
      </w:hyperlink>
    </w:p>
    <w:p>
      <w:pPr>
        <w:pStyle w:val="TOC2"/>
        <w:tabs>
          <w:tab w:val="right" w:leader="dot" w:pos="8306"/>
        </w:tabs>
      </w:pPr>
      <w:hyperlink w:anchor="_Toc5315" w:history="1">
        <w:r>
          <w:rPr>
            <w:rFonts w:ascii="仿宋" w:eastAsia="仿宋" w:hAnsi="仿宋" w:cs="仿宋" w:hint="eastAsia"/>
            <w:lang w:eastAsia="zh-CN"/>
          </w:rPr>
          <w:t>(二)、社会参与与沟通</w:t>
        </w:r>
        <w:r>
          <w:tab/>
        </w:r>
        <w:r>
          <w:fldChar w:fldCharType="begin"/>
        </w:r>
        <w:r>
          <w:instrText xml:space="preserve"> PAGEREF _Toc5315 \h </w:instrText>
        </w:r>
        <w:r>
          <w:fldChar w:fldCharType="separate"/>
        </w:r>
        <w:r>
          <w:t>22</w:t>
        </w:r>
        <w:r>
          <w:fldChar w:fldCharType="end"/>
        </w:r>
      </w:hyperlink>
    </w:p>
    <w:p>
      <w:pPr>
        <w:pStyle w:val="TOC1"/>
        <w:tabs>
          <w:tab w:val="right" w:leader="dot" w:pos="8306"/>
        </w:tabs>
      </w:pPr>
      <w:hyperlink w:anchor="_Toc19745" w:history="1">
        <w:r>
          <w:rPr>
            <w:rFonts w:ascii="仿宋" w:eastAsia="仿宋" w:hAnsi="仿宋" w:cs="仿宋" w:hint="eastAsia"/>
            <w:lang w:eastAsia="zh-CN"/>
          </w:rPr>
          <w:t>八、植物稳态营养肥料项目技术管理</w:t>
        </w:r>
        <w:r>
          <w:tab/>
        </w:r>
        <w:r>
          <w:fldChar w:fldCharType="begin"/>
        </w:r>
        <w:r>
          <w:instrText xml:space="preserve"> PAGEREF _Toc19745 \h </w:instrText>
        </w:r>
        <w:r>
          <w:fldChar w:fldCharType="separate"/>
        </w:r>
        <w:r>
          <w:t>23</w:t>
        </w:r>
        <w:r>
          <w:fldChar w:fldCharType="end"/>
        </w:r>
      </w:hyperlink>
    </w:p>
    <w:p>
      <w:pPr>
        <w:pStyle w:val="TOC2"/>
        <w:tabs>
          <w:tab w:val="right" w:leader="dot" w:pos="8306"/>
        </w:tabs>
      </w:pPr>
      <w:hyperlink w:anchor="_Toc20981" w:history="1">
        <w:r>
          <w:rPr>
            <w:rFonts w:ascii="仿宋" w:eastAsia="仿宋" w:hAnsi="仿宋" w:cs="仿宋" w:hint="eastAsia"/>
            <w:lang w:eastAsia="zh-CN"/>
          </w:rPr>
          <w:t>(一)、技术方案选用方向</w:t>
        </w:r>
        <w:r>
          <w:tab/>
        </w:r>
        <w:r>
          <w:fldChar w:fldCharType="begin"/>
        </w:r>
        <w:r>
          <w:instrText xml:space="preserve"> PAGEREF _Toc20981 \h </w:instrText>
        </w:r>
        <w:r>
          <w:fldChar w:fldCharType="separate"/>
        </w:r>
        <w:r>
          <w:t>23</w:t>
        </w:r>
        <w:r>
          <w:fldChar w:fldCharType="end"/>
        </w:r>
      </w:hyperlink>
    </w:p>
    <w:p>
      <w:pPr>
        <w:pStyle w:val="TOC2"/>
        <w:tabs>
          <w:tab w:val="right" w:leader="dot" w:pos="8306"/>
        </w:tabs>
      </w:pPr>
      <w:hyperlink w:anchor="_Toc29089" w:history="1">
        <w:r>
          <w:rPr>
            <w:rFonts w:ascii="仿宋" w:eastAsia="仿宋" w:hAnsi="仿宋" w:cs="仿宋" w:hint="eastAsia"/>
            <w:lang w:eastAsia="zh-CN"/>
          </w:rPr>
          <w:t>(二)、工艺技术方案选用原则</w:t>
        </w:r>
        <w:r>
          <w:tab/>
        </w:r>
        <w:r>
          <w:fldChar w:fldCharType="begin"/>
        </w:r>
        <w:r>
          <w:instrText xml:space="preserve"> PAGEREF _Toc29089 \h </w:instrText>
        </w:r>
        <w:r>
          <w:fldChar w:fldCharType="separate"/>
        </w:r>
        <w:r>
          <w:t>25</w:t>
        </w:r>
        <w:r>
          <w:fldChar w:fldCharType="end"/>
        </w:r>
      </w:hyperlink>
    </w:p>
    <w:p>
      <w:pPr>
        <w:pStyle w:val="TOC2"/>
        <w:tabs>
          <w:tab w:val="right" w:leader="dot" w:pos="8306"/>
        </w:tabs>
      </w:pPr>
      <w:hyperlink w:anchor="_Toc8275" w:history="1">
        <w:r>
          <w:rPr>
            <w:rFonts w:ascii="仿宋" w:eastAsia="仿宋" w:hAnsi="仿宋" w:cs="仿宋" w:hint="eastAsia"/>
            <w:lang w:eastAsia="zh-CN"/>
          </w:rPr>
          <w:t>(三)、工艺技术方案要求</w:t>
        </w:r>
        <w:r>
          <w:tab/>
        </w:r>
        <w:r>
          <w:fldChar w:fldCharType="begin"/>
        </w:r>
        <w:r>
          <w:instrText xml:space="preserve"> PAGEREF _Toc8275 \h </w:instrText>
        </w:r>
        <w:r>
          <w:fldChar w:fldCharType="separate"/>
        </w:r>
        <w:r>
          <w:t>27</w:t>
        </w:r>
        <w:r>
          <w:fldChar w:fldCharType="end"/>
        </w:r>
      </w:hyperlink>
    </w:p>
    <w:p>
      <w:pPr>
        <w:pStyle w:val="TOC1"/>
        <w:tabs>
          <w:tab w:val="right" w:leader="dot" w:pos="8306"/>
        </w:tabs>
      </w:pPr>
      <w:hyperlink w:anchor="_Toc25224" w:history="1">
        <w:r>
          <w:rPr>
            <w:rFonts w:ascii="仿宋" w:eastAsia="仿宋" w:hAnsi="仿宋" w:cs="仿宋" w:hint="eastAsia"/>
            <w:lang w:eastAsia="zh-CN"/>
          </w:rPr>
          <w:t>九、植物稳态营养肥料项目财务管理</w:t>
        </w:r>
        <w:r>
          <w:tab/>
        </w:r>
        <w:r>
          <w:fldChar w:fldCharType="begin"/>
        </w:r>
        <w:r>
          <w:instrText xml:space="preserve"> PAGEREF _Toc25224 \h </w:instrText>
        </w:r>
        <w:r>
          <w:fldChar w:fldCharType="separate"/>
        </w:r>
        <w:r>
          <w:t>30</w:t>
        </w:r>
        <w:r>
          <w:fldChar w:fldCharType="end"/>
        </w:r>
      </w:hyperlink>
    </w:p>
    <w:p>
      <w:pPr>
        <w:pStyle w:val="TOC2"/>
        <w:tabs>
          <w:tab w:val="right" w:leader="dot" w:pos="8306"/>
        </w:tabs>
      </w:pPr>
      <w:hyperlink w:anchor="_Toc2745" w:history="1">
        <w:r>
          <w:rPr>
            <w:rFonts w:ascii="仿宋" w:eastAsia="仿宋" w:hAnsi="仿宋" w:cs="仿宋" w:hint="eastAsia"/>
            <w:lang w:eastAsia="zh-CN"/>
          </w:rPr>
          <w:t>(一)、资金需求大</w:t>
        </w:r>
        <w:r>
          <w:tab/>
        </w:r>
        <w:r>
          <w:fldChar w:fldCharType="begin"/>
        </w:r>
        <w:r>
          <w:instrText xml:space="preserve"> PAGEREF _Toc2745 \h </w:instrText>
        </w:r>
        <w:r>
          <w:fldChar w:fldCharType="separate"/>
        </w:r>
        <w:r>
          <w:t>30</w:t>
        </w:r>
        <w:r>
          <w:fldChar w:fldCharType="end"/>
        </w:r>
      </w:hyperlink>
    </w:p>
    <w:p>
      <w:pPr>
        <w:pStyle w:val="TOC2"/>
        <w:tabs>
          <w:tab w:val="right" w:leader="dot" w:pos="8306"/>
        </w:tabs>
      </w:pPr>
      <w:hyperlink w:anchor="_Toc30887" w:history="1">
        <w:r>
          <w:rPr>
            <w:rFonts w:ascii="仿宋" w:eastAsia="仿宋" w:hAnsi="仿宋" w:cs="仿宋" w:hint="eastAsia"/>
            <w:lang w:eastAsia="zh-CN"/>
          </w:rPr>
          <w:t>(二)、研发周期长</w:t>
        </w:r>
        <w:r>
          <w:tab/>
        </w:r>
        <w:r>
          <w:fldChar w:fldCharType="begin"/>
        </w:r>
        <w:r>
          <w:instrText xml:space="preserve"> PAGEREF _Toc30887 \h </w:instrText>
        </w:r>
        <w:r>
          <w:fldChar w:fldCharType="separate"/>
        </w:r>
        <w:r>
          <w:t>31</w:t>
        </w:r>
        <w:r>
          <w:fldChar w:fldCharType="end"/>
        </w:r>
      </w:hyperlink>
    </w:p>
    <w:p>
      <w:pPr>
        <w:pStyle w:val="TOC2"/>
        <w:tabs>
          <w:tab w:val="right" w:leader="dot" w:pos="8306"/>
        </w:tabs>
      </w:pPr>
      <w:hyperlink w:anchor="_Toc8845" w:history="1">
        <w:r>
          <w:rPr>
            <w:rFonts w:ascii="仿宋" w:eastAsia="仿宋" w:hAnsi="仿宋" w:cs="仿宋" w:hint="eastAsia"/>
            <w:lang w:eastAsia="zh-CN"/>
          </w:rPr>
          <w:t>(三)、市场风险大</w:t>
        </w:r>
        <w:r>
          <w:tab/>
        </w:r>
        <w:r>
          <w:fldChar w:fldCharType="begin"/>
        </w:r>
        <w:r>
          <w:instrText xml:space="preserve"> PAGEREF _Toc8845 \h </w:instrText>
        </w:r>
        <w:r>
          <w:fldChar w:fldCharType="separate"/>
        </w:r>
        <w:r>
          <w:t>32</w:t>
        </w:r>
        <w:r>
          <w:fldChar w:fldCharType="end"/>
        </w:r>
      </w:hyperlink>
    </w:p>
    <w:p>
      <w:pPr>
        <w:pStyle w:val="TOC2"/>
        <w:tabs>
          <w:tab w:val="right" w:leader="dot" w:pos="8306"/>
        </w:tabs>
      </w:pPr>
      <w:hyperlink w:anchor="_Toc5180" w:history="1">
        <w:r>
          <w:rPr>
            <w:rFonts w:ascii="仿宋" w:eastAsia="仿宋" w:hAnsi="仿宋" w:cs="仿宋" w:hint="eastAsia"/>
            <w:lang w:eastAsia="zh-CN"/>
          </w:rPr>
          <w:t>(四)、利润率高</w:t>
        </w:r>
        <w:r>
          <w:tab/>
        </w:r>
        <w:r>
          <w:fldChar w:fldCharType="begin"/>
        </w:r>
        <w:r>
          <w:instrText xml:space="preserve"> PAGEREF _Toc5180 \h </w:instrText>
        </w:r>
        <w:r>
          <w:fldChar w:fldCharType="separate"/>
        </w:r>
        <w:r>
          <w:t>35</w:t>
        </w:r>
        <w:r>
          <w:fldChar w:fldCharType="end"/>
        </w:r>
      </w:hyperlink>
    </w:p>
    <w:p>
      <w:pPr>
        <w:pStyle w:val="TOC1"/>
        <w:tabs>
          <w:tab w:val="right" w:leader="dot" w:pos="8306"/>
        </w:tabs>
      </w:pPr>
      <w:hyperlink w:anchor="_Toc20924" w:history="1">
        <w:r>
          <w:rPr>
            <w:rFonts w:ascii="仿宋" w:eastAsia="仿宋" w:hAnsi="仿宋" w:cs="仿宋" w:hint="eastAsia"/>
            <w:lang w:eastAsia="zh-CN"/>
          </w:rPr>
          <w:t>十、植物稳态营养肥料项目经营效益</w:t>
        </w:r>
        <w:r>
          <w:tab/>
        </w:r>
        <w:r>
          <w:fldChar w:fldCharType="begin"/>
        </w:r>
        <w:r>
          <w:instrText xml:space="preserve"> PAGEREF _Toc20924 \h </w:instrText>
        </w:r>
        <w:r>
          <w:fldChar w:fldCharType="separate"/>
        </w:r>
        <w:r>
          <w:t>37</w:t>
        </w:r>
        <w:r>
          <w:fldChar w:fldCharType="end"/>
        </w:r>
      </w:hyperlink>
    </w:p>
    <w:p>
      <w:pPr>
        <w:pStyle w:val="TOC2"/>
        <w:tabs>
          <w:tab w:val="right" w:leader="dot" w:pos="8306"/>
        </w:tabs>
      </w:pPr>
      <w:hyperlink w:anchor="_Toc32639" w:history="1">
        <w:r>
          <w:rPr>
            <w:rFonts w:ascii="仿宋" w:eastAsia="仿宋" w:hAnsi="仿宋" w:cs="仿宋" w:hint="eastAsia"/>
            <w:lang w:eastAsia="zh-CN"/>
          </w:rPr>
          <w:t>(一)、经济评价财务测算</w:t>
        </w:r>
        <w:r>
          <w:tab/>
        </w:r>
        <w:r>
          <w:fldChar w:fldCharType="begin"/>
        </w:r>
        <w:r>
          <w:instrText xml:space="preserve"> PAGEREF _Toc32639 \h </w:instrText>
        </w:r>
        <w:r>
          <w:fldChar w:fldCharType="separate"/>
        </w:r>
        <w:r>
          <w:t>37</w:t>
        </w:r>
        <w:r>
          <w:fldChar w:fldCharType="end"/>
        </w:r>
      </w:hyperlink>
    </w:p>
    <w:p>
      <w:pPr>
        <w:pStyle w:val="TOC2"/>
        <w:tabs>
          <w:tab w:val="right" w:leader="dot" w:pos="8306"/>
        </w:tabs>
      </w:pPr>
      <w:hyperlink w:anchor="_Toc10651" w:history="1">
        <w:r>
          <w:rPr>
            <w:rFonts w:ascii="仿宋" w:eastAsia="仿宋" w:hAnsi="仿宋" w:cs="仿宋" w:hint="eastAsia"/>
            <w:lang w:eastAsia="zh-CN"/>
          </w:rPr>
          <w:t>(二)、植物稳态营养肥料项目盈利能力分析</w:t>
        </w:r>
        <w:r>
          <w:tab/>
        </w:r>
        <w:r>
          <w:fldChar w:fldCharType="begin"/>
        </w:r>
        <w:r>
          <w:instrText xml:space="preserve"> PAGEREF _Toc10651 \h </w:instrText>
        </w:r>
        <w:r>
          <w:fldChar w:fldCharType="separate"/>
        </w:r>
        <w:r>
          <w:t>38</w:t>
        </w:r>
        <w:r>
          <w:fldChar w:fldCharType="end"/>
        </w:r>
      </w:hyperlink>
    </w:p>
    <w:p>
      <w:pPr>
        <w:pStyle w:val="TOC1"/>
        <w:tabs>
          <w:tab w:val="right" w:leader="dot" w:pos="8306"/>
        </w:tabs>
      </w:pPr>
      <w:hyperlink w:anchor="_Toc7818" w:history="1">
        <w:r>
          <w:rPr>
            <w:rFonts w:ascii="仿宋" w:eastAsia="仿宋" w:hAnsi="仿宋" w:cs="仿宋" w:hint="eastAsia"/>
            <w:lang w:eastAsia="zh-CN"/>
          </w:rPr>
          <w:t>十一、植物稳态营养肥料项目计划安排</w:t>
        </w:r>
        <w:r>
          <w:tab/>
        </w:r>
        <w:r>
          <w:fldChar w:fldCharType="begin"/>
        </w:r>
        <w:r>
          <w:instrText xml:space="preserve"> PAGEREF _Toc7818 \h </w:instrText>
        </w:r>
        <w:r>
          <w:fldChar w:fldCharType="separate"/>
        </w:r>
        <w:r>
          <w:t>39</w:t>
        </w:r>
        <w:r>
          <w:fldChar w:fldCharType="end"/>
        </w:r>
      </w:hyperlink>
    </w:p>
    <w:p>
      <w:pPr>
        <w:pStyle w:val="TOC2"/>
        <w:tabs>
          <w:tab w:val="right" w:leader="dot" w:pos="8306"/>
        </w:tabs>
      </w:pPr>
      <w:hyperlink w:anchor="_Toc32166" w:history="1">
        <w:r>
          <w:rPr>
            <w:rFonts w:ascii="仿宋" w:eastAsia="仿宋" w:hAnsi="仿宋" w:cs="仿宋" w:hint="eastAsia"/>
            <w:lang w:eastAsia="zh-CN"/>
          </w:rPr>
          <w:t>(一)、建设周期</w:t>
        </w:r>
        <w:r>
          <w:tab/>
        </w:r>
        <w:r>
          <w:fldChar w:fldCharType="begin"/>
        </w:r>
        <w:r>
          <w:instrText xml:space="preserve"> PAGEREF _Toc32166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69" w:history="1">
        <w:r>
          <w:rPr>
            <w:rFonts w:ascii="仿宋" w:eastAsia="仿宋" w:hAnsi="仿宋" w:cs="仿宋" w:hint="eastAsia"/>
            <w:lang w:eastAsia="zh-CN"/>
          </w:rPr>
          <w:t>(二)、建设进度</w:t>
        </w:r>
        <w:r>
          <w:tab/>
        </w:r>
        <w:r>
          <w:fldChar w:fldCharType="begin"/>
        </w:r>
        <w:r>
          <w:instrText xml:space="preserve"> PAGEREF _Toc8069 \h </w:instrText>
        </w:r>
        <w:r>
          <w:fldChar w:fldCharType="separate"/>
        </w:r>
        <w:r>
          <w:t>40</w:t>
        </w:r>
        <w:r>
          <w:fldChar w:fldCharType="end"/>
        </w:r>
      </w:hyperlink>
    </w:p>
    <w:p>
      <w:pPr>
        <w:pStyle w:val="TOC2"/>
        <w:tabs>
          <w:tab w:val="right" w:leader="dot" w:pos="8306"/>
        </w:tabs>
      </w:pPr>
      <w:hyperlink w:anchor="_Toc20862" w:history="1">
        <w:r>
          <w:rPr>
            <w:rFonts w:ascii="仿宋" w:eastAsia="仿宋" w:hAnsi="仿宋" w:cs="仿宋" w:hint="eastAsia"/>
            <w:lang w:eastAsia="zh-CN"/>
          </w:rPr>
          <w:t>(三)、进度安排注意事项</w:t>
        </w:r>
        <w:r>
          <w:tab/>
        </w:r>
        <w:r>
          <w:fldChar w:fldCharType="begin"/>
        </w:r>
        <w:r>
          <w:instrText xml:space="preserve"> PAGEREF _Toc20862 \h </w:instrText>
        </w:r>
        <w:r>
          <w:fldChar w:fldCharType="separate"/>
        </w:r>
        <w:r>
          <w:t>41</w:t>
        </w:r>
        <w:r>
          <w:fldChar w:fldCharType="end"/>
        </w:r>
      </w:hyperlink>
    </w:p>
    <w:p>
      <w:pPr>
        <w:pStyle w:val="TOC2"/>
        <w:tabs>
          <w:tab w:val="right" w:leader="dot" w:pos="8306"/>
        </w:tabs>
      </w:pPr>
      <w:hyperlink w:anchor="_Toc13635" w:history="1">
        <w:r>
          <w:rPr>
            <w:rFonts w:ascii="仿宋" w:eastAsia="仿宋" w:hAnsi="仿宋" w:cs="仿宋" w:hint="eastAsia"/>
            <w:lang w:eastAsia="zh-CN"/>
          </w:rPr>
          <w:t>(四)、人力资源配置</w:t>
        </w:r>
        <w:r>
          <w:tab/>
        </w:r>
        <w:r>
          <w:fldChar w:fldCharType="begin"/>
        </w:r>
        <w:r>
          <w:instrText xml:space="preserve"> PAGEREF _Toc13635 \h </w:instrText>
        </w:r>
        <w:r>
          <w:fldChar w:fldCharType="separate"/>
        </w:r>
        <w:r>
          <w:t>43</w:t>
        </w:r>
        <w:r>
          <w:fldChar w:fldCharType="end"/>
        </w:r>
      </w:hyperlink>
    </w:p>
    <w:p>
      <w:pPr>
        <w:pStyle w:val="TOC1"/>
        <w:tabs>
          <w:tab w:val="right" w:leader="dot" w:pos="8306"/>
        </w:tabs>
      </w:pPr>
      <w:hyperlink w:anchor="_Toc7060" w:history="1">
        <w:r>
          <w:rPr>
            <w:rFonts w:ascii="仿宋" w:eastAsia="仿宋" w:hAnsi="仿宋" w:cs="仿宋" w:hint="eastAsia"/>
            <w:lang w:eastAsia="zh-CN"/>
          </w:rPr>
          <w:t>十二、植物稳态营养肥料项目人力资源培养与发展</w:t>
        </w:r>
        <w:r>
          <w:tab/>
        </w:r>
        <w:r>
          <w:fldChar w:fldCharType="begin"/>
        </w:r>
        <w:r>
          <w:instrText xml:space="preserve"> PAGEREF _Toc7060 \h </w:instrText>
        </w:r>
        <w:r>
          <w:fldChar w:fldCharType="separate"/>
        </w:r>
        <w:r>
          <w:t>43</w:t>
        </w:r>
        <w:r>
          <w:fldChar w:fldCharType="end"/>
        </w:r>
      </w:hyperlink>
    </w:p>
    <w:p>
      <w:pPr>
        <w:pStyle w:val="TOC2"/>
        <w:tabs>
          <w:tab w:val="right" w:leader="dot" w:pos="8306"/>
        </w:tabs>
      </w:pPr>
      <w:hyperlink w:anchor="_Toc30641" w:history="1">
        <w:r>
          <w:rPr>
            <w:rFonts w:ascii="仿宋" w:eastAsia="仿宋" w:hAnsi="仿宋" w:cs="仿宋" w:hint="eastAsia"/>
            <w:lang w:eastAsia="zh-CN"/>
          </w:rPr>
          <w:t>(一)、人才需求与规划</w:t>
        </w:r>
        <w:r>
          <w:tab/>
        </w:r>
        <w:r>
          <w:fldChar w:fldCharType="begin"/>
        </w:r>
        <w:r>
          <w:instrText xml:space="preserve"> PAGEREF _Toc30641 \h </w:instrText>
        </w:r>
        <w:r>
          <w:fldChar w:fldCharType="separate"/>
        </w:r>
        <w:r>
          <w:t>43</w:t>
        </w:r>
        <w:r>
          <w:fldChar w:fldCharType="end"/>
        </w:r>
      </w:hyperlink>
    </w:p>
    <w:p>
      <w:pPr>
        <w:pStyle w:val="TOC2"/>
        <w:tabs>
          <w:tab w:val="right" w:leader="dot" w:pos="8306"/>
        </w:tabs>
      </w:pPr>
      <w:hyperlink w:anchor="_Toc10846" w:history="1">
        <w:r>
          <w:rPr>
            <w:rFonts w:ascii="仿宋" w:eastAsia="仿宋" w:hAnsi="仿宋" w:cs="仿宋" w:hint="eastAsia"/>
            <w:lang w:eastAsia="zh-CN"/>
          </w:rPr>
          <w:t>(二)、培训与发展计划</w:t>
        </w:r>
        <w:r>
          <w:tab/>
        </w:r>
        <w:r>
          <w:fldChar w:fldCharType="begin"/>
        </w:r>
        <w:r>
          <w:instrText xml:space="preserve"> PAGEREF _Toc10846 \h </w:instrText>
        </w:r>
        <w:r>
          <w:fldChar w:fldCharType="separate"/>
        </w:r>
        <w:r>
          <w:t>44</w:t>
        </w:r>
        <w:r>
          <w:fldChar w:fldCharType="end"/>
        </w:r>
      </w:hyperlink>
    </w:p>
    <w:p>
      <w:pPr>
        <w:pStyle w:val="TOC1"/>
        <w:tabs>
          <w:tab w:val="right" w:leader="dot" w:pos="8306"/>
        </w:tabs>
      </w:pPr>
      <w:hyperlink w:anchor="_Toc8384" w:history="1">
        <w:r>
          <w:rPr>
            <w:rFonts w:ascii="仿宋" w:eastAsia="仿宋" w:hAnsi="仿宋" w:cs="仿宋" w:hint="eastAsia"/>
            <w:lang w:eastAsia="zh-CN"/>
          </w:rPr>
          <w:t>十三、供应链管理</w:t>
        </w:r>
        <w:r>
          <w:tab/>
        </w:r>
        <w:r>
          <w:fldChar w:fldCharType="begin"/>
        </w:r>
        <w:r>
          <w:instrText xml:space="preserve"> PAGEREF _Toc8384 \h </w:instrText>
        </w:r>
        <w:r>
          <w:fldChar w:fldCharType="separate"/>
        </w:r>
        <w:r>
          <w:t>44</w:t>
        </w:r>
        <w:r>
          <w:fldChar w:fldCharType="end"/>
        </w:r>
      </w:hyperlink>
    </w:p>
    <w:p>
      <w:pPr>
        <w:pStyle w:val="TOC2"/>
        <w:tabs>
          <w:tab w:val="right" w:leader="dot" w:pos="8306"/>
        </w:tabs>
      </w:pPr>
      <w:hyperlink w:anchor="_Toc10254" w:history="1">
        <w:r>
          <w:rPr>
            <w:rFonts w:ascii="仿宋" w:eastAsia="仿宋" w:hAnsi="仿宋" w:cs="仿宋" w:hint="eastAsia"/>
            <w:lang w:eastAsia="zh-CN"/>
          </w:rPr>
          <w:t>(一)、供应链战略规划</w:t>
        </w:r>
        <w:r>
          <w:tab/>
        </w:r>
        <w:r>
          <w:fldChar w:fldCharType="begin"/>
        </w:r>
        <w:r>
          <w:instrText xml:space="preserve"> PAGEREF _Toc10254 \h </w:instrText>
        </w:r>
        <w:r>
          <w:fldChar w:fldCharType="separate"/>
        </w:r>
        <w:r>
          <w:t>44</w:t>
        </w:r>
        <w:r>
          <w:fldChar w:fldCharType="end"/>
        </w:r>
      </w:hyperlink>
    </w:p>
    <w:p>
      <w:pPr>
        <w:pStyle w:val="TOC2"/>
        <w:tabs>
          <w:tab w:val="right" w:leader="dot" w:pos="8306"/>
        </w:tabs>
      </w:pPr>
      <w:hyperlink w:anchor="_Toc20923" w:history="1">
        <w:r>
          <w:rPr>
            <w:rFonts w:ascii="仿宋" w:eastAsia="仿宋" w:hAnsi="仿宋" w:cs="仿宋" w:hint="eastAsia"/>
            <w:lang w:eastAsia="zh-CN"/>
          </w:rPr>
          <w:t>(二)、供应商选择与合作</w:t>
        </w:r>
        <w:r>
          <w:tab/>
        </w:r>
        <w:r>
          <w:fldChar w:fldCharType="begin"/>
        </w:r>
        <w:r>
          <w:instrText xml:space="preserve"> PAGEREF _Toc20923 \h </w:instrText>
        </w:r>
        <w:r>
          <w:fldChar w:fldCharType="separate"/>
        </w:r>
        <w:r>
          <w:t>46</w:t>
        </w:r>
        <w:r>
          <w:fldChar w:fldCharType="end"/>
        </w:r>
      </w:hyperlink>
    </w:p>
    <w:p>
      <w:pPr>
        <w:pStyle w:val="TOC2"/>
        <w:tabs>
          <w:tab w:val="right" w:leader="dot" w:pos="8306"/>
        </w:tabs>
      </w:pPr>
      <w:hyperlink w:anchor="_Toc22814" w:history="1">
        <w:r>
          <w:rPr>
            <w:rFonts w:ascii="仿宋" w:eastAsia="仿宋" w:hAnsi="仿宋" w:cs="仿宋" w:hint="eastAsia"/>
            <w:lang w:eastAsia="zh-CN"/>
          </w:rPr>
          <w:t>(三)、物流与库存管理</w:t>
        </w:r>
        <w:r>
          <w:tab/>
        </w:r>
        <w:r>
          <w:fldChar w:fldCharType="begin"/>
        </w:r>
        <w:r>
          <w:instrText xml:space="preserve"> PAGEREF _Toc22814 \h </w:instrText>
        </w:r>
        <w:r>
          <w:fldChar w:fldCharType="separate"/>
        </w:r>
        <w:r>
          <w:t>47</w:t>
        </w:r>
        <w:r>
          <w:fldChar w:fldCharType="end"/>
        </w:r>
      </w:hyperlink>
    </w:p>
    <w:p>
      <w:pPr>
        <w:pStyle w:val="TOC1"/>
        <w:tabs>
          <w:tab w:val="right" w:leader="dot" w:pos="8306"/>
        </w:tabs>
      </w:pPr>
      <w:hyperlink w:anchor="_Toc11298" w:history="1">
        <w:r>
          <w:rPr>
            <w:rFonts w:ascii="仿宋" w:eastAsia="仿宋" w:hAnsi="仿宋" w:cs="仿宋" w:hint="eastAsia"/>
            <w:lang w:eastAsia="zh-CN"/>
          </w:rPr>
          <w:t>十四、植物稳态营养肥料项目实施保障措施</w:t>
        </w:r>
        <w:r>
          <w:tab/>
        </w:r>
        <w:r>
          <w:fldChar w:fldCharType="begin"/>
        </w:r>
        <w:r>
          <w:instrText xml:space="preserve"> PAGEREF _Toc11298 \h </w:instrText>
        </w:r>
        <w:r>
          <w:fldChar w:fldCharType="separate"/>
        </w:r>
        <w:r>
          <w:t>49</w:t>
        </w:r>
        <w:r>
          <w:fldChar w:fldCharType="end"/>
        </w:r>
      </w:hyperlink>
    </w:p>
    <w:p>
      <w:pPr>
        <w:pStyle w:val="TOC2"/>
        <w:tabs>
          <w:tab w:val="right" w:leader="dot" w:pos="8306"/>
        </w:tabs>
      </w:pPr>
      <w:hyperlink w:anchor="_Toc21560" w:history="1">
        <w:r>
          <w:rPr>
            <w:rFonts w:ascii="仿宋" w:eastAsia="仿宋" w:hAnsi="仿宋" w:cs="仿宋" w:hint="eastAsia"/>
            <w:lang w:eastAsia="zh-CN"/>
          </w:rPr>
          <w:t>(一)、植物稳态营养肥料项目实施保障机制</w:t>
        </w:r>
        <w:r>
          <w:tab/>
        </w:r>
        <w:r>
          <w:fldChar w:fldCharType="begin"/>
        </w:r>
        <w:r>
          <w:instrText xml:space="preserve"> PAGEREF _Toc21560 \h </w:instrText>
        </w:r>
        <w:r>
          <w:fldChar w:fldCharType="separate"/>
        </w:r>
        <w:r>
          <w:t>49</w:t>
        </w:r>
        <w:r>
          <w:fldChar w:fldCharType="end"/>
        </w:r>
      </w:hyperlink>
    </w:p>
    <w:p>
      <w:pPr>
        <w:pStyle w:val="TOC2"/>
        <w:tabs>
          <w:tab w:val="right" w:leader="dot" w:pos="8306"/>
        </w:tabs>
      </w:pPr>
      <w:hyperlink w:anchor="_Toc8834" w:history="1">
        <w:r>
          <w:rPr>
            <w:rFonts w:ascii="仿宋" w:eastAsia="仿宋" w:hAnsi="仿宋" w:cs="仿宋" w:hint="eastAsia"/>
            <w:lang w:eastAsia="zh-CN"/>
          </w:rPr>
          <w:t>(二)、植物稳态营养肥料项目法律合规要求</w:t>
        </w:r>
        <w:r>
          <w:tab/>
        </w:r>
        <w:r>
          <w:fldChar w:fldCharType="begin"/>
        </w:r>
        <w:r>
          <w:instrText xml:space="preserve"> PAGEREF _Toc8834 \h </w:instrText>
        </w:r>
        <w:r>
          <w:fldChar w:fldCharType="separate"/>
        </w:r>
        <w:r>
          <w:t>52</w:t>
        </w:r>
        <w:r>
          <w:fldChar w:fldCharType="end"/>
        </w:r>
      </w:hyperlink>
    </w:p>
    <w:p>
      <w:pPr>
        <w:pStyle w:val="TOC2"/>
        <w:tabs>
          <w:tab w:val="right" w:leader="dot" w:pos="8306"/>
        </w:tabs>
      </w:pPr>
      <w:hyperlink w:anchor="_Toc9780" w:history="1">
        <w:r>
          <w:rPr>
            <w:rFonts w:ascii="仿宋" w:eastAsia="仿宋" w:hAnsi="仿宋" w:cs="仿宋" w:hint="eastAsia"/>
            <w:lang w:eastAsia="zh-CN"/>
          </w:rPr>
          <w:t>(三)、植物稳态营养肥料项目合同管理与法律事务</w:t>
        </w:r>
        <w:r>
          <w:tab/>
        </w:r>
        <w:r>
          <w:fldChar w:fldCharType="begin"/>
        </w:r>
        <w:r>
          <w:instrText xml:space="preserve"> PAGEREF _Toc9780 \h </w:instrText>
        </w:r>
        <w:r>
          <w:fldChar w:fldCharType="separate"/>
        </w:r>
        <w:r>
          <w:t>57</w:t>
        </w:r>
        <w:r>
          <w:fldChar w:fldCharType="end"/>
        </w:r>
      </w:hyperlink>
    </w:p>
    <w:p>
      <w:pPr>
        <w:pStyle w:val="TOC2"/>
        <w:tabs>
          <w:tab w:val="right" w:leader="dot" w:pos="8306"/>
        </w:tabs>
      </w:pPr>
      <w:hyperlink w:anchor="_Toc18654" w:history="1">
        <w:r>
          <w:rPr>
            <w:rFonts w:ascii="仿宋" w:eastAsia="仿宋" w:hAnsi="仿宋" w:cs="仿宋" w:hint="eastAsia"/>
            <w:lang w:eastAsia="zh-CN"/>
          </w:rPr>
          <w:t>(四)、植物稳态营养肥料项目知识产权保护策略</w:t>
        </w:r>
        <w:r>
          <w:tab/>
        </w:r>
        <w:r>
          <w:fldChar w:fldCharType="begin"/>
        </w:r>
        <w:r>
          <w:instrText xml:space="preserve"> PAGEREF _Toc18654 \h </w:instrText>
        </w:r>
        <w:r>
          <w:fldChar w:fldCharType="separate"/>
        </w:r>
        <w:r>
          <w:t>63</w:t>
        </w:r>
        <w:r>
          <w:fldChar w:fldCharType="end"/>
        </w:r>
      </w:hyperlink>
    </w:p>
    <w:p>
      <w:pPr>
        <w:pStyle w:val="TOC1"/>
        <w:tabs>
          <w:tab w:val="right" w:leader="dot" w:pos="8306"/>
        </w:tabs>
      </w:pPr>
      <w:hyperlink w:anchor="_Toc11084" w:history="1">
        <w:r>
          <w:rPr>
            <w:rFonts w:ascii="仿宋" w:eastAsia="仿宋" w:hAnsi="仿宋" w:cs="仿宋" w:hint="eastAsia"/>
            <w:lang w:eastAsia="zh-CN"/>
          </w:rPr>
          <w:t>十五、植物稳态营养肥料项目工程方案分析</w:t>
        </w:r>
        <w:r>
          <w:tab/>
        </w:r>
        <w:r>
          <w:fldChar w:fldCharType="begin"/>
        </w:r>
        <w:r>
          <w:instrText xml:space="preserve"> PAGEREF _Toc11084 \h </w:instrText>
        </w:r>
        <w:r>
          <w:fldChar w:fldCharType="separate"/>
        </w:r>
        <w:r>
          <w:t>66</w:t>
        </w:r>
        <w:r>
          <w:fldChar w:fldCharType="end"/>
        </w:r>
      </w:hyperlink>
    </w:p>
    <w:p>
      <w:pPr>
        <w:pStyle w:val="TOC2"/>
        <w:tabs>
          <w:tab w:val="right" w:leader="dot" w:pos="8306"/>
        </w:tabs>
      </w:pPr>
      <w:hyperlink w:anchor="_Toc27054" w:history="1">
        <w:r>
          <w:rPr>
            <w:rFonts w:ascii="仿宋" w:eastAsia="仿宋" w:hAnsi="仿宋" w:cs="仿宋" w:hint="eastAsia"/>
            <w:lang w:eastAsia="zh-CN"/>
          </w:rPr>
          <w:t>(一)、建筑工程设计原则</w:t>
        </w:r>
        <w:r>
          <w:tab/>
        </w:r>
        <w:r>
          <w:fldChar w:fldCharType="begin"/>
        </w:r>
        <w:r>
          <w:instrText xml:space="preserve"> PAGEREF _Toc27054 \h </w:instrText>
        </w:r>
        <w:r>
          <w:fldChar w:fldCharType="separate"/>
        </w:r>
        <w:r>
          <w:t>66</w:t>
        </w:r>
        <w:r>
          <w:fldChar w:fldCharType="end"/>
        </w:r>
      </w:hyperlink>
    </w:p>
    <w:p>
      <w:pPr>
        <w:pStyle w:val="TOC2"/>
        <w:tabs>
          <w:tab w:val="right" w:leader="dot" w:pos="8306"/>
        </w:tabs>
      </w:pPr>
      <w:hyperlink w:anchor="_Toc28344" w:history="1">
        <w:r>
          <w:rPr>
            <w:rFonts w:ascii="仿宋" w:eastAsia="仿宋" w:hAnsi="仿宋" w:cs="仿宋" w:hint="eastAsia"/>
            <w:lang w:eastAsia="zh-CN"/>
          </w:rPr>
          <w:t>(二)、土建工程建设指标</w:t>
        </w:r>
        <w:r>
          <w:tab/>
        </w:r>
        <w:r>
          <w:fldChar w:fldCharType="begin"/>
        </w:r>
        <w:r>
          <w:instrText xml:space="preserve"> PAGEREF _Toc28344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62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9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植物稳态营养肥料项目的主要产品是XXXX，预计年产值为XXX万元。这一产品在市场中占据着重要的地位，其广泛的应用范围使得该植物稳态营养肥料项目的市场前景非常广阔。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植物稳态营养肥料项目的xxx产品作为重要的原材料之一，将在多个领域发挥关键作用。其在建筑、交通、能源等方面的广泛应用将为整个产业链提供强大的支持，形成产业协同效应。植物稳态营养肥料项目的年产值XXX万XXX万XXX万万元不仅反映了其在市场上的巨大潜力，更预示着它对国民经济的积极贡献。这种关联度高、涉及面广的产业关系，使得该植物稳态营养肥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84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总征地面积为XXXX平方米，相当于约XX.XX亩，其中净用地面积为XXXX平方米，红线范围内相当于约XX.XX亩。这一用地规模充分考虑了植物稳态营养肥料项目的建设需求，保障了植物稳态营养肥料项目在合适的空间内得以充分发展。植物稳态营养肥料项目规划的总建筑面积为XXXX平方米，其中主体工程建设占XXXX平方米，计容建筑面积达XXXX平方米。预计建筑工程的投资将达到XXXX万元，为植物稳态营养肥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计划购置的设备共计XXXX台（套），设备购置费用为XXXX万元。这一设备购置计划充分考虑到植物稳态营养肥料项目的生产需求和技术要求，确保了植物稳态营养肥料项目在生产运营中具备先进的技术装备和高效的生产能力。设备的合理配置将为植物稳态营养肥料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计划总投资为XXXX万元，预计年实现营业收入为XXXX万元。这一产能规模的设定旨在确保植物稳态营养肥料项目能够在投资与回报之间取得平衡，实现长期可持续的发展。植物稳态营养肥料项目的总投资充分考虑到各个方面的需求，包括用地建设、设备购置等多个环节，以确保植物稳态营养肥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040"/>
      <w:r>
        <w:rPr>
          <w:rFonts w:ascii="仿宋" w:eastAsia="仿宋" w:hAnsi="仿宋" w:cs="仿宋" w:hint="eastAsia"/>
          <w:sz w:val="28"/>
          <w:lang w:eastAsia="zh-CN"/>
        </w:rPr>
        <w:t>二、植物稳态营养肥料项目建设背景及必要性分析</w:t>
      </w:r>
      <w:bookmarkEnd w:id="5"/>
    </w:p>
    <w:p>
      <w:pPr>
        <w:pStyle w:val="Heading2"/>
        <w:rPr>
          <w:rFonts w:ascii="仿宋" w:eastAsia="仿宋" w:hAnsi="仿宋" w:cs="仿宋" w:hint="eastAsia"/>
          <w:lang w:eastAsia="zh-CN"/>
        </w:rPr>
      </w:pPr>
      <w:bookmarkStart w:id="6" w:name="_Toc31074"/>
      <w:r>
        <w:rPr>
          <w:rFonts w:ascii="仿宋" w:eastAsia="仿宋" w:hAnsi="仿宋" w:cs="仿宋" w:hint="eastAsia"/>
          <w:lang w:eastAsia="zh-CN"/>
        </w:rPr>
        <w:t>(一)、植物稳态营养肥料项目背景分析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植物稳态营养肥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植物稳态营养肥料项目在这个潮流中的定位。同时，我们将关注行业内涌现的新兴机遇，以便植物稳态营养肥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植物稳态营养肥料项目提供了强大的发展动力。我们将聚焦于行业内最新的技术发展趋势，包括但不限于人工智能、大数据分析、物联网等领域。通过深度的技术研究，我们将确保植物稳态营养肥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植物稳态营养肥料项目发展的源泉。我们将投入更多的精力对市场需求进行深入剖析，超越表面的需求，深入挖掘潜在的市场痛点和机遇。通过对市场需求的细致了解，植物稳态营养肥料项目将更有针对性地设计解决方案，满足市场的多样化需求，从而更好地促进植物稳态营养肥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植物稳态营养肥料项目战略至关重要。我们将对竞争态势进行更为深入的分析，包括但不限于市场份额、产品特点、客户满意度等多个维度。通过深度的竞争分析，植物稳态营养肥料项目将能够更准确地把握市场脉搏，制定具有竞争力的植物稳态营养肥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植物稳态营养肥料项目的发展具有直接的影响。我们将进行更为全面的法规和政策分析，了解行业发展中的潜在法律风险和合规挑战。通过充分了解和遵守相关法规，植物稳态营养肥料项目将确保在法律框架内合法合规运营，为植物稳态营养肥料项目的稳健发展提供有力支持。</w:t>
      </w:r>
    </w:p>
    <w:p>
      <w:pPr>
        <w:pStyle w:val="Heading2"/>
        <w:ind w:firstLine="560" w:firstLineChars="200"/>
        <w:rPr>
          <w:rFonts w:ascii="仿宋" w:eastAsia="仿宋" w:hAnsi="仿宋" w:cs="仿宋" w:hint="eastAsia"/>
          <w:sz w:val="28"/>
          <w:lang w:eastAsia="zh-CN"/>
        </w:rPr>
      </w:pPr>
      <w:bookmarkStart w:id="7" w:name="_Toc18978"/>
      <w:r>
        <w:rPr>
          <w:rFonts w:ascii="仿宋" w:eastAsia="仿宋" w:hAnsi="仿宋" w:cs="仿宋" w:hint="eastAsia"/>
          <w:sz w:val="28"/>
          <w:lang w:eastAsia="zh-CN"/>
        </w:rPr>
        <w:t>(二)、植物稳态营养肥料项目建设必要性分析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建设的迫切性源于对行业发展趋势的深刻洞察。我们正处于一个行业变革的时代，科技创新、数字化转型成为企业发展的关键动力。植物稳态营养肥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建设不仅仅是为了跟上潮流，更是为了通过技术创新推动企业的持续发展。通过引入先进的技术和解决方案，植物稳态营养肥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植物稳态营养肥料项目的建设成为必然选择，通过提高产品质量、拓展服务领域，从而在竞争中获得更多的机会。植物稳态营养肥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植物稳态营养肥料项目建设的必要性体现在对客户需求更精准的满足。通过植物稳态营养肥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建设的背后是对企业持续创新的追求。只有通过不断创新，企业才能在竞争中立于不败之地。植物稳态营养肥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2390"/>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5054"/>
      <w:r>
        <w:rPr>
          <w:rFonts w:ascii="仿宋" w:eastAsia="仿宋" w:hAnsi="仿宋" w:cs="仿宋" w:hint="eastAsia"/>
          <w:lang w:eastAsia="zh-CN"/>
        </w:rPr>
        <w:t>(一)、植物稳态营养肥料行业分析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行业一直以来都是市场的关注焦点。行业内的发展趋势、竞争态势以及潜在机会都对植物稳态营养肥料项目的推进产生深远的影响。通过深入研究行业的整体概貌，我们将更好地理解行业的核心特征，为植物稳态营养肥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稳态营养肥料行业，技术一直是推动创新和发展的关键因素。我们将对当前技术趋势进行详尽分析，包括但不限于人工智能、大数据应用、先进制造技术等。这有助于植物稳态营养肥料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植物稳态营养肥料项目成功的基础。我们将对主要竞争对手进行深入研究，包括其市场份额、产品特点、市场定位等。通过全面了解竞争对手的优势和劣势，植物稳态营养肥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108"/>
      <w:r>
        <w:rPr>
          <w:rFonts w:ascii="仿宋" w:eastAsia="仿宋" w:hAnsi="仿宋" w:cs="仿宋" w:hint="eastAsia"/>
          <w:sz w:val="28"/>
          <w:lang w:eastAsia="zh-CN"/>
        </w:rPr>
        <w:t>(二)、植物稳态营养肥料市场分析预测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植物稳态营养肥料市场未来的增长趋势。这包括市场的整体规模、各细分领域的发展趋势等。植物稳态营养肥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植物稳态营养肥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植物稳态营养肥料项目实施过程中需要充分考虑的因素。我们将对市场风险进行全面评估，包括但不限于政策法规风险、市场竞争风险、技术变革风险等。通过对潜在风险的深入分析，植物稳态营养肥料项目可以制定相应的风险缓解策略，降低不确定性对植物稳态营养肥料项目的影响。</w:t>
      </w:r>
    </w:p>
    <w:p>
      <w:pPr>
        <w:pStyle w:val="Heading1"/>
        <w:ind w:firstLine="560" w:firstLineChars="200"/>
        <w:rPr>
          <w:rFonts w:ascii="仿宋" w:eastAsia="仿宋" w:hAnsi="仿宋" w:cs="仿宋" w:hint="eastAsia"/>
          <w:sz w:val="28"/>
          <w:lang w:eastAsia="zh-CN"/>
        </w:rPr>
      </w:pPr>
      <w:bookmarkStart w:id="11" w:name="_Toc27746"/>
      <w:r>
        <w:rPr>
          <w:rFonts w:ascii="仿宋" w:eastAsia="仿宋" w:hAnsi="仿宋" w:cs="仿宋" w:hint="eastAsia"/>
          <w:sz w:val="28"/>
          <w:lang w:eastAsia="zh-CN"/>
        </w:rPr>
        <w:t>四、植物稳态营养肥料项目概论</w:t>
      </w:r>
      <w:bookmarkEnd w:id="11"/>
    </w:p>
    <w:p>
      <w:pPr>
        <w:pStyle w:val="Heading2"/>
        <w:rPr>
          <w:rFonts w:ascii="仿宋" w:eastAsia="仿宋" w:hAnsi="仿宋" w:cs="仿宋" w:hint="eastAsia"/>
          <w:lang w:eastAsia="zh-CN"/>
        </w:rPr>
      </w:pPr>
      <w:bookmarkStart w:id="12" w:name="_Toc25474"/>
      <w:r>
        <w:rPr>
          <w:rFonts w:ascii="仿宋" w:eastAsia="仿宋" w:hAnsi="仿宋" w:cs="仿宋" w:hint="eastAsia"/>
          <w:lang w:eastAsia="zh-CN"/>
        </w:rPr>
        <w:t>(一)、植物稳态营养肥料项目概况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的起源追溯至对市场的深入洞察。市场的不断演变与变革为植物稳态营养肥料项目提供了难得的机遇。当前市场存在的需求缺口和变革的大环境共同构成了植物稳态营养肥料项目的背景。这个植物稳态营养肥料项目旨在充分利用市场机遇，填补行业中尚未满足的需求，为客户提供全新的解决方案。市场的变革和需求的增长使得这个植物稳态营养肥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植物稳态营养肥料项目名称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正式命名为植物稳态营养肥料。这个名称不仅仅是一个标识，更代表了植物稳态营养肥料项目的核心理念和愿景。它蕴含着植物稳态营养肥料项目所要解决问题的关键字，具有强烈的表达和辨识度，为植物稳态营养肥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植物稳态营养肥料项目目标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的核心目标是提供一种全新、高效的解决方案，满足客户日益增长的需求。植物稳态营养肥料项目追求的不仅仅是满足市场需求，更是在市场中获得卓越的竞争优势。通过不断提升产品或服务的质量和创新水平，植物稳态营养肥料项目旨在成为行业中的领军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1.4 植物稳态营养肥料项目范围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全面涵盖了产品研发、制造、市场推广和售后服务，确保从产品设计到最终用户体验的全方位关注。这一全面的植物稳态营养肥料项目范围是为了确保植物稳态营养肥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植物稳态营养肥料项目时间表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植物稳态营养肥料项目计划在未来18个月内完成，包括研发、测试、市场试点和正式推出等不同阶段。这个时间表的合理设计是为了确保植物稳态营养肥料项目各个阶段的顺利推进，以便按时交付高质量的成果。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植物稳态营养肥料项目预算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总预算估算为XX百万美元，主要分配在研发、市场推广、人员培训和运营等方面。这一充足的预算为植物稳态营养肥料项目提供了充足的资源，确保植物稳态营养肥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植物稳态营养肥料项目风险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可能面临的风险包括市场接受度低、技术难题、竞争激烈等。植物稳态营养肥料项目团队已经制定了相应的风险应对计划，通过前瞻性的风险管理，确保植物稳态营养肥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植物稳态营养肥料项目团队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植物稳态营养肥料项目汇聚了一支经验丰富、多领域专业素养的核心团队，确保植物稳态营养肥料项目在各个方面都能拥有高水平的执行力。团队的协同作战是植物稳态营养肥料项目成功的关键因素之一。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植物稳态营养肥料项目背景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植物稳态营养肥料项目的背景根植于市场对更高效、创新产品的渴望，同时也受到科技发展对行业格局的深刻改变的影响。这为植物稳态营养肥料项目提供了广阔的发展空间和市场需求。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植物稳态营养肥料项目现状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截至目前，植物稳态营养肥料项目已完成市场调研和技术验证，取得了初步的成功。这为植物稳态营养肥料项目在未来的发展奠定了坚实的基础，为更远大的目标打下了坚实的基石。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6684"/>
      <w:r>
        <w:rPr>
          <w:rFonts w:ascii="仿宋" w:eastAsia="仿宋" w:hAnsi="仿宋" w:cs="仿宋" w:hint="eastAsia"/>
          <w:sz w:val="28"/>
          <w:lang w:eastAsia="zh-CN"/>
        </w:rPr>
        <w:t>(二)、植物稳态营养肥料项目目标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植物稳态营养肥料项目首要业务目标是在市场中占据有利地位，实现产品/服务的成功推广和销售。通过不断提升产品质量、创新性，植物稳态营养肥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在科技迅速发展的时代，植物稳态营养肥料项目着眼于技术创新。通过持续的研发和技术升级，植物稳态营养肥料项目旨在推出更具创新性的产品或服务，以满足市场对新鲜、先进解决方案的需求。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植物稳态营养肥料项目设定了客户满意度目标。通过提供卓越的产品质量和优质的客户服务，植物稳态营养肥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植物稳态营养肥料项目注重社会责任和可持续发展。通过实施环保、社会责任植物稳态营养肥料项目，植物稳态营养肥料项目致力于在经济发展的同时保护环境，促进社会公平，实现可持续经营。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植物稳态营养肥料项目的团队是实现目标的核心驱动力。因此，植物稳态营养肥料项目设定了团队发展目标，包括提升团队成员的专业技能、培养领导力，以及搭建协同高效的团队工作氛围。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0046"/>
      <w:r>
        <w:rPr>
          <w:rFonts w:ascii="仿宋" w:eastAsia="仿宋" w:hAnsi="仿宋" w:cs="仿宋" w:hint="eastAsia"/>
          <w:sz w:val="28"/>
          <w:lang w:eastAsia="zh-CN"/>
        </w:rPr>
        <w:t>(三)、植物稳态营养肥料项目提出的理由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植物稳态营养肥料项目提出的理由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的提出源于对市场机遇的深刻洞察。当前市场中存在的需求缺口和行业发展趋势表明，有巨大的商业机会等待被开发。通过准确捕捉市场机遇，植物稳态营养肥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的理念基于对技术创新的信仰。通过持续的研发和技术投入，植物稳态营养肥料项目有望推出更具创新性的产品或服务。在科技飞速发展的当下，植物稳态营养肥料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的提出是为了增强企业的行业竞争力。通过提升产品或服务的质量和独特性，植物稳态营养肥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响应了消费者需求的变化。随着社会和科技的不断发展，消费者对产品和服务的需求也在发生变化。通过深入了解并及时回应消费者的新需求，植物稳态营养肥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的提出是企业战略发展规划的一部分。在面对日益激烈的市场竞争和不断变化的商业环境中，植物稳态营养肥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的提出不仅仅是基于商业考量，还注重社会责任。通过推出环保、社会责任等方面的植物稳态营养肥料项目，植物稳态营养肥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植物稳态营养肥料项目的提出反映了对利益相关者期望的关注。包括客户、员工、投资者等利益相关者在企业发展中都有着各自的期望，植物稳态营养肥料项目力求在满足这些期望的同时，取得更大的共赢。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6085"/>
      <w:r>
        <w:rPr>
          <w:rFonts w:ascii="仿宋" w:eastAsia="仿宋" w:hAnsi="仿宋" w:cs="仿宋" w:hint="eastAsia"/>
          <w:sz w:val="28"/>
          <w:lang w:eastAsia="zh-CN"/>
        </w:rPr>
        <w:t>(四)、植物稳态营养肥料项目意义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在实施植物稳态营养肥料项目的过程中，我们不仅仅是在追逐商业成功，更是为企业和社会的多个层面创造了深远的意义。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的首要意义在于提升企业的市场竞争力。通过持续的创新和对产品质量的高标准要求，植物稳态营养肥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植物稳态营养肥料项目的推进将促使行业技术水平的提升。通过引入先进技术和创新性解决方案，植物稳态营养肥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植物稳态营养肥料项目不仅创造了大量就业机会，提高了就业水平，还注重社会责任和环保。通过参与社会公益事业和推动环保植物稳态营养肥料项目，植物稳态营养肥料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综合而言，植物稳态营养肥料项目意义重大，不仅推动了企业的发展，也为行业和社会的进步贡献了积极力量。这是一个全面而深刻的影响，将在未来产生可持续的正面效应。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594"/>
      <w:r>
        <w:rPr>
          <w:rFonts w:ascii="仿宋" w:eastAsia="仿宋" w:hAnsi="仿宋" w:cs="仿宋" w:hint="eastAsia"/>
          <w:sz w:val="28"/>
          <w:lang w:eastAsia="zh-CN"/>
        </w:rPr>
        <w:t>(五)、植物稳态营养肥料项目背景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在当今迅猛发展的商业环境中，植物稳态营养肥料项目的动因根植于对多方面因素的审慎考量。这个植物稳态营养肥料项目的提出并非孤立的决策，而是对企业所处背景深入思考的产物。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植物稳态营养肥料项目背后的首要原因。科技的迅速发展和全球市场的快速变化使得企业必须灵活应对。植物稳态营养肥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竞争的激烈程度也是植物稳态营养肥料项目背景中不可忽视的一环。企业需要在激烈竞争中脱颖而出，为此，植物稳态营养肥料项目致力于打破常规，提供独特的价值主张，以吸引客户并确保市场份额的增长。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技术的迅速发展为企业带来了机遇与挑战。作为植物稳态营养肥料项目启动的背景之一，对新兴技术的应用将有助于提升企业的技术水平，使其在不断演进的商业环境中保持竞争优势。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此外，社会对企业责任的期望也在逐渐升高。植物稳态营养肥料项目充分融入了社会责任的理念，通过可持续经营和社会公益植物稳态营养肥料项目，企图为社会贡献一份力量，在商业成功的同时关注社会价值。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https://d.book118.com/918036076007006027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613B90"/>
    <w:rsid w:val="4D613B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03607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2024-01-15T15:42:00Z</dcterms:created>
  <dcterms:modified xsi:type="dcterms:W3CDTF">2024-01-15T15:42:53Z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3F2DFF0F0A9844ECA4C835711635F01C_11</vt:lpwstr>
  </property>
  <property fmtid="{D5CDD505-2E9C-101B-9397-08002B2CF9AE}" pid="3" name="KSOProductBuildVer">
    <vt:lpwstr>2052-12.1.0.16120</vt:lpwstr>
  </property>
</Properties>
</file>