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2018-2023年泰州职业技术学院高职单招（数学／语文／英语）历年常考试题库含答案解析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我国第一部纪传体通史是（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C.《史记》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D.《汉书》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冯谖为孟尝君“焚券市义”行为中蕴含着（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A.道家思想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B.法家思想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C.人本思想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D.民本思想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《种树郭橐驼传》采用的主要写作手法是（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A.类比方法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B.对比手法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C.讽刺手法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D.拟人手法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《背影》一文的结构线索是（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A.横式结构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B.纵式结构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C.自由结构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D.纵横结合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下列作品中，借用了乐府旧题的一组是（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A.李白《行路难》、杜甫《蜀相》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B.陆游《关山月》、李白《行路难》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C.曹操《短歌行》、陶渊明《饮酒》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D.王昌龄《从军行》、白居易《杜陵叟》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“山不厌高，水不厌深”的作者是（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A.陶渊明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C.曹操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D.司马迁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“忽如一夜春风来，千树万树梨花开”这两句诗所采用的修辞方法是（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A.比喻、夸张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B.比喻、拟人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C.借代、比喻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D.借代、夸张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《日出》的背景是（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A.20世纪30年代中国的农村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B.20世纪30年代中国的城市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C.20世纪20年代中国的城市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D.20世纪40年代中国的乡村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在《答司马谏议书》一文中，司马光强加给王安石变法的罪名是（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A.在位久，未能助上大有为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B.不恤国事，同俗自媚于众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C.侵官、生事、征利、拒谏、以致天下怨谤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D.一切不事事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下列句子中，意思与“顾秉谦者，严相国俦也”意思接近的是（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A.求为其门卒三年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B.见昆山犹之见分宜也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C.倘三年犹不得，即犹不归尔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D.日侍昆山相国于朝房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中唐古文运动的倡导者是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A.刘禹锡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B.韩愈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C.李贺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D.孟郊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在契诃夫小说《苦恼》里，车夫姚纳向小母马倾诉的主要原因是（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A.年老多病，无依无靠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B.生活困窘，缺乏救助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C.儿子死了，无人赡养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D.社会冷漠，百姓麻木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《短歌行》是一首（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A.乐府新题诗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B.乐府旧题诗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C.绝句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D.律诗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曹操《短歌行》（其一）的主旨是（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A.感叹人生几何，去日苦多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B.感伤亲朋离散，孤苦无依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C.感叹知音难觅，忧从中来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D.渴望招纳贤才，建功立业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https://d.book118.com/918056014132006040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918056014132006040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