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ind w:firstLine="2520" w:firstLineChars="700"/>
        <w:rPr>
          <w:rFonts w:ascii="宋体" w:hAnsi="宋体"/>
          <w:bCs/>
          <w:color w:val="000000"/>
          <w:szCs w:val="21"/>
          <w:u w:val="single"/>
        </w:rPr>
      </w:pPr>
      <w:r>
        <w:rPr>
          <w:rFonts w:ascii="宋体" w:hAnsi="宋体" w:hint="eastAsia"/>
          <w:b/>
          <w:color w:val="00000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10553700</wp:posOffset>
            </wp:positionH>
            <wp:positionV relativeFrom="topMargin">
              <wp:posOffset>12103100</wp:posOffset>
            </wp:positionV>
            <wp:extent cx="342900" cy="342900"/>
            <wp:effectExtent l="0" t="0" r="0" b="0"/>
            <wp:wrapNone/>
            <wp:docPr id="100019" name="图片 1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42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hAnsi="宋体" w:hint="eastAsia"/>
          <w:b/>
          <w:color w:val="000000"/>
          <w:sz w:val="36"/>
          <w:szCs w:val="36"/>
        </w:rPr>
        <w:t>部编版语文九年级上册教案</w:t>
      </w:r>
    </w:p>
    <w:tbl>
      <w:tblPr>
        <w:tblStyle w:val="TableNormal"/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7441"/>
        <w:gridCol w:w="1267"/>
      </w:tblGrid>
      <w:tr>
        <w:tblPrEx>
          <w:tblW w:w="0" w:type="auto"/>
          <w:tblInd w:w="-17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/>
        </w:trPr>
        <w:tc>
          <w:tcPr>
            <w:tcW w:w="9915" w:type="dxa"/>
            <w:gridSpan w:val="3"/>
          </w:tcPr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hAnsi="宋体" w:cs="Times New Roman"/>
                <w:b/>
              </w:rPr>
            </w:pPr>
            <w:r>
              <w:rPr>
                <w:rFonts w:hAnsi="宋体" w:hint="eastAsia"/>
                <w:b/>
              </w:rPr>
              <w:t>课题：18.</w:t>
            </w:r>
            <w:r>
              <w:rPr>
                <w:rFonts w:eastAsia="宋体" w:hAnsi="宋体" w:cs="宋体" w:hint="eastAsia"/>
              </w:rPr>
              <w:t>中国人失掉自信力了吗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/>
        </w:trPr>
        <w:tc>
          <w:tcPr>
            <w:tcW w:w="1207" w:type="dxa"/>
            <w:vMerge w:val="restart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教学目标</w:t>
            </w: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</w:pPr>
            <w:r>
              <w:rPr>
                <w:rFonts w:hAnsi="宋体" w:hint="eastAsia"/>
                <w:bCs/>
              </w:rPr>
              <w:t>知识目标：</w:t>
            </w:r>
            <w:r>
              <w:rPr>
                <w:rFonts w:eastAsia="宋体" w:hAnsi="宋体" w:cs="宋体" w:hint="eastAsia"/>
              </w:rPr>
              <w:t>结合写作背景，理解重点句子的深层含意。体会作者辛辣、犀利、有力，讽刺味极强的语言。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/>
        </w:trPr>
        <w:tc>
          <w:tcPr>
            <w:tcW w:w="1207" w:type="dxa"/>
            <w:vMerge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hAnsi="宋体"/>
                <w:bCs/>
              </w:rPr>
            </w:pPr>
            <w:r>
              <w:rPr>
                <w:rFonts w:hAnsi="宋体" w:hint="eastAsia"/>
                <w:bCs/>
              </w:rPr>
              <w:t>能力目标：</w:t>
            </w:r>
            <w:r>
              <w:rPr>
                <w:rFonts w:eastAsia="宋体" w:hAnsi="宋体" w:cs="宋体" w:hint="eastAsia"/>
              </w:rPr>
              <w:t>了解驳论文的有关知识，学习本文直接反驳和间接反驳相结合的方法。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/>
        </w:trPr>
        <w:tc>
          <w:tcPr>
            <w:tcW w:w="1207" w:type="dxa"/>
            <w:vMerge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hAnsi="宋体"/>
                <w:bCs/>
              </w:rPr>
            </w:pPr>
            <w:r>
              <w:rPr>
                <w:rFonts w:hAnsi="宋体" w:hint="eastAsia"/>
                <w:bCs/>
              </w:rPr>
              <w:t>情感、态度、价值观：</w:t>
            </w:r>
            <w:r>
              <w:rPr>
                <w:rFonts w:eastAsia="宋体" w:hAnsi="宋体" w:cs="宋体" w:hint="eastAsia"/>
              </w:rPr>
              <w:t>弘扬爱国主义精神，增强民族民主意识，增强民族自信心、自豪感。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/>
        </w:trPr>
        <w:tc>
          <w:tcPr>
            <w:tcW w:w="9915" w:type="dxa"/>
            <w:gridSpan w:val="3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hAnsi="宋体" w:cs="宋体"/>
              </w:rPr>
            </w:pPr>
            <w:r>
              <w:rPr>
                <w:rFonts w:hAnsi="宋体" w:hint="eastAsia"/>
                <w:bCs/>
              </w:rPr>
              <w:t>教学重点：</w:t>
            </w:r>
            <w:r>
              <w:rPr>
                <w:rFonts w:eastAsia="宋体" w:hAnsi="宋体" w:cs="宋体" w:hint="eastAsia"/>
              </w:rPr>
              <w:t>了解驳论文的有关知识，学习本文直接反驳和间接反驳相结合的方法。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教学难点：</w:t>
            </w:r>
            <w:r>
              <w:rPr>
                <w:rFonts w:ascii="宋体" w:eastAsia="宋体" w:hAnsi="宋体" w:cs="宋体" w:hint="eastAsia"/>
              </w:rPr>
              <w:t>理解重点句子的深层含意。体会作者辛辣、犀利、有力，讽刺味极强的语言。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教学方法：情境教学法、自主学习法、合作探究法 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教学准备： 制作教学课件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/>
        </w:trPr>
        <w:tc>
          <w:tcPr>
            <w:tcW w:w="9915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课时安排：2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/>
        </w:trPr>
        <w:tc>
          <w:tcPr>
            <w:tcW w:w="8648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 xml:space="preserve">                            教  学   设  计</w:t>
            </w:r>
          </w:p>
        </w:tc>
        <w:tc>
          <w:tcPr>
            <w:tcW w:w="1267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二次备课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  <w:gridSpan w:val="2"/>
          </w:tcPr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第一课时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一、新课导入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鲁迅，新文学的开拓者、奠基者，他那优美的散文，精湛的小说，尤其是冷峻辛辣的杂文，一直吸引着我们。难怪文学评论家赞誉鲁迅先生的杂文“不仅是中国民族文学的奇葩，而且是世界文学中的奇葩”。作家唐弢在《琐忆》一文的开头就说“横眉冷对千夫指，俯首甘为孺子牛”是鲁迅先生作为一个伟大作家的全部人格的体现。这一伟大的人格精神也充分体现在杂文《中国人失掉自信力了吗》一文中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二、自学指导</w:t>
            </w:r>
            <w:r>
              <w:rPr>
                <w:rFonts w:eastAsia="宋体" w:hAnsi="宋体" w:cs="宋体" w:hint="eastAsia"/>
              </w:rPr>
              <w:t>(一)——预习与交流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1</w:t>
            </w:r>
            <w:r>
              <w:rPr>
                <w:rFonts w:eastAsia="宋体" w:hAnsi="宋体" w:cs="宋体" w:hint="eastAsia"/>
              </w:rPr>
              <w:t>．给下列加点的字注音</w:t>
            </w:r>
            <w:r>
              <w:rPr>
                <w:rFonts w:eastAsia="宋体" w:hAnsi="宋体" w:cs="宋体" w:hint="eastAsia"/>
                <w:b/>
              </w:rPr>
              <w:t>，</w:t>
            </w:r>
            <w:r>
              <w:rPr>
                <w:rFonts w:eastAsia="宋体" w:hAnsi="宋体" w:cs="宋体" w:hint="eastAsia"/>
              </w:rPr>
              <w:t>并解释词语。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慨</w:t>
            </w:r>
            <w:r>
              <w:rPr>
                <w:rFonts w:eastAsia="宋体" w:hAnsi="宋体" w:cs="宋体" w:hint="eastAsia"/>
              </w:rPr>
              <w:t>叹：kǎi，有所感触而叹息。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玄</w:t>
            </w:r>
            <w:r>
              <w:rPr>
                <w:rFonts w:eastAsia="宋体" w:hAnsi="宋体" w:cs="宋体" w:hint="eastAsia"/>
              </w:rPr>
              <w:t>虚：xuán，空而不切实，不可信。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诓</w:t>
            </w:r>
            <w:r>
              <w:rPr>
                <w:rFonts w:eastAsia="宋体" w:hAnsi="宋体" w:cs="宋体" w:hint="eastAsia"/>
              </w:rPr>
              <w:t>骗：kuāng，说谎话骗人。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渺茫：本课是指因没有把握而难以预期。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为民请命：为人民保全生命或解除困苦。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怀古伤今：追念古代的事情，因现在的事而悲伤。</w:t>
            </w:r>
          </w:p>
        </w:tc>
        <w:tc>
          <w:tcPr>
            <w:tcW w:w="1267" w:type="dxa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地大物博：土地广大，物产丰富。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摧残：使身体、精神等蒙受严重损失。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抹杀：一概不计，完全勾销。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诬蔑：捏造事实败坏别人的名誉。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自欺欺人：既欺骗自己也欺骗别人。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2</w:t>
            </w:r>
            <w:r>
              <w:rPr>
                <w:rFonts w:eastAsia="宋体" w:hAnsi="宋体" w:cs="宋体" w:hint="eastAsia"/>
              </w:rPr>
              <w:t>．文体链接。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杂文的性质：从广义上来说，杂文就是以议论为主的说理性散文，它的种类很多，例如随感、杂谈、笔记、小品、游记、演说等，不一而足。狭义上来说，是指在“杂文”这个大家庭中那种以“激烈的战斗态度批判社会现实的杂文”。它采取的是幽默、讽刺的手法，主张直接为现实的政治斗争服务，正如鲁迅自己所说，是“感应的神经，攻守的手足”，“是匕首，是投枪，能和读者一同杀出一条生存的血路的东西”，写得“生动、泼辣，有益，而且也能移人情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(2)杂文的特点：知识性、文学性、思想性、战斗性。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3</w:t>
            </w:r>
            <w:r>
              <w:rPr>
                <w:rFonts w:eastAsia="宋体" w:hAnsi="宋体" w:cs="宋体" w:hint="eastAsia"/>
              </w:rPr>
              <w:t>．背景链接。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这篇文章写于1934年9月25日，正是“九一八”事变三周年之后。当时，日本帝国主义的铁骑践踏了东三省之后，又向关内步步紧逼，亡国灭种的威胁迫在眉睫，悲观失望主宰了一部分人的头脑。8月27日《大公报》社评《孔子诞辰纪念》哀叹：“民族的自尊心与自信力，既已荡然无存，不待外侮之来，国家固早已濒于精神幻灭之域。”针对这种论调，鲁迅在他53岁寿辰时，写下了这篇著名的杂文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三、自学指导</w:t>
            </w:r>
            <w:r>
              <w:rPr>
                <w:rFonts w:eastAsia="宋体" w:hAnsi="宋体" w:cs="宋体" w:hint="eastAsia"/>
              </w:rPr>
              <w:t>(二)——合作与探究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(一)整体感知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1．泛读，初步把握文章思路、情怀。说说与立论不同，驳论写法的特点是什么。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【交流点拨】驳论的写法是先树靶，后射靶，最后得结论。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2．再读课文，小组讨论探究下面问题，理清文章思路。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(1)对方的错误观点是什么？对方的错误观点是根据什么得出的？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【交流点拨】谬论论点：中国人失掉自信力了。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谬论论据：两年前，自夸“地大物博”；不久，希望国联；现在，求神拜佛。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(2)作者为什么认为对方的观点是错误的？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【交流点拨】直接反驳(3—5段)：失掉的是“他信力”，发展着“自欺力”；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间接反驳(6—8段)：有并不失掉自信力的中国人在，从古至今满怀自信的“中国的脊梁”。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(3)作者正面提出的观点是什么？作者提出观点的依据是什么？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【交流点拨】正面论点：有并不失掉自信力的中国人在。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作者论据：古有埋头苦干的人，拼命硬干的人，为民请命的人，舍身求法的人。今有有确信、不自欺、前仆后继的斗士。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(4)作者最后得出什么结论？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【交流点拨】自信力的有无，状元宰相的文章不足为据，要看地底下。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(二)深层探究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速读第1—5段，讨论探究：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1．作者既然认为对方的观点是错误的，为什么还要一再承认对方说的都是“事实”？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【交流点拨】首先承认对方说的是事实，但通过分析事实后，发现对方要说的其实不是自信力的问题，这样，对方的观点就不存在了。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2．第4段有一段加点的文字，国民党检察官曾删掉这段文字，即“一到求神拜佛……麻醉着自己”，这说明什么？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“求神拜佛”恐怕是国民党在山穷水尽时自欺和欺人的最后一招。鲁迅是个现实感很强的人，他一针见血地指出“求神拜佛”的危害和严重后果，这自然触到了国民党的痛处，并且让他们陷入捉襟见肘的境地。所以，检察官唯恐去之而不及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加点文字也可以看到鲁迅的境况，但鲁迅却不惮于在枪林弹雨中为民众奔走呼号，其无私无畏的精神令人敬佩。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四、板书设计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drawing>
                <wp:inline distT="0" distB="0" distL="114300" distR="114300">
                  <wp:extent cx="2571750" cy="1343025"/>
                  <wp:effectExtent l="0" t="0" r="0" b="9525"/>
                  <wp:docPr id="1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结：自信力的有无，要看地底下。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五、拓展延伸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请你谈谈近几年来中国之盛事，感受今日中国之自信。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【交流】例如：首架国产飞机C919；天宫二号空间实验室；拥有完全自主知识产权的复兴号动车等。</w:t>
            </w:r>
          </w:p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第二课时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一、新课导入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驳论文不仅要反驳敌论，还应该树立自己的论点。作者的论点是什么？又是如何提出，如何证明的呢？这就是今天我们要解决的主要问题。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二、自学指导</w:t>
            </w:r>
            <w:r>
              <w:rPr>
                <w:rFonts w:eastAsia="宋体" w:hAnsi="宋体" w:cs="宋体" w:hint="eastAsia"/>
              </w:rPr>
              <w:t>——合作与探究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(一)深层探究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1．学生齐读第1—5段，回顾上节课内容。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2．品读第6—9段，讨论探究：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(1)“中国的脊梁”指什么人？为什么他们的牺牲不能为“大家”所知道？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“中国的脊梁”是指脚踏实地地为民族的进步而奋斗的人们，他们是使中国挺立起来的“脊梁”，他们往往来自下层或代表着广大民众的利益。但由于中国长期的专制奴役统治，“中国人向来就没有争到过‘人’的价值，至多不过是奴隶”(《灯下漫笔》)，许多事情自然无权知道真相。另外，近代以来的许多社会变革多缺乏对广大民众的宣传发动，这样一来，对于为他们的自由尊严而牺牲的先驱者，他们多半表现出“看客”的心态，不能知道在某种程度上演化成不愿知道了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(2)“状元宰相”“地底下”的含义分别是什么？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“状元宰相”是指统治阶级的御用文人。鲁迅曾评述御用文人“他的帮法，是在血案中而没有血迹，也没有血腥气”，他们的功能就是为世道搽上“自欺欺人的脂粉”。“地底下”指变革社会的积极力量，因为它来自民众，故称“地底下”。在当时，这股力量指中国共产党。他说：“那切切实实，足踏在地上，为着现在中国人的生存而流血奋斗者，我得引以为同志，是自引以为荣的。”(《答托洛茨基派的信》)把“状元宰相”“地底下”相对比，可看出鲁迅的“立人”精神和民本思想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(3)“埋头苦干的人”“拼命硬干的人”“为民请命的人”“舍身求法的人”各指什么样的人？你能说出几个吗？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【交流点拨】①“埋头苦干的人”：主要指广大劳动人民，也指历史上那些科学家、文学家等。如：李时珍、毕昇、蔡伦、祖冲之、徐霞客、司马迁、曹雪芹、蒲松龄、华罗庚、袁隆平……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8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②“拼命硬干的人”：指历史上起义反对封建统治和抵御外侮的英雄人物。如：陈胜、吴广、岳飞、文天祥、辛弃疾、李自成、洪秀全、关天培、邓世昌、戚继光……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③“为民请命的人”：指为人民疾苦而呼告的人。如：杜甫、范仲淹、白居易、王安石、柳宗元、包拯、康有为、梁启超、李大钊、鲁迅……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④“舍身求法的人”：指历尽艰险，探求佛法教理的人。如：玄奘、鉴真……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(4)“中国的脊梁”在当时有什么意义？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【交流点拨】当时国民党到处散布悲观论调，广大民众也因“中国的脊梁”总被摧残，被抹杀，而看不到光明。鲁迅反复赞扬“中国的脊梁”，可以鼓舞斗志，增强中国人的自信力。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(二)语言品析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1．第一段中三个副词“总”“只”“一味”能否互换位置？为什么？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不能。“总”让人看到国民党政府夸耀“地大物博”时的洋洋自得，同时“总”又写出夸耀者的底气不足。因为，夸来夸去只能夸这一样，且唯恐别人不知，这也暗接“只希望着国联”的必然性；“只”是抓救命稻草时的“执着”，仰人鼻息之状跃然纸上；“一味”则是深陷而不能自拔，沉迷于其中的滋味因而也不愿自拔。这三个副词准确地写出了国民党政府在自欺的道路上越走越远的“事实”，极富讽刺意味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2．揣摩下列加点字词的表达效果。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……不过一面</w:t>
            </w:r>
            <w:r>
              <w:rPr>
                <w:rFonts w:eastAsia="宋体" w:hAnsi="宋体" w:cs="宋体" w:hint="eastAsia"/>
                <w:em w:val="underDot"/>
              </w:rPr>
              <w:t>总</w:t>
            </w:r>
            <w:r>
              <w:rPr>
                <w:rFonts w:eastAsia="宋体" w:hAnsi="宋体" w:cs="宋体" w:hint="eastAsia"/>
              </w:rPr>
              <w:t>在被摧残，被抹杀，……那</w:t>
            </w:r>
            <w:r>
              <w:rPr>
                <w:rFonts w:eastAsia="宋体" w:hAnsi="宋体" w:cs="宋体" w:hint="eastAsia"/>
                <w:em w:val="underDot"/>
              </w:rPr>
              <w:t>简直</w:t>
            </w:r>
            <w:r>
              <w:rPr>
                <w:rFonts w:eastAsia="宋体" w:hAnsi="宋体" w:cs="宋体" w:hint="eastAsia"/>
              </w:rPr>
              <w:t>是诬蔑。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【交流点拨】“总”写出当时社会的黑暗程度，并间接讴歌“中国的脊梁”屡挫屡战的精神。“简直”表达了作者的激愤之情。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3．这篇文章的论述性语言好在哪里？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【交流点拨】本文语言尖锐犀利，富于战斗性，带有嘲讽意味。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在文章开头，“总自夸着‘地大物博’”“只希望着国联”“一味求神拜佛，怀古伤今了”，充满着嘲讽意味。“总”，一副自我炫耀、夜郎自大的样子；“只”，一副仰人鼻息、抓救命稻草的形象；“一味”，沉迷于其中不能自拔，顽固不化的样子。这些尖锐泼辣的语言，栩栩如生地漫画式地画出了悲观论者的脸谱，给读者留下深刻印象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作者巧妙地运用了比喻、排比、反问、仿拟等修辞手法，大大增强了语言的说服力和感染力。尤其是仿拟，仿照“自信力”，造出“他信力”“自欺力”，显出了作者高超的语言艺术。仅仅改动一个字，就将反动当局仰人鼻息、自欺欺人的形象刻画得入木三分，令人难忘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(三)写作特色</w:t>
            </w:r>
          </w:p>
        </w:tc>
        <w:tc>
          <w:tcPr>
            <w:tcW w:w="1267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7001"/>
        <w:gridCol w:w="1267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1"/>
        </w:trPr>
        <w:tc>
          <w:tcPr>
            <w:tcW w:w="8648" w:type="dxa"/>
            <w:gridSpan w:val="2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1．总体思路：本文批驳的是一种悲观论调，从正反两方面进行批驳：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(1)揭露“一部分人”，他们对民族悲观失望，“自信其实是早就失掉了的”，“只能说中国人曾经有过‘他信力’”，“现在是发展着‘自欺力’”。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(2)用历史和当今的事实证明“我们有并不失掉自信力的中国人在”。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2．又“驳”又“立”，紧密结合：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对方的论据也是事实，错误在于以偏概全。鲁迅从驳斥对方的论证入手，又“驳”又“立”，二者紧密结合。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3．尖锐泼辣、富有战斗性的语言风格：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(1)开头揭示敌论，就有讽刺意味。极其简练地勾画出三种形象、三种脸谱：始而妄自尊大，继而仰人鼻息，最后竟至乞灵于泥塑木雕的偶像。三者互相映衬，又从变化中显现出悲观论者精神节节败退，每况愈下。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(2)仿照“自信力”，提出“他信力”“自欺力”，进行嘲讽，可谓入木三分。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三、板书设计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drawing>
                <wp:inline distT="0" distB="0" distL="114300" distR="114300">
                  <wp:extent cx="3200400" cy="1343025"/>
                  <wp:effectExtent l="0" t="0" r="0" b="9525"/>
                  <wp:docPr id="9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2"/>
                          <pic:cNvPicPr>
                            <a:picLocks noChangeAspect="1"/>
                          </pic:cNvPicPr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0" cy="1343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四、拓展延伸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请运用驳论就以下话题发表自己的看法。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1．勤能补拙</w:t>
            </w:r>
          </w:p>
          <w:p>
            <w:pPr>
              <w:spacing w:line="360" w:lineRule="auto"/>
              <w:ind w:firstLine="420" w:firstLineChars="200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 w:hint="eastAsia"/>
              </w:rPr>
              <w:t>2．失败是成功之母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hAnsi="宋体" w:cs="Times New Roman"/>
              </w:rPr>
            </w:pPr>
          </w:p>
          <w:p>
            <w:pPr>
              <w:pStyle w:val="PlainText"/>
              <w:spacing w:line="360" w:lineRule="auto"/>
              <w:rPr>
                <w:rFonts w:hAnsi="宋体" w:cs="Times New Roman"/>
              </w:rPr>
            </w:pPr>
          </w:p>
        </w:tc>
        <w:tc>
          <w:tcPr>
            <w:tcW w:w="1267" w:type="dxa"/>
          </w:tcPr>
          <w:p/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/>
        </w:trPr>
        <w:tc>
          <w:tcPr>
            <w:tcW w:w="1647" w:type="dxa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教学</w:t>
            </w: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反思</w:t>
            </w:r>
          </w:p>
        </w:tc>
        <w:tc>
          <w:tcPr>
            <w:tcW w:w="8268" w:type="dxa"/>
            <w:gridSpan w:val="2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7"/>
        <w:gridCol w:w="8268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/>
        </w:trPr>
        <w:tc>
          <w:tcPr>
            <w:tcW w:w="1647" w:type="dxa"/>
          </w:tcPr>
          <w:p/>
        </w:tc>
        <w:tc>
          <w:tcPr>
            <w:tcW w:w="8268" w:type="dxa"/>
          </w:tcPr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Cs/>
          <w:color w:val="000000"/>
          <w:szCs w:val="21"/>
        </w:rPr>
      </w:pPr>
    </w:p>
    <w:p>
      <w:pPr>
        <w:spacing w:line="360" w:lineRule="auto"/>
        <w:jc w:val="center"/>
        <w:rPr>
          <w:rFonts w:ascii="宋体" w:hAnsi="宋体"/>
          <w:bCs/>
          <w:color w:val="000000"/>
          <w:szCs w:val="21"/>
        </w:rPr>
      </w:pPr>
    </w:p>
    <w:tbl>
      <w:tblPr>
        <w:tblStyle w:val="TableNormal"/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"/>
        <w:gridCol w:w="1181"/>
        <w:gridCol w:w="6593"/>
        <w:gridCol w:w="2115"/>
      </w:tblGrid>
      <w:tr>
        <w:tblPrEx>
          <w:tblW w:w="0" w:type="auto"/>
          <w:tblInd w:w="-176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31"/>
        </w:trPr>
        <w:tc>
          <w:tcPr>
            <w:tcW w:w="9889" w:type="dxa"/>
            <w:gridSpan w:val="3"/>
          </w:tcPr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hAnsi="宋体"/>
                <w:bCs/>
                <w:color w:val="000000"/>
              </w:rPr>
            </w:pPr>
            <w:r>
              <w:rPr>
                <w:rFonts w:hAnsi="宋体" w:hint="eastAsia"/>
                <w:b/>
                <w:color w:val="000000"/>
              </w:rPr>
              <w:t>课题：19.</w:t>
            </w:r>
            <w:r>
              <w:rPr>
                <w:rFonts w:eastAsia="宋体" w:hAnsi="宋体" w:cs="宋体" w:hint="eastAsia"/>
              </w:rPr>
              <w:t>怀疑与学问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584"/>
        </w:trPr>
        <w:tc>
          <w:tcPr>
            <w:tcW w:w="1181" w:type="dxa"/>
            <w:vMerge w:val="restart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</w:p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教学目标</w:t>
            </w: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hAnsi="宋体"/>
                <w:bCs/>
                <w:color w:val="000000"/>
              </w:rPr>
            </w:pPr>
            <w:r>
              <w:rPr>
                <w:rFonts w:hAnsi="宋体" w:hint="eastAsia"/>
                <w:bCs/>
                <w:color w:val="000000"/>
              </w:rPr>
              <w:t>知识目标：</w:t>
            </w:r>
            <w:r>
              <w:rPr>
                <w:rFonts w:eastAsia="宋体" w:hAnsi="宋体" w:cs="宋体" w:hint="eastAsia"/>
              </w:rPr>
              <w:t>理清文章思路，理解中心论点和分论点之间的关系</w:t>
            </w:r>
            <w:r>
              <w:rPr>
                <w:rFonts w:ascii="Times New Roman" w:hAnsi="Times New Roman" w:cs="Times New Roman"/>
              </w:rPr>
              <w:t>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546"/>
        </w:trPr>
        <w:tc>
          <w:tcPr>
            <w:tcW w:w="1181" w:type="dxa"/>
            <w:vMerge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/>
                <w:bCs/>
                <w:color w:val="000000"/>
              </w:rPr>
            </w:pPr>
            <w:r>
              <w:rPr>
                <w:rFonts w:hAnsi="宋体" w:hint="eastAsia"/>
                <w:bCs/>
                <w:color w:val="000000"/>
              </w:rPr>
              <w:t>能力目标：</w:t>
            </w:r>
            <w:r>
              <w:rPr>
                <w:rFonts w:eastAsia="宋体" w:hAnsi="宋体" w:cs="宋体" w:hint="eastAsia"/>
              </w:rPr>
              <w:t>明确论证方法及其作用，品析论证语言特点。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295"/>
        </w:trPr>
        <w:tc>
          <w:tcPr>
            <w:tcW w:w="1181" w:type="dxa"/>
            <w:vMerge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</w:p>
        </w:tc>
        <w:tc>
          <w:tcPr>
            <w:tcW w:w="8708" w:type="dxa"/>
            <w:gridSpan w:val="2"/>
            <w:vAlign w:val="center"/>
          </w:tcPr>
          <w:p>
            <w:pPr>
              <w:pStyle w:val="PlainText"/>
              <w:spacing w:line="360" w:lineRule="auto"/>
              <w:ind w:firstLine="420" w:firstLineChars="200"/>
              <w:rPr>
                <w:rFonts w:hAnsi="宋体"/>
                <w:bCs/>
                <w:color w:val="000000"/>
              </w:rPr>
            </w:pPr>
            <w:r>
              <w:rPr>
                <w:rFonts w:hAnsi="宋体" w:hint="eastAsia"/>
                <w:bCs/>
                <w:color w:val="000000"/>
              </w:rPr>
              <w:t>情感、态度、价值观：</w:t>
            </w:r>
            <w:r>
              <w:rPr>
                <w:rFonts w:eastAsia="宋体" w:hAnsi="宋体" w:cs="宋体" w:hint="eastAsia"/>
              </w:rPr>
              <w:t>把握文章主旨，认识“怀疑”对做学问的重要性</w:t>
            </w:r>
            <w:r>
              <w:rPr>
                <w:rFonts w:ascii="Times New Roman" w:hAnsi="Times New Roman" w:cs="Times New Roman" w:hint="eastAsia"/>
              </w:rPr>
              <w:t>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413"/>
        </w:trPr>
        <w:tc>
          <w:tcPr>
            <w:tcW w:w="9889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教学重点：</w:t>
            </w:r>
            <w:r>
              <w:rPr>
                <w:rFonts w:hint="eastAsia"/>
              </w:rPr>
              <w:t>分析作者笔下的形象，把握诗歌的象征手法及巧妙的抒情方式。领悟作者在诗歌中表达出的炽热而深沉的爱国情怀。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593"/>
        </w:trPr>
        <w:tc>
          <w:tcPr>
            <w:tcW w:w="9889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教学难点：</w:t>
            </w:r>
            <w:r>
              <w:rPr>
                <w:rFonts w:ascii="宋体" w:eastAsia="宋体" w:hAnsi="宋体" w:cs="宋体" w:hint="eastAsia"/>
              </w:rPr>
              <w:t>明确论证方法及其作用，品析论证语言特点。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474"/>
        </w:trPr>
        <w:tc>
          <w:tcPr>
            <w:tcW w:w="9889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教学方法：情境教学法、自主学习法、合作探究法 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465"/>
        </w:trPr>
        <w:tc>
          <w:tcPr>
            <w:tcW w:w="9889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教学准备： 制作教学课件</w:t>
            </w:r>
          </w:p>
        </w:tc>
      </w:tr>
      <w:tr>
        <w:tblPrEx>
          <w:tblW w:w="0" w:type="auto"/>
          <w:tblInd w:w="-176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67"/>
        </w:trPr>
        <w:tc>
          <w:tcPr>
            <w:tcW w:w="9889" w:type="dxa"/>
            <w:gridSpan w:val="3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课时安排：1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63"/>
        </w:trPr>
        <w:tc>
          <w:tcPr>
            <w:tcW w:w="7774" w:type="dxa"/>
            <w:gridSpan w:val="2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 xml:space="preserve">                            教  学   设  计</w:t>
            </w:r>
          </w:p>
        </w:tc>
        <w:tc>
          <w:tcPr>
            <w:tcW w:w="2115" w:type="dxa"/>
            <w:vAlign w:val="center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  <w:r>
              <w:rPr>
                <w:rFonts w:ascii="宋体" w:hAnsi="宋体" w:hint="eastAsia"/>
                <w:bCs/>
                <w:color w:val="000000"/>
                <w:szCs w:val="21"/>
              </w:rPr>
              <w:t>二次备课</w:t>
            </w:r>
          </w:p>
        </w:tc>
      </w:tr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241"/>
        </w:trPr>
        <w:tc>
          <w:tcPr>
            <w:tcW w:w="7774" w:type="dxa"/>
            <w:gridSpan w:val="2"/>
          </w:tcPr>
          <w:p>
            <w:pPr>
              <w:pStyle w:val="PlainText"/>
              <w:tabs>
                <w:tab w:val="right" w:pos="8312"/>
              </w:tabs>
              <w:spacing w:line="360" w:lineRule="auto"/>
              <w:ind w:firstLine="360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/>
                <w:sz w:val="18"/>
                <w:szCs w:val="18"/>
              </w:rPr>
              <w:t>一、导入新课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eastAsia="宋体" w:hAnsi="宋体" w:cs="宋体" w:hint="eastAsia"/>
              </w:rPr>
              <w:t>一个人从事学习，总是希望学有所获，学有所成的。但是，从实际情况看，并非所有的求学者最终的收效都能一样，有的人收效好，成果大，有的人却收效差，成果小。无论是历史上还是现实中，都存在这种情况。这是什么缘故呢？我们如何才能让自己学习的收效更好，成果更大呢？研究这个问题，吸取有益的经验，对我们的学习十分必要。《怀疑与学问》这篇文章谈的就是这方面的问题，文中提出了一些很有价值的见解，将会给我们的学习带来很多启示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二、自学指导</w:t>
            </w:r>
            <w:r>
              <w:rPr>
                <w:rFonts w:eastAsia="宋体" w:hAnsi="宋体" w:cs="宋体" w:hint="eastAsia"/>
              </w:rPr>
              <w:t>(一)——预习与交流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1</w:t>
            </w:r>
            <w:r>
              <w:rPr>
                <w:rFonts w:eastAsia="宋体" w:hAnsi="宋体" w:cs="宋体" w:hint="eastAsia"/>
              </w:rPr>
              <w:t>．朗读课文</w:t>
            </w:r>
            <w:r>
              <w:rPr>
                <w:rFonts w:eastAsia="宋体" w:hAnsi="宋体" w:cs="宋体" w:hint="eastAsia"/>
                <w:b/>
              </w:rPr>
              <w:t>，</w:t>
            </w:r>
            <w:r>
              <w:rPr>
                <w:rFonts w:eastAsia="宋体" w:hAnsi="宋体" w:cs="宋体" w:hint="eastAsia"/>
              </w:rPr>
              <w:t>圈画文中生字词。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程</w:t>
            </w:r>
            <w:r>
              <w:rPr>
                <w:rFonts w:eastAsia="宋体" w:hAnsi="宋体" w:cs="宋体" w:hint="eastAsia"/>
                <w:em w:val="underDot"/>
              </w:rPr>
              <w:t>颐</w:t>
            </w:r>
            <w:r>
              <w:rPr>
                <w:rFonts w:eastAsia="宋体" w:hAnsi="宋体" w:cs="宋体" w:hint="eastAsia"/>
              </w:rPr>
              <w:t xml:space="preserve">(yí)　　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  <w:em w:val="underDot"/>
              </w:rPr>
              <w:t>譬</w:t>
            </w:r>
            <w:r>
              <w:rPr>
                <w:rFonts w:eastAsia="宋体" w:hAnsi="宋体" w:cs="宋体" w:hint="eastAsia"/>
              </w:rPr>
              <w:t>如(pì)　　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步</w:t>
            </w:r>
            <w:r>
              <w:rPr>
                <w:rFonts w:eastAsia="宋体" w:hAnsi="宋体" w:cs="宋体" w:hint="eastAsia"/>
                <w:em w:val="underDot"/>
              </w:rPr>
              <w:t>骤</w:t>
            </w:r>
            <w:r>
              <w:rPr>
                <w:rFonts w:eastAsia="宋体" w:hAnsi="宋体" w:cs="宋体" w:hint="eastAsia"/>
              </w:rPr>
              <w:t>(zhòu)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懒</w:t>
            </w:r>
            <w:r>
              <w:rPr>
                <w:rFonts w:eastAsia="宋体" w:hAnsi="宋体" w:cs="宋体" w:hint="eastAsia"/>
                <w:em w:val="underDot"/>
              </w:rPr>
              <w:t>惰</w:t>
            </w:r>
            <w:r>
              <w:rPr>
                <w:rFonts w:eastAsia="宋体" w:hAnsi="宋体" w:cs="宋体" w:hint="eastAsia"/>
              </w:rPr>
              <w:t xml:space="preserve">(duò)     </w:t>
            </w:r>
            <w:r>
              <w:rPr>
                <w:rFonts w:eastAsia="宋体" w:hAnsi="宋体" w:cs="宋体" w:hint="eastAsia"/>
              </w:rPr>
              <w:tab/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em w:val="underDot"/>
              </w:rPr>
              <w:t>塾</w:t>
            </w:r>
            <w:r>
              <w:rPr>
                <w:rFonts w:eastAsia="宋体" w:hAnsi="宋体" w:cs="宋体" w:hint="eastAsia"/>
              </w:rPr>
              <w:t xml:space="preserve">师(shú)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大</w:t>
            </w:r>
            <w:r>
              <w:rPr>
                <w:rFonts w:eastAsia="宋体" w:hAnsi="宋体" w:cs="宋体" w:hint="eastAsia"/>
                <w:em w:val="underDot"/>
              </w:rPr>
              <w:t>儒</w:t>
            </w:r>
            <w:r>
              <w:rPr>
                <w:rFonts w:eastAsia="宋体" w:hAnsi="宋体" w:cs="宋体" w:hint="eastAsia"/>
              </w:rPr>
              <w:t>(rú)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停</w:t>
            </w:r>
            <w:r>
              <w:rPr>
                <w:rFonts w:eastAsia="宋体" w:hAnsi="宋体" w:cs="宋体" w:hint="eastAsia"/>
                <w:em w:val="underDot"/>
              </w:rPr>
              <w:t>滞</w:t>
            </w:r>
            <w:r>
              <w:rPr>
                <w:rFonts w:eastAsia="宋体" w:hAnsi="宋体" w:cs="宋体" w:hint="eastAsia"/>
              </w:rPr>
              <w:t xml:space="preserve">(zhì)     </w:t>
            </w:r>
            <w:r>
              <w:rPr>
                <w:rFonts w:eastAsia="宋体" w:hAnsi="宋体" w:cs="宋体" w:hint="eastAsia"/>
              </w:rPr>
              <w:tab/>
            </w:r>
            <w:r>
              <w:rPr>
                <w:rFonts w:eastAsia="宋体" w:hAnsi="宋体" w:cs="宋体" w:hint="eastAsia"/>
              </w:rPr>
              <w:t>虚</w:t>
            </w:r>
            <w:r>
              <w:rPr>
                <w:rFonts w:eastAsia="宋体" w:hAnsi="宋体" w:cs="宋体" w:hint="eastAsia"/>
                <w:em w:val="underDot"/>
              </w:rPr>
              <w:t>妄</w:t>
            </w:r>
            <w:r>
              <w:rPr>
                <w:rFonts w:eastAsia="宋体" w:hAnsi="宋体" w:cs="宋体" w:hint="eastAsia"/>
              </w:rPr>
              <w:t>(wàng)</w:t>
            </w:r>
          </w:p>
        </w:tc>
        <w:tc>
          <w:tcPr>
            <w:tcW w:w="2115" w:type="dxa"/>
          </w:tcPr>
          <w:p>
            <w:pPr>
              <w:spacing w:line="360" w:lineRule="auto"/>
              <w:rPr>
                <w:rFonts w:ascii="宋体" w:hAnsi="宋体"/>
                <w:bCs/>
                <w:color w:val="000000"/>
                <w:szCs w:val="21"/>
              </w:rPr>
            </w:pPr>
          </w:p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"/>
        <w:gridCol w:w="7774"/>
        <w:gridCol w:w="2115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241"/>
        </w:trPr>
        <w:tc>
          <w:tcPr>
            <w:tcW w:w="7774" w:type="dxa"/>
          </w:tcPr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2</w:t>
            </w:r>
            <w:r>
              <w:rPr>
                <w:rFonts w:eastAsia="宋体" w:hAnsi="宋体" w:cs="宋体" w:hint="eastAsia"/>
              </w:rPr>
              <w:t>．解释下列词语。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尽信书则不如无书：泛指不要迷信、拘泥于书本。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大儒：旧时指学问渊博的著名学者。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流俗：指社会上流行的风俗习惯(含贬义)。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不攻自破：形容论点站不住脚，经不起反驳或攻击。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b/>
              </w:rPr>
              <w:t>3</w:t>
            </w:r>
            <w:r>
              <w:rPr>
                <w:rFonts w:eastAsia="宋体" w:hAnsi="宋体" w:cs="宋体" w:hint="eastAsia"/>
              </w:rPr>
              <w:t>．作者链接。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顾颉刚(1893－1980)，原名诵坤，字铭坚，江苏苏州人，中国历史学家、民俗学家。古史辨学派代表人物，也是中国历史地理学和民俗学的开创者之一。1920年毕业于北京大学哲学部，历任厦门、中山、燕京、北京、云南、齐鲁、中央、复旦、兰州等大学教授，中山大学历史语言研究所主任、齐鲁大学国学研究所主任等职。1949年后曾任中国科学院历史研究所研究员。著有《秦汉的方士和儒生》《三皇考》《史林杂识初编》《孟姜女故事研究集》等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三、自学指导</w:t>
            </w:r>
            <w:r>
              <w:rPr>
                <w:rFonts w:eastAsia="宋体" w:hAnsi="宋体" w:cs="宋体" w:hint="eastAsia"/>
              </w:rPr>
              <w:t>(二)——合作与探究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(一)整体感知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1．文章的中心论点是什么？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【交流点拨】治学必须有怀疑精神。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2．文章是怎样提出中心论点的？有什么作用？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【交流点拨】引用古代学者的名言。既提出了论点，同时学者的名言本身也是一个证明论点的有力论据，增强了论点的说服力。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3．为了论证中心论点，作者提出了哪几个分论点？分论点之间是什么关系？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【交流点拨】①怀疑是消极方面辨伪去妄的必须步骤。②怀疑是积极方面建设新学说、启迪新发明的基本条件。两个分论点之间是递进关系。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4．作者论述第一个分论点时，分了哪几个层次？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【交流点拨】第一层(3－4)：对于传说都应当经过一番思考。第二层(5)：不论哪一本书，哪一种学问，都要敢于怀疑。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(二)深层探究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1．第3段在全文中有什么作用？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2115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8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"/>
        <w:gridCol w:w="7774"/>
        <w:gridCol w:w="2115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241"/>
        </w:trPr>
        <w:tc>
          <w:tcPr>
            <w:tcW w:w="7774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(1)引出下文，使文章上下紧密相连。这段讲了做学问的一个必不可少的依据是“靠别人的传说”，自然就要出现一个问题——如何对待这“传说”，而下文紧接着就谈论这个问题。(2)使文章论说更加深入。这段讲学问的基础是什么，下面进一步讲如何对待这个基础，内容深入了。(3)增强文章的说服力。做学问应该如何对待“传说”这个关系到全篇中心议题的问题，本段虽未加以论说，而“别人的传说，不一定可靠”这点已在本段得到说明，这就为后文论述做学问应该如何对待“传说”奠定了基石，增强了文章的说服力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2．第4段和第5段同是谈怀疑精神对做学问的意义，为什么写了第4段还写第5段？两段的内容有何不同？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第4段说的是对于“传说”要用怀疑精神对待，第5段则说“我们对于不论哪一本书，哪一种学问，都要经过自己的怀疑”。各种各样的书本，各家各派的学问，做学问者时时在评判，常常要弃取，这方面论及了，文章的论述才算是全面，否则论述就不完整。写了第4段，又写第5段，可见作者构思的周密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4段侧重说怀疑思索是为了取“是”弃“非”，攻破“一切虚妄的学说”，第5段侧重说怀疑思索的三个步骤及其目的：“因怀疑而思索，因思索而辨别是非；经过‘怀疑’‘思索’‘辨别’三步以后，那本书才是自己的书，那种学问才是自己的学问。”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3．作者在论述第二个分论点时，是按怎样的思路进行的？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第①句提出论点，第②③句从反面说理，指出没有怀疑精神永远不能治学，第④⑤句从正面说理，指出只有常常怀疑、常常发问，一切学问才会起来。第⑥－⑩句举例论证论点。第⑪－⑬句正反对比论证，先从正面作结：“古今科学上新的发明，哲学上新的理论，美术上新的作风，都是这样起来的。”再从反面强调：“若使后之学者都墨守前人的旧说，那就没有新问题，没有新发明，一切学术停滞，人类的文化也就不会进步了。”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四、板书设计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第一部分(1－2)：引用名言，提出治学必须有怀疑精神(或“学者先要会疑”，或“学则须疑”)的中心论点。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第二部分(3－5)：论证怀疑是消极方面辨伪去妄的必须步骤。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第一层(3－4)：论述对于传说，不论信不信，都应当经过一番思考，不应当随随便便就信了。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2115" w:type="dxa"/>
          </w:tcPr>
          <w:p/>
        </w:tc>
      </w:tr>
    </w:tbl>
    <w:p>
      <w:pPr>
        <w:sectPr>
          <w:type w:val="nextPage"/>
          <w:pgSz w:w="11906" w:h="16838"/>
          <w:pgMar w:top="1417" w:right="1077" w:bottom="1417" w:left="1077" w:header="850" w:footer="992" w:gutter="0"/>
          <w:pgNumType w:start="9"/>
          <w:cols w:num="1" w:space="425"/>
          <w:titlePg w:val="0"/>
          <w:docGrid w:type="lines" w:linePitch="318" w:charSpace="409"/>
        </w:sectPr>
      </w:pPr>
    </w:p>
    <w:tbl>
      <w:tblPr>
        <w:tblStyle w:val="TableNormal"/>
        <w:tblW w:w="0" w:type="auto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"/>
        <w:gridCol w:w="7774"/>
        <w:gridCol w:w="2115"/>
      </w:tblGrid>
      <w:tr>
        <w:tblPrEx>
          <w:tblW w:w="0" w:type="auto"/>
          <w:tblInd w:w="-176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6" w:type="dxa"/>
          <w:trHeight w:val="3241"/>
        </w:trPr>
        <w:tc>
          <w:tcPr>
            <w:tcW w:w="7774" w:type="dxa"/>
          </w:tcPr>
          <w:p>
            <w:pPr>
              <w:pStyle w:val="PlainText"/>
              <w:spacing w:before="0"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第二层(5)：论述对于不论哪一本书，哪一种学问，都要经过自己的怀疑，辨别是非。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第三部分(6)：论证怀疑是积极方面建设新学说、启迪新发明的基本条件。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五、拓展延伸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搜集有关“治学”的名人名言。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【交流】1.学贵心悟，守旧无功。(张载)　2.所以观书者，释己之疑，明己之未达，每见每知所益，则学进矣；于不疑处有疑，方是进矣。(张载)　3.君子不隐其短，不知则问，不能则学。(董仲舒)　4.博学之，审问之，慎思之，明辨之，笃行之。(《中庸》)　5.古人学问并称，明均重也，不能问者，学必不进。(陈宏谋)　6.群疑并兴，寝食俱废，乃能骤进。(朱熹)　7.学贵知疑，大疑则大进，小疑则小进。疑而能问，已得知识之半。(陈献章)　8.读书易，思索难，两者缺一，便都全无用处。(富兰克林)　9.学问就是要你认真地去发现事物的异同之处。一言以蔽之，学问就是辨别之术。(赫塞)</w:t>
            </w:r>
          </w:p>
          <w:p>
            <w:pPr>
              <w:pStyle w:val="PlainText"/>
              <w:spacing w:line="360" w:lineRule="auto"/>
              <w:ind w:firstLine="420" w:firstLineChars="200"/>
              <w:jc w:val="center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第二课时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一、新课导入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上节课我们总体了解了文章的中心论点、分论点以及论证思路，这节课我们继续探究本课的论证方法和语言。</w:t>
            </w:r>
          </w:p>
          <w:p>
            <w:pPr>
              <w:pStyle w:val="PlainText"/>
              <w:spacing w:line="360" w:lineRule="auto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  <w:highlight w:val="lightGray"/>
              </w:rPr>
              <w:t>二、自学指导</w:t>
            </w:r>
            <w:r>
              <w:rPr>
                <w:rFonts w:eastAsia="宋体" w:hAnsi="宋体" w:cs="宋体" w:hint="eastAsia"/>
              </w:rPr>
              <w:t>(一)——预习与交流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(一)探究论证方法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1．找出文中所用的举例论证，并说说其作用。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【交流点拨】第4段为了论证对于传说必须有怀疑精神这个分论点，列举了古代“三皇五帝”和“腐草为萤”的例子，并连续多次追问，清楚地告诉人们做学问时怀疑的必要性以及怎样以怀疑精神做学问。第6段为了论证“怀疑是建设新学说、启迪新发明的基本条件”这个分论点，举了清代大学问家戴震幼年读书善疑多问的事例做论据，很有说服力。</w:t>
            </w:r>
          </w:p>
          <w:p>
            <w:pPr>
              <w:pStyle w:val="PlainText"/>
              <w:spacing w:line="360" w:lineRule="auto"/>
              <w:ind w:firstLine="420" w:firstLineChars="200"/>
              <w:rPr>
                <w:rFonts w:eastAsia="宋体" w:hAnsi="宋体" w:cs="宋体"/>
              </w:rPr>
            </w:pPr>
            <w:r>
              <w:rPr>
                <w:rFonts w:eastAsia="宋体" w:hAnsi="宋体" w:cs="宋体" w:hint="eastAsia"/>
              </w:rPr>
              <w:t>2．找出文中所用的道理论证，并说说其作用。</w:t>
            </w:r>
          </w:p>
          <w:p>
            <w:pPr>
              <w:pStyle w:val="PlainText"/>
              <w:spacing w:after="0" w:line="360" w:lineRule="auto"/>
              <w:ind w:firstLine="420" w:firstLineChars="200"/>
              <w:rPr>
                <w:rFonts w:eastAsia="宋体" w:hAnsi="宋体" w:cs="宋体"/>
              </w:rPr>
            </w:pPr>
          </w:p>
        </w:tc>
        <w:tc>
          <w:tcPr>
            <w:tcW w:w="2115" w:type="dxa"/>
          </w:tcPr>
          <w:p/>
        </w:tc>
      </w:tr>
    </w:tbl>
    <w:p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https://d.book118.com/918115073007006030</w:t>
        </w:r>
      </w:hyperlink>
    </w:p>
    <w:p/>
    <w:sectPr>
      <w:type w:val="nextPage"/>
      <w:pgSz w:w="11906" w:h="16838"/>
      <w:pgMar w:top="1417" w:right="1077" w:bottom="1417" w:left="1077" w:header="850" w:footer="992" w:gutter="0"/>
      <w:pgNumType w:start="10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S PGothic">
    <w:panose1 w:val="020B0600070205080204"/>
    <w:charset w:val="80"/>
    <w:family w:val="auto"/>
    <w:pitch w:val="default"/>
    <w:sig w:usb0="E00002FF" w:usb1="6AC7FDFB" w:usb2="08000012" w:usb3="00000000" w:csb0="4002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D38AA"/>
    <w:rsid w:val="000D7007"/>
    <w:rsid w:val="000E4A0D"/>
    <w:rsid w:val="00146953"/>
    <w:rsid w:val="0027067E"/>
    <w:rsid w:val="002771D2"/>
    <w:rsid w:val="002E56FE"/>
    <w:rsid w:val="00363227"/>
    <w:rsid w:val="0040402F"/>
    <w:rsid w:val="004151FC"/>
    <w:rsid w:val="0047331D"/>
    <w:rsid w:val="00486104"/>
    <w:rsid w:val="0056487D"/>
    <w:rsid w:val="005F3856"/>
    <w:rsid w:val="006E406D"/>
    <w:rsid w:val="0085328A"/>
    <w:rsid w:val="009035F2"/>
    <w:rsid w:val="00913910"/>
    <w:rsid w:val="009F3F37"/>
    <w:rsid w:val="00B205AE"/>
    <w:rsid w:val="00BF2518"/>
    <w:rsid w:val="00BF4AD7"/>
    <w:rsid w:val="00C02FC6"/>
    <w:rsid w:val="00C2613D"/>
    <w:rsid w:val="00DD0D58"/>
    <w:rsid w:val="00F0024F"/>
    <w:rsid w:val="119B0039"/>
    <w:rsid w:val="234779F6"/>
    <w:rsid w:val="2D5A5676"/>
    <w:rsid w:val="39693406"/>
    <w:rsid w:val="41CB5E03"/>
  </w:rsids>
  <w:docVars>
    <w:docVar w:name="commondata" w:val="eyJoZGlkIjoiYTBmODg4MDE1MDYwOTUxZTJiYjllMGI4MzIwMWRkNTcifQ=="/>
    <w:docVar w:name="KSO_WPS_MARK_KEY" w:val="aafa9939-fc4d-4c85-8c09-696b65749280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a">
    <w:name w:val="单元标题"/>
    <w:basedOn w:val="Normal"/>
    <w:qFormat/>
    <w:pPr>
      <w:spacing w:after="100" w:afterLines="100" w:line="400" w:lineRule="exact"/>
      <w:jc w:val="center"/>
      <w:outlineLvl w:val="1"/>
    </w:pPr>
    <w:rPr>
      <w:rFonts w:ascii="宋体" w:hAnsi="宋体"/>
      <w:b/>
      <w:color w:val="00000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yperlink" Target="https://d.book118.com/918115073007006030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2124</Words>
  <Characters>12111</Characters>
  <Application>Microsoft Office Word</Application>
  <DocSecurity>0</DocSecurity>
  <Lines>100</Lines>
  <Paragraphs>28</Paragraphs>
  <ScaleCrop>false</ScaleCrop>
  <Company/>
  <LinksUpToDate>false</LinksUpToDate>
  <CharactersWithSpaces>14207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2019-12-17T03:45:00Z</dcterms:created>
  <dcterms:modified xsi:type="dcterms:W3CDTF">2023-12-27T11:31:08Z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9648CB49E02640ECAE7C6DAB82ADB3B4_13</vt:lpwstr>
  </property>
  <property fmtid="{D5CDD505-2E9C-101B-9397-08002B2CF9AE}" pid="7" name="KSOProductBuildVer">
    <vt:lpwstr>2052-12.1.0.16120</vt:lpwstr>
  </property>
</Properties>
</file>