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color w:val="000000" w:themeColor="text1"/>
          <w:sz w:val="28"/>
          <w:szCs w:val="28"/>
          <w14:textFill>
            <w14:solidFill>
              <w14:schemeClr w14:val="tx1"/>
            </w14:solidFill>
          </w14:textFill>
        </w:rPr>
      </w:pPr>
    </w:p>
    <w:p>
      <w:pPr>
        <w:spacing w:line="360" w:lineRule="auto"/>
        <w:jc w:val="center"/>
        <w:rPr>
          <w:color w:val="000000" w:themeColor="text1"/>
          <w:sz w:val="28"/>
          <w:szCs w:val="28"/>
          <w14:textFill>
            <w14:solidFill>
              <w14:schemeClr w14:val="tx1"/>
            </w14:solidFill>
          </w14:textFill>
        </w:rPr>
      </w:pPr>
    </w:p>
    <w:p>
      <w:pPr>
        <w:spacing w:line="360" w:lineRule="auto"/>
        <w:jc w:val="center"/>
        <w:rPr>
          <w:color w:val="000000" w:themeColor="text1"/>
          <w:sz w:val="28"/>
          <w:szCs w:val="28"/>
          <w14:textFill>
            <w14:solidFill>
              <w14:schemeClr w14:val="tx1"/>
            </w14:solidFill>
          </w14:textFill>
        </w:rPr>
      </w:pPr>
    </w:p>
    <w:p>
      <w:pPr>
        <w:spacing w:line="360" w:lineRule="auto"/>
        <w:jc w:val="center"/>
        <w:rPr>
          <w:b/>
          <w:color w:val="000000" w:themeColor="text1"/>
          <w:sz w:val="48"/>
          <w:szCs w:val="28"/>
          <w14:textFill>
            <w14:solidFill>
              <w14:schemeClr w14:val="tx1"/>
            </w14:solidFill>
          </w14:textFill>
        </w:rPr>
      </w:pPr>
    </w:p>
    <w:p>
      <w:pPr>
        <w:pStyle w:val="FC"/>
        <w:spacing w:before="163" w:after="163" w:line="360" w:lineRule="auto"/>
        <w:ind w:firstLineChars="0"/>
        <w:jc w:val="center"/>
        <w:rPr>
          <w:rFonts w:hint="eastAsia"/>
          <w:b/>
          <w:color w:val="000000" w:themeColor="text1"/>
          <w:sz w:val="48"/>
          <w:szCs w:val="28"/>
          <w14:textFill>
            <w14:solidFill>
              <w14:schemeClr w14:val="tx1"/>
            </w14:solidFill>
          </w14:textFill>
        </w:rPr>
      </w:pPr>
      <w:r>
        <w:rPr>
          <w:rFonts w:hint="eastAsia"/>
          <w:b/>
          <w:color w:val="000000" w:themeColor="text1"/>
          <w:sz w:val="48"/>
          <w:szCs w:val="28"/>
          <w14:textFill>
            <w14:solidFill>
              <w14:schemeClr w14:val="tx1"/>
            </w14:solidFill>
          </w14:textFill>
        </w:rPr>
        <w:t>工业互联网标识解析二级节点</w:t>
      </w:r>
    </w:p>
    <w:p>
      <w:pPr>
        <w:pStyle w:val="FC"/>
        <w:spacing w:before="163" w:after="163" w:line="360" w:lineRule="auto"/>
        <w:ind w:firstLineChars="0"/>
        <w:jc w:val="center"/>
        <w:rPr>
          <w:b/>
          <w:color w:val="000000" w:themeColor="text1"/>
          <w:sz w:val="48"/>
          <w:szCs w:val="28"/>
          <w14:textFill>
            <w14:solidFill>
              <w14:schemeClr w14:val="tx1"/>
            </w14:solidFill>
          </w14:textFill>
        </w:rPr>
      </w:pPr>
      <w:r>
        <w:rPr>
          <w:rFonts w:hint="eastAsia"/>
          <w:b/>
          <w:color w:val="000000" w:themeColor="text1"/>
          <w:sz w:val="48"/>
          <w:szCs w:val="28"/>
          <w14:textFill>
            <w14:solidFill>
              <w14:schemeClr w14:val="tx1"/>
            </w14:solidFill>
          </w14:textFill>
        </w:rPr>
        <w:t>（电缆制造行业）项目</w:t>
      </w:r>
    </w:p>
    <w:p>
      <w:pPr>
        <w:spacing w:line="360" w:lineRule="auto"/>
        <w:jc w:val="center"/>
        <w:rPr>
          <w:b/>
          <w:color w:val="000000" w:themeColor="text1"/>
          <w:sz w:val="48"/>
          <w:szCs w:val="28"/>
          <w14:textFill>
            <w14:solidFill>
              <w14:schemeClr w14:val="tx1"/>
            </w14:solidFill>
          </w14:textFill>
        </w:rPr>
      </w:pPr>
      <w:r>
        <w:rPr>
          <w:b/>
          <w:color w:val="000000" w:themeColor="text1"/>
          <w:sz w:val="48"/>
          <w:szCs w:val="28"/>
          <w14:textFill>
            <w14:solidFill>
              <w14:schemeClr w14:val="tx1"/>
            </w14:solidFill>
          </w14:textFill>
        </w:rPr>
        <w:t>可行性研究报告</w:t>
      </w:r>
    </w:p>
    <w:p>
      <w:pPr>
        <w:spacing w:line="360" w:lineRule="auto"/>
        <w:jc w:val="center"/>
        <w:rPr>
          <w:b/>
          <w:color w:val="000000" w:themeColor="text1"/>
          <w:sz w:val="28"/>
          <w:szCs w:val="28"/>
          <w14:textFill>
            <w14:solidFill>
              <w14:schemeClr w14:val="tx1"/>
            </w14:solidFill>
          </w14:textFill>
        </w:rPr>
      </w:pPr>
    </w:p>
    <w:p>
      <w:pPr>
        <w:spacing w:line="360" w:lineRule="auto"/>
        <w:jc w:val="center"/>
        <w:rPr>
          <w:b/>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rPr>
          <w:color w:val="000000" w:themeColor="text1"/>
          <w:sz w:val="28"/>
          <w:szCs w:val="28"/>
          <w14:textFill>
            <w14:solidFill>
              <w14:schemeClr w14:val="tx1"/>
            </w14:solidFill>
          </w14:textFill>
        </w:rPr>
      </w:pPr>
    </w:p>
    <w:p>
      <w:pPr>
        <w:spacing w:line="360" w:lineRule="auto"/>
        <w:jc w:val="center"/>
        <w:rPr>
          <w:b/>
          <w:color w:val="000000" w:themeColor="text1"/>
          <w:sz w:val="32"/>
          <w:szCs w:val="28"/>
          <w14:textFill>
            <w14:solidFill>
              <w14:schemeClr w14:val="tx1"/>
            </w14:solidFill>
          </w14:textFill>
        </w:rPr>
      </w:pPr>
      <w:r>
        <w:rPr>
          <w:rFonts w:hint="eastAsia"/>
          <w:b/>
          <w:color w:val="000000" w:themeColor="text1"/>
          <w:sz w:val="32"/>
          <w:szCs w:val="28"/>
          <w14:textFill>
            <w14:solidFill>
              <w14:schemeClr w14:val="tx1"/>
            </w14:solidFill>
          </w14:textFill>
        </w:rPr>
        <w:t>编制单位：</w:t>
      </w:r>
      <w:r>
        <w:rPr>
          <w:rFonts w:hint="eastAsia"/>
          <w:b/>
          <w:color w:val="000000" w:themeColor="text1"/>
          <w:sz w:val="32"/>
          <w:szCs w:val="28"/>
          <w:lang w:eastAsia="zh-CN"/>
          <w14:textFill>
            <w14:solidFill>
              <w14:schemeClr w14:val="tx1"/>
            </w14:solidFill>
          </w14:textFill>
        </w:rPr>
        <w:t>ｘｘ</w:t>
      </w:r>
      <w:r>
        <w:rPr>
          <w:rFonts w:hint="eastAsia"/>
          <w:b/>
          <w:color w:val="000000" w:themeColor="text1"/>
          <w:sz w:val="32"/>
          <w:szCs w:val="28"/>
          <w14:textFill>
            <w14:solidFill>
              <w14:schemeClr w14:val="tx1"/>
            </w14:solidFill>
          </w14:textFill>
        </w:rPr>
        <w:t>控股集团有限公司</w:t>
      </w:r>
    </w:p>
    <w:p>
      <w:pPr>
        <w:spacing w:line="360" w:lineRule="auto"/>
        <w:jc w:val="center"/>
        <w:rPr>
          <w:rFonts w:hint="eastAsia"/>
          <w:b/>
          <w:color w:val="000000" w:themeColor="text1"/>
          <w:sz w:val="28"/>
          <w:szCs w:val="28"/>
          <w14:textFill>
            <w14:solidFill>
              <w14:schemeClr w14:val="tx1"/>
            </w14:solidFill>
          </w14:textFill>
        </w:rPr>
        <w:sectPr>
          <w:pgSz w:w="11906" w:h="16838"/>
          <w:pgMar w:top="1440" w:right="1800" w:bottom="1440" w:left="1800" w:header="851" w:footer="992" w:gutter="0"/>
          <w:cols w:num="1" w:space="425"/>
          <w:docGrid w:type="lines" w:linePitch="312" w:charSpace="0"/>
        </w:sectPr>
      </w:pPr>
      <w:r>
        <w:rPr>
          <w:rFonts w:hint="eastAsia"/>
          <w:b/>
          <w:color w:val="000000" w:themeColor="text1"/>
          <w:sz w:val="28"/>
          <w:szCs w:val="28"/>
          <w14:textFill>
            <w14:solidFill>
              <w14:schemeClr w14:val="tx1"/>
            </w14:solidFill>
          </w14:textFill>
        </w:rPr>
        <w:t>二〇</w:t>
      </w:r>
      <w:r>
        <w:rPr>
          <w:rFonts w:hint="default"/>
          <w:b/>
          <w:color w:val="000000" w:themeColor="text1"/>
          <w:sz w:val="28"/>
          <w:szCs w:val="28"/>
          <w14:textFill>
            <w14:solidFill>
              <w14:schemeClr w14:val="tx1"/>
            </w14:solidFill>
          </w14:textFill>
        </w:rPr>
        <w:t>二</w:t>
      </w:r>
      <w:r>
        <w:rPr>
          <w:rFonts w:hint="eastAsia"/>
          <w:b/>
          <w:color w:val="000000" w:themeColor="text1"/>
          <w:sz w:val="28"/>
          <w:szCs w:val="28"/>
          <w14:textFill>
            <w14:solidFill>
              <w14:schemeClr w14:val="tx1"/>
            </w14:solidFill>
          </w14:textFill>
        </w:rPr>
        <w:t>〇年</w:t>
      </w:r>
      <w:r>
        <w:rPr>
          <w:rFonts w:hint="default"/>
          <w:b/>
          <w:color w:val="000000" w:themeColor="text1"/>
          <w:sz w:val="28"/>
          <w:szCs w:val="28"/>
          <w14:textFill>
            <w14:solidFill>
              <w14:schemeClr w14:val="tx1"/>
            </w14:solidFill>
          </w14:textFill>
        </w:rPr>
        <w:t>四</w:t>
      </w:r>
      <w:r>
        <w:rPr>
          <w:rFonts w:hint="eastAsia"/>
          <w:b/>
          <w:color w:val="000000" w:themeColor="text1"/>
          <w:sz w:val="28"/>
          <w:szCs w:val="28"/>
          <w14:textFill>
            <w14:solidFill>
              <w14:schemeClr w14:val="tx1"/>
            </w14:solidFill>
          </w14:textFill>
        </w:rPr>
        <w:t>月</w:t>
      </w:r>
    </w:p>
    <w:p>
      <w:pPr>
        <w:pStyle w:val="Heading1"/>
        <w:numPr>
          <w:ilvl w:val="0"/>
          <w:numId w:val="0"/>
        </w:numPr>
        <w:spacing w:line="360" w:lineRule="auto"/>
        <w:ind w:leftChars="0"/>
        <w:jc w:val="left"/>
        <w:rPr>
          <w:rFonts w:hint="eastAsia"/>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第一章 总论</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一、二级节点名称</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工业互联网标识解析二级节点（</w:t>
      </w:r>
      <w:r>
        <w:rPr>
          <w:rFonts w:hint="default"/>
          <w:color w:val="000000" w:themeColor="text1"/>
          <w:sz w:val="24"/>
          <w:szCs w:val="28"/>
          <w:lang w:eastAsia="zh-CN"/>
          <w14:textFill>
            <w14:solidFill>
              <w14:schemeClr w14:val="tx1"/>
            </w14:solidFill>
          </w14:textFill>
        </w:rPr>
        <w:t>电缆</w:t>
      </w:r>
      <w:r>
        <w:rPr>
          <w:rFonts w:hint="eastAsia"/>
          <w:color w:val="000000" w:themeColor="text1"/>
          <w:sz w:val="24"/>
          <w:szCs w:val="28"/>
          <w:lang w:val="en-US" w:eastAsia="zh-CN"/>
          <w14:textFill>
            <w14:solidFill>
              <w14:schemeClr w14:val="tx1"/>
            </w14:solidFill>
          </w14:textFill>
        </w:rPr>
        <w:t>制造行业</w:t>
      </w: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智慧能源</w:t>
      </w:r>
      <w:r>
        <w:rPr>
          <w:rFonts w:hint="eastAsia"/>
          <w:color w:val="000000" w:themeColor="text1"/>
          <w:sz w:val="24"/>
          <w:szCs w:val="28"/>
          <w:lang w:val="en-US" w:eastAsia="zh-CN"/>
          <w14:textFill>
            <w14:solidFill>
              <w14:schemeClr w14:val="tx1"/>
            </w14:solidFill>
          </w14:textFill>
        </w:rPr>
        <w:t>）</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default"/>
          <w:color w:val="000000" w:themeColor="text1"/>
          <w:sz w:val="32"/>
          <w14:textFill>
            <w14:solidFill>
              <w14:schemeClr w14:val="tx1"/>
            </w14:solidFill>
          </w14:textFill>
        </w:rPr>
        <w:t>二、</w:t>
      </w:r>
      <w:r>
        <w:rPr>
          <w:rFonts w:ascii="宋体" w:hAnsi="宋体" w:hint="eastAsia"/>
          <w:color w:val="000000" w:themeColor="text1"/>
          <w:sz w:val="32"/>
          <w14:textFill>
            <w14:solidFill>
              <w14:schemeClr w14:val="tx1"/>
            </w14:solidFill>
          </w14:textFill>
        </w:rPr>
        <w:t>二级节点建设单位</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控股集团有限公司</w:t>
      </w:r>
    </w:p>
    <w:p>
      <w:pPr>
        <w:pStyle w:val="Heading2"/>
        <w:numPr>
          <w:ilvl w:val="0"/>
          <w:numId w:val="3"/>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二级节点部署地点</w:t>
      </w:r>
    </w:p>
    <w:p>
      <w:pPr>
        <w:spacing w:line="360" w:lineRule="auto"/>
        <w:ind w:firstLine="480" w:firstLineChars="200"/>
        <w:rPr>
          <w:rFonts w:hint="eastAsia"/>
        </w:rPr>
      </w:pP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控股集团有限公司集团总部，中国</w:t>
      </w:r>
      <w:bookmarkStart w:id="0" w:name="_GoBack"/>
      <w:bookmarkEnd w:id="0"/>
      <w:r>
        <w:rPr>
          <w:rFonts w:hint="eastAsia"/>
          <w:color w:val="000000" w:themeColor="text1"/>
          <w:sz w:val="24"/>
          <w:szCs w:val="28"/>
          <w:lang w:eastAsia="zh-CN"/>
          <w14:textFill>
            <w14:solidFill>
              <w14:schemeClr w14:val="tx1"/>
            </w14:solidFill>
          </w14:textFill>
        </w:rPr>
        <w:t>ｘｘｘｘ</w:t>
      </w:r>
      <w:r>
        <w:rPr>
          <w:rFonts w:hint="default"/>
          <w:color w:val="000000" w:themeColor="text1"/>
          <w:sz w:val="24"/>
          <w:szCs w:val="28"/>
          <w:lang w:eastAsia="zh-CN"/>
          <w14:textFill>
            <w14:solidFill>
              <w14:schemeClr w14:val="tx1"/>
            </w14:solidFill>
          </w14:textFill>
        </w:rPr>
        <w:t>大道8号。</w:t>
      </w:r>
    </w:p>
    <w:p>
      <w:pPr>
        <w:pStyle w:val="Heading2"/>
        <w:numPr>
          <w:ilvl w:val="0"/>
          <w:numId w:val="3"/>
        </w:numPr>
        <w:spacing w:line="360" w:lineRule="auto"/>
        <w:ind w:left="425" w:hanging="425" w:leftChars="0" w:firstLine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二级节点建设内容概况</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本项目主要包括：建设工业互联网标识解析二级节点（电缆</w:t>
      </w:r>
      <w:r>
        <w:rPr>
          <w:rFonts w:hint="eastAsia"/>
          <w:color w:val="000000" w:themeColor="text1"/>
          <w:sz w:val="24"/>
          <w:szCs w:val="28"/>
          <w:lang w:val="en-US" w:eastAsia="zh-CN"/>
          <w14:textFill>
            <w14:solidFill>
              <w14:schemeClr w14:val="tx1"/>
            </w14:solidFill>
          </w14:textFill>
        </w:rPr>
        <w:t>制造行业</w:t>
      </w: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智慧能源），打造工业互联网标识解析二级节点运营中心，建立区域性企业开放创新服务平台，建设工业互联网标识解析应用创新基地等内容。具体建设内容如下：</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1）打造新一代互联网工业互联网标识解析二级节点运营中心</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汇聚和优化利用内外资源，建设电缆行业（智能能源）工业互联网标识解析二级节点，加强为下级节点的服务能力建设，成为电缆</w:t>
      </w:r>
      <w:r>
        <w:rPr>
          <w:rFonts w:hint="eastAsia"/>
          <w:color w:val="000000" w:themeColor="text1"/>
          <w:sz w:val="24"/>
          <w:szCs w:val="28"/>
          <w:lang w:val="en-US" w:eastAsia="zh-CN"/>
          <w14:textFill>
            <w14:solidFill>
              <w14:schemeClr w14:val="tx1"/>
            </w14:solidFill>
          </w14:textFill>
        </w:rPr>
        <w:t>制造行业</w:t>
      </w:r>
      <w:r>
        <w:rPr>
          <w:rFonts w:hint="default"/>
          <w:color w:val="000000" w:themeColor="text1"/>
          <w:sz w:val="24"/>
          <w:szCs w:val="28"/>
          <w:lang w:eastAsia="zh-CN"/>
          <w14:textFill>
            <w14:solidFill>
              <w14:schemeClr w14:val="tx1"/>
            </w14:solidFill>
          </w14:textFill>
        </w:rPr>
        <w:t>行业工业互联网标识解析体系建设中重要的管理节点。实现与我国工业互联网顶级节点的无缝对接，为我国工业互联网标识解析体系的应用节点分配前缀资源和提供产品与技术服务，面向区域内企业提供标准化、公共化服务支持。</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2）构建开放创新服务平台和关键设施</w:t>
      </w:r>
    </w:p>
    <w:p>
      <w:pPr>
        <w:spacing w:line="360" w:lineRule="auto"/>
        <w:ind w:firstLine="480" w:firstLineChars="200"/>
        <w:rPr>
          <w:rFonts w:hint="default"/>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2"/>
          <w:cols w:num="1" w:space="425"/>
          <w:titlePg w:val="0"/>
          <w:docGrid w:type="lines" w:linePitch="312" w:charSpace="0"/>
        </w:sectPr>
      </w:pP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增强构建网络数字空间管理能力，实现标识的注册、解析、统计、流量控制、安全认证等功能，成为区域内全要素、各环节信息互通的关键枢纽，促进电缆行业实体经济与数字经济的融合发展，进而成为国家工业互联网的重要节点。</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开放创新服务平台面向电缆行业或新能源制造行业提供公共化服务，企业的技术创新模式、创新应用等可通过开放创新平台进行汇聚。同时，平台作为中间桥梁，可连通不同企业之间进行产业融合、技术合作、协同创新等。</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3）建设工业互联网标识解析应用创新基地</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吸纳地方、乃至全国各种互联网技术应用方案落地试验与孵化，开展基于电缆行业的工业互联网、智能供应链、供需资源对接、智慧能源等领域的应用推广，展示电缆智能能源工业互联网标识解析二级节点试点示范项目和典型案例及运营情况。</w:t>
      </w:r>
    </w:p>
    <w:p>
      <w:pPr>
        <w:spacing w:line="360" w:lineRule="auto"/>
        <w:ind w:firstLine="480" w:firstLineChars="200"/>
        <w:rPr>
          <w:rFonts w:hint="eastAsia"/>
        </w:rPr>
      </w:pPr>
      <w:r>
        <w:rPr>
          <w:rFonts w:hint="default"/>
          <w:color w:val="000000" w:themeColor="text1"/>
          <w:sz w:val="24"/>
          <w:szCs w:val="28"/>
          <w:lang w:eastAsia="zh-CN"/>
          <w14:textFill>
            <w14:solidFill>
              <w14:schemeClr w14:val="tx1"/>
            </w14:solidFill>
          </w14:textFill>
        </w:rPr>
        <w:t>结合大数据和云平台，建设基于工业互联网标识解析标识技术的分领域示范应用，建设双创孵化培育基地，建立技术推广产业生态，协同各领域的地方行业协会，开展行业应用培训，共同搭建地方行业应用管理平台，构建服务生态，支撑行业应用；构建跨领域应用，形成多类型的应用创新技术集合。</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五，二级节点建设投资总额及资金筹措方式</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投资总额：2000万～2500万；</w:t>
      </w:r>
    </w:p>
    <w:p>
      <w:pPr>
        <w:spacing w:line="360" w:lineRule="auto"/>
        <w:ind w:firstLine="480" w:firstLineChars="200"/>
        <w:rPr>
          <w:rFonts w:hint="eastAsia"/>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资金筹措方式：自筹；</w:t>
      </w:r>
    </w:p>
    <w:p>
      <w:pPr>
        <w:rPr>
          <w:rFonts w:hint="eastAsia"/>
        </w:rPr>
      </w:pP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六，二级节点建设周期</w:t>
      </w:r>
    </w:p>
    <w:p>
      <w:pPr>
        <w:spacing w:line="360" w:lineRule="auto"/>
        <w:ind w:firstLine="480" w:firstLineChars="200"/>
        <w:rPr>
          <w:rFonts w:hint="eastAsia"/>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3"/>
          <w:cols w:num="1" w:space="425"/>
          <w:titlePg w:val="0"/>
          <w:docGrid w:type="lines" w:linePitch="312" w:charSpace="0"/>
        </w:sectPr>
      </w:pPr>
      <w:r>
        <w:rPr>
          <w:rFonts w:hint="default"/>
          <w:color w:val="000000" w:themeColor="text1"/>
          <w:sz w:val="24"/>
          <w:szCs w:val="28"/>
          <w:lang w:eastAsia="zh-CN"/>
          <w14:textFill>
            <w14:solidFill>
              <w14:schemeClr w14:val="tx1"/>
            </w14:solidFill>
          </w14:textFill>
        </w:rPr>
        <w:t>项目实施内容涉</w:t>
      </w:r>
      <w:r>
        <w:rPr>
          <w:rFonts w:hint="eastAsia"/>
          <w:color w:val="000000" w:themeColor="text1"/>
          <w:sz w:val="24"/>
          <w:szCs w:val="28"/>
          <w:lang w:val="en-US" w:eastAsia="zh-CN"/>
          <w14:textFill>
            <w14:solidFill>
              <w14:schemeClr w14:val="tx1"/>
            </w14:solidFill>
          </w14:textFill>
        </w:rPr>
        <w:t>工业互联网标识解析二级节点（</w:t>
      </w:r>
      <w:r>
        <w:rPr>
          <w:rFonts w:hint="default"/>
          <w:color w:val="000000" w:themeColor="text1"/>
          <w:sz w:val="24"/>
          <w:szCs w:val="28"/>
          <w:lang w:eastAsia="zh-CN"/>
          <w14:textFill>
            <w14:solidFill>
              <w14:schemeClr w14:val="tx1"/>
            </w14:solidFill>
          </w14:textFill>
        </w:rPr>
        <w:t>电缆</w:t>
      </w:r>
      <w:r>
        <w:rPr>
          <w:rFonts w:hint="eastAsia"/>
          <w:color w:val="000000" w:themeColor="text1"/>
          <w:sz w:val="24"/>
          <w:szCs w:val="28"/>
          <w:lang w:val="en-US" w:eastAsia="zh-CN"/>
          <w14:textFill>
            <w14:solidFill>
              <w14:schemeClr w14:val="tx1"/>
            </w14:solidFill>
          </w14:textFill>
        </w:rPr>
        <w:t>制造行业</w:t>
      </w: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智慧能源</w:t>
      </w:r>
      <w:r>
        <w:rPr>
          <w:rFonts w:hint="eastAsia"/>
          <w:color w:val="000000" w:themeColor="text1"/>
          <w:sz w:val="24"/>
          <w:szCs w:val="28"/>
          <w:lang w:val="en-US" w:eastAsia="zh-CN"/>
          <w14:textFill>
            <w14:solidFill>
              <w14:schemeClr w14:val="tx1"/>
            </w14:solidFill>
          </w14:textFill>
        </w:rPr>
        <w:t>）</w:t>
      </w:r>
    </w:p>
    <w:p>
      <w:pPr>
        <w:spacing w:line="360" w:lineRule="auto"/>
        <w:ind w:firstLine="480" w:firstLineChars="200"/>
        <w:rPr>
          <w:rFonts w:hint="eastAsia"/>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的管理机制、基础设施、标识解析系统、标识查询系统、数据同步系统、业务管理系统、数据对接系统、应用支撑系统、安全保障系统、公共服务应用平台等多个方面的建设内容。经评估，项目软件部分建设周期约为9~12个月，硬件基础设施部分应依据实际情况另行确定。</w:t>
      </w:r>
    </w:p>
    <w:p>
      <w:pPr>
        <w:rPr>
          <w:rFonts w:hint="eastAsia"/>
        </w:rPr>
        <w:sectPr>
          <w:type w:val="nextPage"/>
          <w:pgSz w:w="11906" w:h="16838"/>
          <w:pgMar w:top="1440" w:right="1800" w:bottom="1440" w:left="1800" w:header="851" w:footer="992" w:gutter="0"/>
          <w:pgNumType w:start="4"/>
          <w:cols w:num="1" w:space="425"/>
          <w:titlePg w:val="0"/>
          <w:docGrid w:type="lines" w:linePitch="312" w:charSpace="0"/>
        </w:sectPr>
      </w:pPr>
    </w:p>
    <w:p>
      <w:pPr>
        <w:pStyle w:val="Heading1"/>
        <w:numPr>
          <w:ilvl w:val="0"/>
          <w:numId w:val="0"/>
        </w:numPr>
        <w:spacing w:line="360" w:lineRule="auto"/>
        <w:ind w:leftChars="0"/>
        <w:jc w:val="left"/>
        <w:rPr>
          <w:rFonts w:hint="eastAsia"/>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第二章 二级节点建设背景及必要性</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一、二级节点建设背景</w:t>
      </w:r>
    </w:p>
    <w:p>
      <w:pPr>
        <w:spacing w:line="360" w:lineRule="auto"/>
        <w:ind w:firstLine="480" w:firstLineChars="200"/>
        <w:rPr>
          <w:rFonts w:hint="default"/>
          <w:color w:val="000000" w:themeColor="text1"/>
          <w:sz w:val="24"/>
          <w:szCs w:val="28"/>
          <w14:textFill>
            <w14:solidFill>
              <w14:schemeClr w14:val="tx1"/>
            </w14:solidFill>
          </w14:textFill>
        </w:rPr>
      </w:pPr>
      <w:r>
        <w:rPr>
          <w:rFonts w:hint="eastAsia"/>
          <w:color w:val="000000" w:themeColor="text1"/>
          <w:sz w:val="24"/>
          <w:szCs w:val="28"/>
          <w:lang w:eastAsia="zh-CN"/>
          <w14:textFill>
            <w14:solidFill>
              <w14:schemeClr w14:val="tx1"/>
            </w14:solidFill>
          </w14:textFill>
        </w:rPr>
        <w:t>近年来，我国经济的持续快速增长，为电线电缆行业提供了巨大的市场空间。据不完全统计，我国目前拥有各类电线电缆生产企业7000余家，年产值在7000亿元左右。虽然产值巨大，但从整个行业的发展水平来看，还存在着行业集中度低、技术力量分散、产品科技含量不高的问题。我国多数种类的线缆产品严重供过于求，众多企业保本或微利经营，更有少数生产厂家偷工减料，劣质电线电缆充斥市场，非标产品屡禁难绝。从电线电缆市场需求看，目前国内急需发展的产品品种是：超高压和特高压电力电缆和架空线及其附件、高温超导电缆、船用电缆、机车车辆用电缆、航空航天领域用电缆、城市轨道用的特种电缆、核电站电缆、低烟无卤阻燃电缆、汽车用配线、高阻燃电缆、智能化大楼用宽频带、局部网电缆、光纤复合架空地线、带状光缆、110kV及以上高压交联电缆附件、潜油泵电缆和高性能绕组线</w:t>
      </w:r>
      <w:r>
        <w:rPr>
          <w:rFonts w:hint="default"/>
          <w:color w:val="000000" w:themeColor="text1"/>
          <w:sz w:val="24"/>
          <w:szCs w:val="28"/>
          <w:lang w:eastAsia="zh-CN"/>
          <w14:textFill>
            <w14:solidFill>
              <w14:schemeClr w14:val="tx1"/>
            </w14:solidFill>
          </w14:textFill>
        </w:rPr>
        <w:t>。随着现代科学技术的发展，电缆行业发生了突飞猛进的发展，再加上当前计算机技术、网络技术的进步，电缆行业已经逐渐开始向数字化、智能化、网络化方向发展，进而提高生产效率，扩大信息资源共享。当前，探索电缆信息的溯源方式成为工业互联网时代行业转型发展的重要任务。</w:t>
      </w:r>
    </w:p>
    <w:p>
      <w:pPr>
        <w:spacing w:line="360" w:lineRule="auto"/>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（一）电缆行业发展痛点难消</w:t>
      </w:r>
    </w:p>
    <w:p>
      <w:pPr>
        <w:spacing w:line="360" w:lineRule="auto"/>
        <w:ind w:firstLine="480" w:firstLineChars="200"/>
        <w:rPr>
          <w:rFonts w:hint="default"/>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5"/>
          <w:cols w:num="1" w:space="425"/>
          <w:titlePg w:val="0"/>
          <w:docGrid w:type="lines" w:linePitch="312" w:charSpace="0"/>
        </w:sectPr>
      </w:pPr>
      <w:r>
        <w:rPr>
          <w:rFonts w:hint="default"/>
          <w:color w:val="000000" w:themeColor="text1"/>
          <w:sz w:val="24"/>
          <w:szCs w:val="28"/>
          <w:lang w:eastAsia="zh-CN"/>
          <w14:textFill>
            <w14:solidFill>
              <w14:schemeClr w14:val="tx1"/>
            </w14:solidFill>
          </w14:textFill>
        </w:rPr>
        <w:t>行业要实现充分发展，一是要解决自身行业发展过程中面临的问题，二是要得到电缆所服务的产业场景的足够认同。因此，电缆的质量及其测量数据的真实性和可靠性都是至关重要的，是影响各类工业现场、安全环保现场、检测测试现场以及生产线合格率、质量、品质、竞争力核心因素之一。</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在工业现场电缆领域的产品追溯和质量提升的需求中，物料、设备、人员、流程指令和设施控制信息分辨度，都以离散的整机、时间点或位置点来区分和记录，未形成有效的可联网的辨别信息，无法线上溯源影响电缆品质和数据精确度的因素到底是配件、核心部件、生产环境、生产工艺抑或是人员的操作。</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同时，在电缆的标识编码过程中存在多种形式，如二维码、RFID电子标签、智能IC卡等，在编码格式上往往采用企业自定义编码格式，主要以位置码为主，各种编码规范无法统一，不同企业之间的编码无法兼容，并且无法与网络进行连接，在流通过程中，往往需要多次编码、赋码，既降低了工作效率，又难以实现信息的准确关联和自动获取。有些企业虽然建设了产品追溯平台但是编码标准采用自定义标准，导致无法保证编码的唯一性，因此平台的权威性、数据的安全性、运营的稳定性也大打折扣。</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这些信息的孤立存在以及标准的不统一造成了产品追溯、品质评价难以落地，也增加了电缆在仓储、物流、加工配送、财务结算等方面的业务协同成本，严重影响了电缆行业向协同制造、供应链管理、全生命周期管理等互联网方向的发展。特别在电缆测量数据溯源方面，缺少统一的标准体系和支撑性平台，电缆的测量数据难以溯源，可靠性、安全性难以保证，在如今人工智能和大数据的时代，给企业安全生产、节能降耗等方面造成重大影响。</w:t>
      </w:r>
    </w:p>
    <w:p>
      <w:pPr>
        <w:numPr>
          <w:ilvl w:val="0"/>
          <w:numId w:val="4"/>
        </w:numPr>
        <w:spacing w:line="360" w:lineRule="auto"/>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工业互联网大势所趋</w:t>
      </w:r>
    </w:p>
    <w:p>
      <w:pPr>
        <w:numPr>
          <w:ilvl w:val="0"/>
          <w:numId w:val="0"/>
        </w:numPr>
        <w:spacing w:line="360" w:lineRule="auto"/>
        <w:ind w:firstLine="420" w:firstLineChars="0"/>
        <w:rPr>
          <w:rFonts w:hint="default"/>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6"/>
          <w:cols w:num="1" w:space="425"/>
          <w:titlePg w:val="0"/>
          <w:docGrid w:type="lines" w:linePitch="312" w:charSpace="0"/>
        </w:sectPr>
      </w:pPr>
      <w:r>
        <w:rPr>
          <w:rFonts w:hint="default"/>
          <w:color w:val="000000" w:themeColor="text1"/>
          <w:sz w:val="24"/>
          <w:szCs w:val="28"/>
          <w:lang w:eastAsia="zh-CN"/>
          <w14:textFill>
            <w14:solidFill>
              <w14:schemeClr w14:val="tx1"/>
            </w14:solidFill>
          </w14:textFill>
        </w:rPr>
        <w:t>工业互联网作为新一代信息技术与制造业深度融合的产物，通过实现人、机、物的全面互联，构建起全要素、全产业链、全价值链全面连接的新型工业生产制造和服务体系，日益成为新工业革命的关键支撑，对未来工业发展产生全方位、深层次、革命性影响，已然成为全球范围内制造业竞争的制高点。</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我国政府高度重视工业互联网技术以及相关产业发展。2015年5月，国务院出台的《中国制造2025》计划，正式拉开了我国工业互联网发展的序幕。2017年11月，国务院印发《深化“互联网+先进制造业”发展工业互联网的指导意见》，作为中国工业互联网建设的行动纲领，明确了我国工业与互联网融合的长期发展思路。2018年工信部与财政部接连发布了包括《工业互联网发展行动计划（2018-2020年）》、《工业互联网专项工作组2018年工作计划》及《2018年工业互联网创新发展工程拟支持项目》等文件。2019两会期间，李克强总理在政府工作任务中提出，“坚持创新引领发展，培育壮大新动能。其中明确指出要打造工业互联网平台，拓展‘智能+’，为制造业转型升级赋能”，首次将发展工业互联网行业写入政府工作报告。上述文件的颁布实施，充分体现了我国在工业互联网发展支持方面的政府决心和意志。</w:t>
      </w:r>
    </w:p>
    <w:p>
      <w:pPr>
        <w:spacing w:line="360" w:lineRule="auto"/>
        <w:ind w:firstLine="480" w:firstLineChars="200"/>
        <w:rPr>
          <w:rFonts w:hint="eastAsia"/>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工业互联网标识解析体系是从整体上构建一套体系完整、兼容性强、能够满足各行业应用的工业互联网标识解析标准体系，兼容GS1、OID、Ecode等主要国际编码体系，在国家层面设置顶级解析节点、二级解析节点，下层由企业节点形成统一的解析网络，面向行业提供标识编码、载体、信息交互等服务。这样就解决了电缆行业企业信息离散、解析数据难以互通、数据安全性等问题，为电缆行业的协同发展、品牌打造、转型升级创造了机会。</w:t>
      </w:r>
    </w:p>
    <w:p>
      <w:pPr>
        <w:pStyle w:val="Heading2"/>
        <w:numPr>
          <w:ilvl w:val="0"/>
          <w:numId w:val="5"/>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二级节点建设必要性</w:t>
      </w:r>
    </w:p>
    <w:p>
      <w:pPr>
        <w:spacing w:line="360" w:lineRule="auto"/>
        <w:ind w:firstLine="480" w:firstLineChars="200"/>
        <w:rPr>
          <w:rFonts w:hint="default"/>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7"/>
          <w:cols w:num="1" w:space="425"/>
          <w:titlePg w:val="0"/>
          <w:docGrid w:type="lines" w:linePitch="312" w:charSpace="0"/>
        </w:sectPr>
      </w:pPr>
      <w:r>
        <w:rPr>
          <w:rFonts w:hint="default"/>
          <w:color w:val="000000" w:themeColor="text1"/>
          <w:sz w:val="24"/>
          <w:szCs w:val="28"/>
          <w:lang w:val="en-US" w:eastAsia="zh-CN"/>
          <w14:textFill>
            <w14:solidFill>
              <w14:schemeClr w14:val="tx1"/>
            </w14:solidFill>
          </w14:textFill>
        </w:rPr>
        <w:t>工业互联网标识解析二级节点（</w:t>
      </w:r>
      <w:r>
        <w:rPr>
          <w:rFonts w:hint="default"/>
          <w:color w:val="000000" w:themeColor="text1"/>
          <w:sz w:val="24"/>
          <w:szCs w:val="28"/>
          <w:lang w:eastAsia="zh-CN"/>
          <w14:textFill>
            <w14:solidFill>
              <w14:schemeClr w14:val="tx1"/>
            </w14:solidFill>
          </w14:textFill>
        </w:rPr>
        <w:t>电缆</w:t>
      </w:r>
      <w:r>
        <w:rPr>
          <w:rFonts w:hint="default"/>
          <w:color w:val="000000" w:themeColor="text1"/>
          <w:sz w:val="24"/>
          <w:szCs w:val="28"/>
          <w:lang w:val="en-US" w:eastAsia="zh-CN"/>
          <w14:textFill>
            <w14:solidFill>
              <w14:schemeClr w14:val="tx1"/>
            </w14:solidFill>
          </w14:textFill>
        </w:rPr>
        <w:t>行业应用服务平台）主要是为</w:t>
      </w:r>
      <w:r>
        <w:rPr>
          <w:rFonts w:hint="default"/>
          <w:color w:val="000000" w:themeColor="text1"/>
          <w:sz w:val="24"/>
          <w:szCs w:val="28"/>
          <w:lang w:eastAsia="zh-CN"/>
          <w14:textFill>
            <w14:solidFill>
              <w14:schemeClr w14:val="tx1"/>
            </w14:solidFill>
          </w14:textFill>
        </w:rPr>
        <w:t>电缆</w:t>
      </w:r>
      <w:r>
        <w:rPr>
          <w:rFonts w:hint="default"/>
          <w:color w:val="000000" w:themeColor="text1"/>
          <w:sz w:val="24"/>
          <w:szCs w:val="28"/>
          <w:lang w:val="en-US" w:eastAsia="zh-CN"/>
          <w14:textFill>
            <w14:solidFill>
              <w14:schemeClr w14:val="tx1"/>
            </w14:solidFill>
          </w14:textFill>
        </w:rPr>
        <w:t>行业企业和用户提供灵活的标识编码注册和标识解析服务，打造</w:t>
      </w:r>
      <w:r>
        <w:rPr>
          <w:rFonts w:hint="default"/>
          <w:color w:val="000000" w:themeColor="text1"/>
          <w:sz w:val="24"/>
          <w:szCs w:val="28"/>
          <w:lang w:eastAsia="zh-CN"/>
          <w14:textFill>
            <w14:solidFill>
              <w14:schemeClr w14:val="tx1"/>
            </w14:solidFill>
          </w14:textFill>
        </w:rPr>
        <w:t>电缆</w:t>
      </w:r>
      <w:r>
        <w:rPr>
          <w:rFonts w:hint="default"/>
          <w:color w:val="000000" w:themeColor="text1"/>
          <w:sz w:val="24"/>
          <w:szCs w:val="28"/>
          <w:lang w:val="en-US" w:eastAsia="zh-CN"/>
          <w14:textFill>
            <w14:solidFill>
              <w14:schemeClr w14:val="tx1"/>
            </w14:solidFill>
          </w14:textFill>
        </w:rPr>
        <w:t>行业特定应用场景，促进</w:t>
      </w:r>
      <w:r>
        <w:rPr>
          <w:rFonts w:hint="default"/>
          <w:color w:val="000000" w:themeColor="text1"/>
          <w:sz w:val="24"/>
          <w:szCs w:val="28"/>
          <w:lang w:eastAsia="zh-CN"/>
          <w14:textFill>
            <w14:solidFill>
              <w14:schemeClr w14:val="tx1"/>
            </w14:solidFill>
          </w14:textFill>
        </w:rPr>
        <w:t>电缆行业</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val="en-US" w:eastAsia="zh-CN"/>
          <w14:textFill>
            <w14:solidFill>
              <w14:schemeClr w14:val="tx1"/>
            </w14:solidFill>
          </w14:textFill>
        </w:rPr>
        <w:t>的质量管理、重要产品追溯、产品全生命周期管理等应用，加速产业聚集，推动标识产业生态培育，促进制造企业转型升级和高质量发展。</w:t>
      </w:r>
      <w:r>
        <w:rPr>
          <w:rFonts w:hint="default"/>
          <w:color w:val="000000" w:themeColor="text1"/>
          <w:sz w:val="24"/>
          <w:szCs w:val="28"/>
          <w:lang w:val="en-US" w:eastAsia="zh-CN"/>
          <w14:textFill>
            <w14:solidFill>
              <w14:schemeClr w14:val="tx1"/>
            </w14:solidFill>
          </w14:textFill>
        </w:rPr>
        <w:br/>
      </w:r>
      <w:r>
        <w:rPr>
          <w:rFonts w:hint="default"/>
          <w:color w:val="000000" w:themeColor="text1"/>
          <w:sz w:val="24"/>
          <w:szCs w:val="28"/>
          <w:lang w:val="en-US" w:eastAsia="zh-CN"/>
          <w14:textFill>
            <w14:solidFill>
              <w14:schemeClr w14:val="tx1"/>
            </w14:solidFill>
          </w14:textFill>
        </w:rPr>
        <w:t>　　</w:t>
      </w:r>
      <w:r>
        <w:rPr>
          <w:rFonts w:hint="default"/>
          <w:color w:val="000000" w:themeColor="text1"/>
          <w:sz w:val="24"/>
          <w:szCs w:val="28"/>
          <w:lang w:eastAsia="zh-CN"/>
          <w14:textFill>
            <w14:solidFill>
              <w14:schemeClr w14:val="tx1"/>
            </w14:solidFill>
          </w14:textFill>
        </w:rPr>
        <w:t>电缆</w:t>
      </w:r>
      <w:r>
        <w:rPr>
          <w:rFonts w:hint="default"/>
          <w:color w:val="000000" w:themeColor="text1"/>
          <w:sz w:val="24"/>
          <w:szCs w:val="28"/>
          <w:lang w:val="en-US" w:eastAsia="zh-CN"/>
          <w14:textFill>
            <w14:solidFill>
              <w14:schemeClr w14:val="tx1"/>
            </w14:solidFill>
          </w14:textFill>
        </w:rPr>
        <w:t>行业应用服务平台作为整个标识解析体系的中间环节，向上连接国家顶级节点，向下对接企业标识系统，实现跨地域、跨行业、跨企业的信息共享和使用，对推动工业互联网标识解析体系建设，带动工业互联网创新发展，赋能</w:t>
      </w:r>
      <w:r>
        <w:rPr>
          <w:rFonts w:hint="default"/>
          <w:color w:val="000000" w:themeColor="text1"/>
          <w:sz w:val="24"/>
          <w:szCs w:val="28"/>
          <w:lang w:eastAsia="zh-CN"/>
          <w14:textFill>
            <w14:solidFill>
              <w14:schemeClr w14:val="tx1"/>
            </w14:solidFill>
          </w14:textFill>
        </w:rPr>
        <w:t>电缆智慧能源</w:t>
      </w:r>
      <w:r>
        <w:rPr>
          <w:rFonts w:hint="default"/>
          <w:color w:val="000000" w:themeColor="text1"/>
          <w:sz w:val="24"/>
          <w:szCs w:val="28"/>
          <w:lang w:val="en-US" w:eastAsia="zh-CN"/>
          <w14:textFill>
            <w14:solidFill>
              <w14:schemeClr w14:val="tx1"/>
            </w14:solidFill>
          </w14:textFill>
        </w:rPr>
        <w:t>行业转型升级具有重要的意义。</w:t>
      </w:r>
    </w:p>
    <w:p>
      <w:pPr>
        <w:spacing w:line="360" w:lineRule="auto"/>
        <w:ind w:firstLine="480" w:firstLineChars="200"/>
        <w:rPr>
          <w:rFonts w:hint="eastAsia"/>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8"/>
          <w:cols w:num="1" w:space="425"/>
          <w:titlePg w:val="0"/>
          <w:docGrid w:type="lines" w:linePitch="312" w:charSpace="0"/>
        </w:sectPr>
      </w:pPr>
    </w:p>
    <w:p>
      <w:pPr>
        <w:pStyle w:val="Heading1"/>
        <w:numPr>
          <w:ilvl w:val="0"/>
          <w:numId w:val="0"/>
        </w:numPr>
        <w:spacing w:line="360" w:lineRule="auto"/>
        <w:ind w:leftChars="0"/>
        <w:jc w:val="left"/>
        <w:rPr>
          <w:rFonts w:hint="eastAsia"/>
          <w:color w:val="000000" w:themeColor="text1"/>
          <w:sz w:val="36"/>
          <w:szCs w:val="36"/>
          <w:lang w:val="en-US" w:eastAsia="zh-CN"/>
          <w14:textFill>
            <w14:solidFill>
              <w14:schemeClr w14:val="tx1"/>
            </w14:solidFill>
          </w14:textFill>
        </w:rPr>
      </w:pPr>
      <w:r>
        <w:rPr>
          <w:rFonts w:hint="eastAsia"/>
          <w:color w:val="000000" w:themeColor="text1"/>
          <w:sz w:val="36"/>
          <w:szCs w:val="36"/>
          <w:lang w:val="en-US" w:eastAsia="zh-CN"/>
          <w14:textFill>
            <w14:solidFill>
              <w14:schemeClr w14:val="tx1"/>
            </w14:solidFill>
          </w14:textFill>
        </w:rPr>
        <w:t>第三章 行业分析</w:t>
      </w:r>
    </w:p>
    <w:p>
      <w:pPr>
        <w:pStyle w:val="Heading2"/>
        <w:numPr>
          <w:ilvl w:val="1"/>
          <w:numId w:val="0"/>
        </w:numPr>
        <w:spacing w:line="360" w:lineRule="auto"/>
        <w:ind w:leftChars="0"/>
        <w:rPr>
          <w:rFonts w:hint="eastAsia"/>
          <w:color w:val="000000" w:themeColor="text1"/>
          <w:sz w:val="24"/>
          <w:szCs w:val="28"/>
          <w:lang w:val="en-US" w:eastAsia="zh-CN"/>
          <w14:textFill>
            <w14:solidFill>
              <w14:schemeClr w14:val="tx1"/>
            </w14:solidFill>
          </w14:textFill>
        </w:rPr>
      </w:pPr>
      <w:r>
        <w:rPr>
          <w:rFonts w:ascii="宋体" w:hAnsi="宋体" w:hint="default"/>
          <w:color w:val="000000" w:themeColor="text1"/>
          <w:sz w:val="32"/>
          <w:lang w:eastAsia="zh-CN"/>
          <w14:textFill>
            <w14:solidFill>
              <w14:schemeClr w14:val="tx1"/>
            </w14:solidFill>
          </w14:textFill>
        </w:rPr>
        <w:t>一、</w:t>
      </w:r>
      <w:r>
        <w:rPr>
          <w:rFonts w:ascii="宋体" w:hAnsi="宋体" w:hint="eastAsia"/>
          <w:color w:val="000000" w:themeColor="text1"/>
          <w:sz w:val="32"/>
          <w:lang w:val="en-US" w:eastAsia="zh-CN"/>
          <w14:textFill>
            <w14:solidFill>
              <w14:schemeClr w14:val="tx1"/>
            </w14:solidFill>
          </w14:textFill>
        </w:rPr>
        <w:t>行业发展现状</w:t>
      </w:r>
    </w:p>
    <w:p>
      <w:pPr>
        <w:pStyle w:val="Heading2"/>
        <w:numPr>
          <w:ilvl w:val="0"/>
          <w:numId w:val="12"/>
        </w:numPr>
        <w:spacing w:line="360" w:lineRule="auto"/>
        <w:ind w:leftChars="0"/>
        <w:rPr>
          <w:rFonts w:ascii="宋体" w:hAnsi="宋体" w:hint="eastAsia"/>
          <w:color w:val="000000" w:themeColor="text1"/>
          <w:sz w:val="32"/>
          <w:lang w:val="en-US" w:eastAsia="zh-CN"/>
          <w14:textFill>
            <w14:solidFill>
              <w14:schemeClr w14:val="tx1"/>
            </w14:solidFill>
          </w14:textFill>
        </w:rPr>
      </w:pPr>
      <w:r>
        <w:rPr>
          <w:rFonts w:ascii="宋体" w:hAnsi="宋体" w:hint="eastAsia"/>
          <w:color w:val="000000" w:themeColor="text1"/>
          <w:sz w:val="32"/>
          <w:lang w:val="en-US" w:eastAsia="zh-CN"/>
          <w14:textFill>
            <w14:solidFill>
              <w14:schemeClr w14:val="tx1"/>
            </w14:solidFill>
          </w14:textFill>
        </w:rPr>
        <w:t>行业标识解析应用发展现状</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工业互联网标识解析应用在其他行业已经得到了广泛的发展和推广，目前电缆行业暂未形成具有业务性质的应用，后续</w:t>
      </w: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电缆将会围绕现有的应用方向，不断完善行业应用。根据调研，当前通用行业的应用大致如下：</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1. 基于工业互联网标识解析的一码一物</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一码一物是指在企业生产管理层，通过在产品上贴上二维码标签，利用工业互联网标识体系一码一物的特点和智能分布式标识系统的递归解析功能，可实现对工业互联网标识对象及其属性的解析工作。此</w:t>
      </w:r>
      <w:r>
        <w:rPr>
          <w:rFonts w:hint="default"/>
          <w:color w:val="000000" w:themeColor="text1"/>
          <w:sz w:val="24"/>
          <w:szCs w:val="28"/>
          <w:lang w:eastAsia="zh-CN"/>
          <w14:textFill>
            <w14:solidFill>
              <w14:schemeClr w14:val="tx1"/>
            </w14:solidFill>
          </w14:textFill>
        </w:rPr>
        <w:t>类</w:t>
      </w:r>
      <w:r>
        <w:rPr>
          <w:rFonts w:hint="eastAsia"/>
          <w:color w:val="000000" w:themeColor="text1"/>
          <w:sz w:val="24"/>
          <w:szCs w:val="28"/>
          <w:lang w:val="en-US" w:eastAsia="zh-CN"/>
          <w14:textFill>
            <w14:solidFill>
              <w14:schemeClr w14:val="tx1"/>
            </w14:solidFill>
          </w14:textFill>
        </w:rPr>
        <w:t>应用具有终端丰富和显示全面的优势。终端丰富是指扫码的终端可以是微信小程序，移动端APP或是网页客户端等多种形式；而显示全面则表示解析结果可以在国家顶级节点、行业二级节点以及个性化门户网站等多个平台全方面展示。</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2. 基于工业互联网标识解析系统的产品追溯</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产品追溯是指产品从设计、生产规划、制造、运输、服务到回收的整个生命周期过程中，利用标识技术记录和查询产品状态、属性、位置等信息的过程，其目的是全过程全方位掌握产品的数据，促进企业内部各系统之间、企业之间、企业和客户之间信息数据的互联互通，实现企业资源优化配置，提高产品质量、生产效率和企业的核心竞争力。</w:t>
      </w:r>
    </w:p>
    <w:p>
      <w:pPr>
        <w:spacing w:line="360" w:lineRule="auto"/>
        <w:ind w:firstLine="480" w:firstLineChars="200"/>
        <w:rPr>
          <w:rFonts w:hint="eastAsia"/>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9"/>
          <w:cols w:num="1" w:space="425"/>
          <w:titlePg w:val="0"/>
          <w:docGrid w:type="lines" w:linePitch="312" w:charSpace="0"/>
        </w:sectPr>
      </w:pP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产品质量追溯系统基于工业互联网标识解析体系，利用物联网、大数据、区块链、人工智能等新兴信息技术，通过条形码、二维码、RFID射频识别标签等方式对物品赋予唯一防篡可信的“身份证”——追溯码，给予物品身份识别，系统可以将分散在各个业务系统中的环境、工艺、设备、能源、原料等各类有价值的信息抽取出来，进行统计分析、决策利用，实现产品在原材料进厂、半成品加工、产成品出入库、物流运输等全生产过程精细化管理。同时也可扩展到市场流通环节，甚至产业上下游，从而改善产品质量，提升市场信誉和竞争力。</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3. 基于工业互联网标识解析系统的产品全生命周期管理</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产品全生命周期管理过程中存在大量非标准化的标识和采集数据格式不统一的问题，导致产品数据难以互通共享，形成“信息孤岛”。工业互联网标识解析服务是实现产品全生命周期管理的重要基础。通过建设工业互联网标识解析国家顶级节点、二级节点和企业节点，针对企业使用的不同标识体系，提供公共标识解析服务，帮助企业实现各环节、各企业间信息的对接与互通。</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4.基于工业互联网标识解析系统的协同到底</w:t>
      </w: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传统供应链管理中，企业通过自己的供应链管理系统，面向仓储物流企业或制造企业进行信息传递，交叉环节众多，影响协同效率，无法实现资源的灵活调度。企业通过唯一标识在标识解析体平台注册、解析、查询，解决了企业间因信息不对称、物资标识不统一而引起的生产效率低下等问题，促进生产、运输、服务等环节的高效协同，有效提升企业资源优化配置，实现整个企业的制造敏捷性。</w:t>
      </w:r>
    </w:p>
    <w:p>
      <w:pPr>
        <w:spacing w:line="360" w:lineRule="auto"/>
        <w:ind w:firstLine="480" w:firstLineChars="200"/>
        <w:rPr>
          <w:rFonts w:hint="eastAsia"/>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通过</w:t>
      </w:r>
      <w:r>
        <w:rPr>
          <w:rFonts w:hint="eastAsia"/>
          <w:color w:val="000000" w:themeColor="text1"/>
          <w:sz w:val="24"/>
          <w:szCs w:val="28"/>
          <w:lang w:val="en-US" w:eastAsia="zh-CN"/>
          <w14:textFill>
            <w14:solidFill>
              <w14:schemeClr w14:val="tx1"/>
            </w14:solidFill>
          </w14:textFill>
        </w:rPr>
        <w:t>协同制造充分发挥工业互联网标识的体系优势，实现线缆行业生态圈数据互通、信息共享。以“一物一码，一码到底”为核心理念，贯通产业链上下游，有效降低无意义重复工作，改变业务经营模式达到资源最充分利用的目的。</w:t>
      </w:r>
    </w:p>
    <w:p>
      <w:pPr>
        <w:spacing w:line="360" w:lineRule="auto"/>
        <w:ind w:firstLine="480" w:firstLineChars="200"/>
        <w:rPr>
          <w:rFonts w:hint="eastAsia"/>
          <w:color w:val="000000" w:themeColor="text1"/>
          <w:sz w:val="24"/>
          <w:szCs w:val="28"/>
          <w14:textFill>
            <w14:solidFill>
              <w14:schemeClr w14:val="tx1"/>
            </w14:solidFill>
          </w14:textFill>
        </w:rPr>
        <w:sectPr>
          <w:type w:val="nextPage"/>
          <w:pgSz w:w="11906" w:h="16838"/>
          <w:pgMar w:top="1440" w:right="1800" w:bottom="1440" w:left="1800" w:header="851" w:footer="992" w:gutter="0"/>
          <w:pgNumType w:start="10"/>
          <w:cols w:num="1" w:space="425"/>
          <w:titlePg w:val="0"/>
          <w:docGrid w:type="lines" w:linePitch="312" w:charSpace="0"/>
        </w:sectPr>
      </w:pPr>
    </w:p>
    <w:p>
      <w:pPr>
        <w:spacing w:line="360" w:lineRule="auto"/>
        <w:ind w:firstLine="480" w:firstLineChars="200"/>
        <w:rPr>
          <w:rFonts w:hint="eastAsia"/>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在工业4.0时代，企业应加大区块链、5G、云计算、大数据、人工智能等新一代信息技术研发，加强新信息技术、标识解析体系与自身业务的深度融合，形成产品智能追溯、供应链协同、产品全生命周期管理等创新应用模式，促进行业转型升级，推动工业互联网标识解析技术的创新应用，积极培育工业互联网标识解析创新应用健康生态。</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sectPr>
          <w:type w:val="nextPage"/>
          <w:pgSz w:w="11906" w:h="16838"/>
          <w:pgMar w:top="1440" w:right="1800" w:bottom="1440" w:left="1800" w:header="851" w:footer="992" w:gutter="0"/>
          <w:pgNumType w:start="11"/>
          <w:cols w:num="1" w:space="425"/>
          <w:titlePg w:val="0"/>
          <w:docGrid w:type="lines" w:linePitch="312" w:charSpace="0"/>
        </w:sectPr>
      </w:pPr>
      <w:r>
        <w:rPr>
          <w:rFonts w:ascii="宋体" w:hAnsi="宋体" w:hint="eastAsia"/>
          <w:color w:val="000000" w:themeColor="text1"/>
          <w:sz w:val="32"/>
          <w14:textFill>
            <w14:solidFill>
              <w14:schemeClr w14:val="tx1"/>
            </w14:solidFill>
          </w14:textFill>
        </w:rPr>
        <w:t>三、SWOT分析</w:t>
      </w:r>
    </w:p>
    <w:p>
      <w:pPr>
        <w:pStyle w:val="Heading1"/>
        <w:numPr>
          <w:ilvl w:val="0"/>
          <w:numId w:val="0"/>
        </w:numPr>
        <w:spacing w:line="360" w:lineRule="auto"/>
        <w:ind w:leftChars="0"/>
        <w:jc w:val="left"/>
        <w:rPr>
          <w:rFonts w:hint="eastAsia"/>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第四章 项目产品方案与发展规划</w:t>
      </w:r>
    </w:p>
    <w:p>
      <w:pPr>
        <w:pStyle w:val="Heading2"/>
        <w:numPr>
          <w:ilvl w:val="1"/>
          <w:numId w:val="0"/>
        </w:numPr>
        <w:spacing w:line="360" w:lineRule="auto"/>
        <w:ind w:leftChars="0"/>
        <w:rPr>
          <w:rFonts w:ascii="宋体" w:hAnsi="宋体" w:hint="eastAsia"/>
          <w:color w:val="000000" w:themeColor="text1"/>
          <w:sz w:val="32"/>
          <w14:textFill>
            <w14:solidFill>
              <w14:schemeClr w14:val="tx1"/>
            </w14:solidFill>
          </w14:textFill>
        </w:rPr>
      </w:pPr>
      <w:r>
        <w:rPr>
          <w:rFonts w:ascii="宋体" w:hAnsi="宋体" w:hint="eastAsia"/>
          <w:color w:val="000000" w:themeColor="text1"/>
          <w:sz w:val="32"/>
          <w14:textFill>
            <w14:solidFill>
              <w14:schemeClr w14:val="tx1"/>
            </w14:solidFill>
          </w14:textFill>
        </w:rPr>
        <w:t>一、二级节点建设架构</w:t>
      </w:r>
    </w:p>
    <w:p>
      <w:pPr>
        <w:spacing w:line="360" w:lineRule="auto"/>
        <w:ind w:firstLine="480" w:firstLineChars="200"/>
        <w:rPr>
          <w:rFonts w:hint="default"/>
          <w:color w:val="000000" w:themeColor="text1"/>
          <w:sz w:val="24"/>
          <w:szCs w:val="28"/>
          <w14:textFill>
            <w14:solidFill>
              <w14:schemeClr w14:val="tx1"/>
            </w14:solidFill>
          </w14:textFill>
        </w:rPr>
      </w:pPr>
      <w:r>
        <w:rPr>
          <w:rFonts w:hint="eastAsia"/>
          <w:color w:val="000000" w:themeColor="text1"/>
          <w:sz w:val="24"/>
          <w:szCs w:val="28"/>
          <w:lang w:val="en-US" w:eastAsia="zh-CN"/>
          <w14:textFill>
            <w14:solidFill>
              <w14:schemeClr w14:val="tx1"/>
            </w14:solidFill>
          </w14:textFill>
        </w:rPr>
        <w:t>工业互联网标识解析二级节点（</w:t>
      </w:r>
      <w:r>
        <w:rPr>
          <w:rFonts w:hint="default"/>
          <w:color w:val="000000" w:themeColor="text1"/>
          <w:sz w:val="24"/>
          <w:szCs w:val="28"/>
          <w:lang w:eastAsia="zh-CN"/>
          <w14:textFill>
            <w14:solidFill>
              <w14:schemeClr w14:val="tx1"/>
            </w14:solidFill>
          </w14:textFill>
        </w:rPr>
        <w:t>电缆</w:t>
      </w:r>
      <w:r>
        <w:rPr>
          <w:rFonts w:hint="eastAsia"/>
          <w:color w:val="000000" w:themeColor="text1"/>
          <w:sz w:val="24"/>
          <w:szCs w:val="28"/>
          <w:lang w:val="en-US" w:eastAsia="zh-CN"/>
          <w14:textFill>
            <w14:solidFill>
              <w14:schemeClr w14:val="tx1"/>
            </w14:solidFill>
          </w14:textFill>
        </w:rPr>
        <w:t>制造行业</w:t>
      </w:r>
      <w:r>
        <w:rPr>
          <w:rFonts w:hint="eastAsia"/>
          <w:color w:val="000000" w:themeColor="text1"/>
          <w:sz w:val="24"/>
          <w:szCs w:val="28"/>
          <w:lang w:eastAsia="zh-CN"/>
          <w14:textFill>
            <w14:solidFill>
              <w14:schemeClr w14:val="tx1"/>
            </w14:solidFill>
          </w14:textFill>
        </w:rPr>
        <w:t>ｘｘ</w:t>
      </w:r>
      <w:r>
        <w:rPr>
          <w:rFonts w:hint="default"/>
          <w:color w:val="000000" w:themeColor="text1"/>
          <w:sz w:val="24"/>
          <w:szCs w:val="28"/>
          <w:lang w:eastAsia="zh-CN"/>
          <w14:textFill>
            <w14:solidFill>
              <w14:schemeClr w14:val="tx1"/>
            </w14:solidFill>
          </w14:textFill>
        </w:rPr>
        <w:t>智慧能源</w:t>
      </w:r>
      <w:r>
        <w:rPr>
          <w:rFonts w:hint="eastAsia"/>
          <w:color w:val="000000" w:themeColor="text1"/>
          <w:sz w:val="24"/>
          <w:szCs w:val="28"/>
          <w:lang w:val="en-US" w:eastAsia="zh-CN"/>
          <w14:textFill>
            <w14:solidFill>
              <w14:schemeClr w14:val="tx1"/>
            </w14:solidFill>
          </w14:textFill>
        </w:rPr>
        <w:t>）</w:t>
      </w:r>
      <w:r>
        <w:rPr>
          <w:rFonts w:hint="default"/>
          <w:color w:val="000000" w:themeColor="text1"/>
          <w:sz w:val="24"/>
          <w:szCs w:val="28"/>
          <w:lang w:eastAsia="zh-CN"/>
          <w14:textFill>
            <w14:solidFill>
              <w14:schemeClr w14:val="tx1"/>
            </w14:solidFill>
          </w14:textFill>
        </w:rPr>
        <w:t>拟采用Handle标识解析技术，构建行业节点。以下关于Handle技术的简要介绍。</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Handle技术罗伯特•卡恩（Robert. E. Kahn）博士于 1995 年提出。Handle是一套开放的信息管理架构，与 IPv6、DNS 域名以及其他标识体系能够兼容共建，具有编码、解析、信息管理和信息安全四个维度的综合管理能力，可有效支撑工业互联网创新发展。</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Handle 作为下一代互联网基础共性技术体系，是工业互联网的关键神经中枢。工业互联网中的标识是识别和管理物品、信息、机器的关键基础资源，其中，Handle 标识解析体系具备的全球唯一、全面兼容、独立解析体系、原生信息管理架构、自定义的安全机制等技术特点，能有效满足我国工业互联网标识解析需求。</w:t>
      </w:r>
    </w:p>
    <w:p>
      <w:pPr>
        <w:spacing w:line="360" w:lineRule="auto"/>
        <w:ind w:firstLine="480" w:firstLineChars="200"/>
        <w:rPr>
          <w:rFonts w:hint="default"/>
          <w:color w:val="000000" w:themeColor="text1"/>
          <w:sz w:val="24"/>
          <w:szCs w:val="28"/>
          <w14:textFill>
            <w14:solidFill>
              <w14:schemeClr w14:val="tx1"/>
            </w14:solidFill>
          </w14:textFill>
        </w:rPr>
      </w:pPr>
      <w:r>
        <w:rPr>
          <w:rFonts w:hint="default"/>
          <w:color w:val="000000" w:themeColor="text1"/>
          <w:sz w:val="24"/>
          <w:szCs w:val="28"/>
          <w:lang w:eastAsia="zh-CN"/>
          <w14:textFill>
            <w14:solidFill>
              <w14:schemeClr w14:val="tx1"/>
            </w14:solidFill>
          </w14:textFill>
        </w:rPr>
        <w:t>数字对象体系架构（DOA）将互联网上所有事物、流程、服务和各类数据抽象成数据对象（DO），进而使信息的管理与共享独立于主机设备、独立于信息系统，并能通过一种统一的规则获取信息的属性、访问权限、信息接口等内容。Handle 系统是实现 DOA 的关键技术体系。它定义了一套成熟兼容的编码规则、拥有一套稳定的后台解析系统和一个自主可控的全球分布式管理架构。</w:t>
      </w:r>
      <w:r>
        <w:rPr>
          <w:rFonts w:hint="default"/>
          <w:color w:val="000000" w:themeColor="text1"/>
          <w:sz w:val="24"/>
          <w:szCs w:val="28"/>
          <w14:textFill>
            <w14:solidFill>
              <w14:schemeClr w14:val="tx1"/>
            </w14:solidFill>
          </w14:textFill>
        </w:rPr>
        <w:br/>
      </w:r>
      <w:r>
        <w:rPr>
          <w:rFonts w:hint="default"/>
          <w:color w:val="000000" w:themeColor="text1"/>
          <w:sz w:val="24"/>
          <w:szCs w:val="28"/>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https://d.book118.com/918117067112006041</w:t>
        </w:r>
      </w:hyperlink>
    </w:p>
    <w:p>
      <w:pPr>
        <w:spacing w:line="360" w:lineRule="auto"/>
        <w:ind w:firstLine="480" w:firstLineChars="200"/>
        <w:rPr>
          <w:rFonts w:hint="default"/>
          <w:color w:val="000000" w:themeColor="text1"/>
          <w:sz w:val="24"/>
          <w:szCs w:val="28"/>
          <w14:textFill>
            <w14:solidFill>
              <w14:schemeClr w14:val="tx1"/>
            </w14:solidFill>
          </w14:textFill>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8F1450"/>
    <w:multiLevelType w:val="multilevel"/>
    <w:tmpl w:val="138F1450"/>
    <w:lvl w:ilvl="0">
      <w:start w:val="1"/>
      <w:numFmt w:val="chineseCountingThousand"/>
      <w:suff w:val="space"/>
      <w:lvlText w:val="第%1章"/>
      <w:lvlJc w:val="center"/>
      <w:pPr>
        <w:ind w:left="0" w:firstLine="0"/>
      </w:pPr>
      <w:rPr>
        <w:b w:val="0"/>
        <w:bCs w:val="0"/>
        <w:i w:val="0"/>
        <w:iCs w:val="0"/>
        <w:caps w:val="0"/>
        <w:smallCaps w:val="0"/>
        <w:strike w:val="0"/>
        <w:dstrike w:val="0"/>
        <w:vanish w:val="0"/>
        <w:spacing w:val="0"/>
        <w:position w:val="0"/>
        <w:u w:val="none"/>
        <w:vertAlign w:val="baseline"/>
      </w:rPr>
    </w:lvl>
    <w:lvl w:ilvl="1">
      <w:start w:val="1"/>
      <w:numFmt w:val="decimal"/>
      <w:isLgl/>
      <w:suff w:val="nothing"/>
      <w:lvlText w:val="%1.%2 "/>
      <w:lvlJc w:val="left"/>
      <w:pPr>
        <w:ind w:left="3119" w:firstLine="0"/>
      </w:pPr>
      <w:rPr>
        <w:rFonts w:ascii="Times New Roman" w:eastAsia="黑体" w:hAnsi="Times New Roman" w:cs="Times New Roman" w:hint="default"/>
        <w:b/>
        <w:bCs w:val="0"/>
        <w:i w:val="0"/>
        <w:iCs w:val="0"/>
        <w:caps w:val="0"/>
        <w:smallCaps w:val="0"/>
        <w:strike w:val="0"/>
        <w:dstrike w:val="0"/>
        <w:vanish w:val="0"/>
        <w:color w:val="000000"/>
        <w:spacing w:val="0"/>
        <w:position w:val="0"/>
        <w:sz w:val="30"/>
        <w:u w:val="none"/>
        <w:vertAlign w:val="baseline"/>
      </w:rPr>
    </w:lvl>
    <w:lvl w:ilvl="2">
      <w:start w:val="1"/>
      <w:numFmt w:val="decimal"/>
      <w:pStyle w:val="Heading3"/>
      <w:isLgl/>
      <w:suff w:val="space"/>
      <w:lvlText w:val="%1.%2.%3"/>
      <w:lvlJc w:val="left"/>
      <w:pPr>
        <w:ind w:left="1133" w:firstLine="284"/>
      </w:pPr>
      <w:rPr>
        <w:rFonts w:ascii="Times New Roman" w:eastAsia="黑体" w:hAnsi="Times New Roman" w:hint="default"/>
        <w:b/>
        <w:i w:val="0"/>
        <w:color w:val="auto"/>
        <w:sz w:val="30"/>
      </w:rPr>
    </w:lvl>
    <w:lvl w:ilvl="3">
      <w:start w:val="1"/>
      <w:numFmt w:val="decimal"/>
      <w:pStyle w:val="Heading4"/>
      <w:isLgl/>
      <w:suff w:val="space"/>
      <w:lvlText w:val="%1.%2.%3.%4"/>
      <w:lvlJc w:val="left"/>
      <w:pPr>
        <w:ind w:left="-425" w:firstLine="567"/>
      </w:pPr>
      <w:rPr>
        <w:b w:val="0"/>
        <w:bCs w:val="0"/>
        <w:i w:val="0"/>
        <w:iCs w:val="0"/>
        <w:caps w:val="0"/>
        <w:smallCaps w:val="0"/>
        <w:strike w:val="0"/>
        <w:dstrike w:val="0"/>
        <w:vanish w:val="0"/>
        <w:spacing w:val="0"/>
        <w:position w:val="0"/>
        <w:u w:val="none"/>
        <w:vertAlign w:val="baseline"/>
      </w:rPr>
    </w:lvl>
    <w:lvl w:ilvl="4">
      <w:start w:val="1"/>
      <w:numFmt w:val="decimal"/>
      <w:isLgl/>
      <w:suff w:val="space"/>
      <w:lvlText w:val="%1.%2.%3.%4.%5"/>
      <w:lvlJc w:val="left"/>
      <w:pPr>
        <w:ind w:left="0" w:firstLine="0"/>
      </w:pPr>
      <w:rPr>
        <w:rFonts w:hint="eastAsia"/>
      </w:rPr>
    </w:lvl>
    <w:lvl w:ilvl="5">
      <w:start w:val="1"/>
      <w:numFmt w:val="none"/>
      <w:suff w:val="nothing"/>
      <w:lvlJc w:val="left"/>
      <w:pPr>
        <w:ind w:left="2978" w:firstLine="0"/>
      </w:pPr>
      <w:rPr>
        <w:rFonts w:hint="eastAsia"/>
      </w:rPr>
    </w:lvl>
    <w:lvl w:ilvl="6">
      <w:start w:val="1"/>
      <w:numFmt w:val="none"/>
      <w:suff w:val="nothing"/>
      <w:lvlJc w:val="left"/>
      <w:pPr>
        <w:ind w:left="2978" w:firstLine="0"/>
      </w:pPr>
      <w:rPr>
        <w:rFonts w:hint="eastAsia"/>
      </w:rPr>
    </w:lvl>
    <w:lvl w:ilvl="7">
      <w:start w:val="1"/>
      <w:numFmt w:val="none"/>
      <w:suff w:val="nothing"/>
      <w:lvlJc w:val="left"/>
      <w:pPr>
        <w:ind w:left="2978" w:firstLine="0"/>
      </w:pPr>
      <w:rPr>
        <w:rFonts w:hint="eastAsia"/>
      </w:rPr>
    </w:lvl>
    <w:lvl w:ilvl="8">
      <w:start w:val="1"/>
      <w:numFmt w:val="none"/>
      <w:suff w:val="nothing"/>
      <w:lvlJc w:val="left"/>
      <w:pPr>
        <w:ind w:left="2978" w:firstLine="0"/>
      </w:pPr>
      <w:rPr>
        <w:rFonts w:hint="eastAsia"/>
      </w:rPr>
    </w:lvl>
  </w:abstractNum>
  <w:abstractNum w:abstractNumId="1">
    <w:nsid w:val="4088B296"/>
    <w:multiLevelType w:val="singleLevel"/>
    <w:tmpl w:val="5EA94FEB"/>
    <w:lvl w:ilvl="0">
      <w:start w:val="2"/>
      <w:numFmt w:val="chineseCounting"/>
      <w:suff w:val="nothing"/>
      <w:lvlText w:val="%1、"/>
      <w:lvlJc w:val="left"/>
    </w:lvl>
  </w:abstractNum>
  <w:abstractNum w:abstractNumId="2">
    <w:nsid w:val="5EA8F804"/>
    <w:multiLevelType w:val="singleLevel"/>
    <w:tmpl w:val="5EA8F804"/>
    <w:lvl w:ilvl="0">
      <w:start w:val="3"/>
      <w:numFmt w:val="chineseCounting"/>
      <w:suff w:val="nothing"/>
      <w:lvlText w:val="%1、"/>
      <w:lvlJc w:val="left"/>
    </w:lvl>
  </w:abstractNum>
  <w:abstractNum w:abstractNumId="3">
    <w:nsid w:val="5EA9045B"/>
    <w:multiLevelType w:val="singleLevel"/>
    <w:tmpl w:val="5EA9045B"/>
    <w:lvl w:ilvl="0">
      <w:start w:val="2"/>
      <w:numFmt w:val="chineseCounting"/>
      <w:suff w:val="nothing"/>
      <w:lvlText w:val="（%1）"/>
      <w:lvlJc w:val="left"/>
    </w:lvl>
  </w:abstractNum>
  <w:abstractNum w:abstractNumId="4">
    <w:nsid w:val="5EA90497"/>
    <w:multiLevelType w:val="singleLevel"/>
    <w:tmpl w:val="5EA90497"/>
    <w:lvl w:ilvl="0">
      <w:start w:val="2"/>
      <w:numFmt w:val="chineseCounting"/>
      <w:suff w:val="nothing"/>
      <w:lvlText w:val="%1、"/>
      <w:lvlJc w:val="left"/>
    </w:lvl>
  </w:abstractNum>
  <w:abstractNum w:abstractNumId="5">
    <w:nsid w:val="5EA91359"/>
    <w:multiLevelType w:val="multilevel"/>
    <w:tmpl w:val="5EA91359"/>
    <w:lvl w:ilvl="0">
      <w:start w:val="2"/>
      <w:numFmt w:val="chineseCounting"/>
      <w:suff w:val="nothing"/>
      <w:lvlText w:val="%1、"/>
      <w:lvlJc w:val="left"/>
    </w:lvl>
    <w:lvl w:ilvl="1">
      <w:start w:val="1"/>
      <w:numFmt w:val="lowerLetter"/>
      <w:lvlText w:val="%2)"/>
      <w:lvlJc w:val="left"/>
      <w:pPr>
        <w:tabs>
          <w:tab w:val="left" w:pos="840"/>
        </w:tabs>
        <w:ind w:left="840" w:hanging="420" w:leftChars="0" w:firstLineChars="0"/>
      </w:pPr>
      <w:rPr>
        <w:rFonts w:hint="default"/>
      </w:rPr>
    </w:lvl>
    <w:lvl w:ilvl="2">
      <w:start w:val="1"/>
      <w:numFmt w:val="lowerRoman"/>
      <w:lvlText w:val="%3."/>
      <w:lvlJc w:val="left"/>
      <w:pPr>
        <w:tabs>
          <w:tab w:val="left" w:pos="1260"/>
        </w:tabs>
        <w:ind w:left="1260" w:hanging="420" w:leftChars="0" w:firstLineChars="0"/>
      </w:pPr>
      <w:rPr>
        <w:rFonts w:hint="default"/>
      </w:rPr>
    </w:lvl>
    <w:lvl w:ilvl="3">
      <w:start w:val="1"/>
      <w:numFmt w:val="decimal"/>
      <w:lvlText w:val="%4."/>
      <w:lvlJc w:val="left"/>
      <w:pPr>
        <w:tabs>
          <w:tab w:val="left" w:pos="1680"/>
        </w:tabs>
        <w:ind w:left="1680" w:hanging="420" w:leftChars="0" w:firstLineChars="0"/>
      </w:pPr>
      <w:rPr>
        <w:rFonts w:hint="default"/>
      </w:rPr>
    </w:lvl>
    <w:lvl w:ilvl="4">
      <w:start w:val="1"/>
      <w:numFmt w:val="lowerLetter"/>
      <w:lvlText w:val="%5)"/>
      <w:lvlJc w:val="left"/>
      <w:pPr>
        <w:tabs>
          <w:tab w:val="left" w:pos="2100"/>
        </w:tabs>
        <w:ind w:left="2100" w:hanging="420" w:leftChars="0" w:firstLineChars="0"/>
      </w:pPr>
      <w:rPr>
        <w:rFonts w:hint="default"/>
      </w:rPr>
    </w:lvl>
    <w:lvl w:ilvl="5">
      <w:start w:val="1"/>
      <w:numFmt w:val="lowerRoman"/>
      <w:lvlText w:val="%6."/>
      <w:lvlJc w:val="left"/>
      <w:pPr>
        <w:tabs>
          <w:tab w:val="left" w:pos="2520"/>
        </w:tabs>
        <w:ind w:left="2520" w:hanging="420" w:leftChars="0" w:firstLineChars="0"/>
      </w:pPr>
      <w:rPr>
        <w:rFonts w:hint="default"/>
      </w:rPr>
    </w:lvl>
    <w:lvl w:ilvl="6">
      <w:start w:val="1"/>
      <w:numFmt w:val="decimal"/>
      <w:lvlText w:val="%7."/>
      <w:lvlJc w:val="left"/>
      <w:pPr>
        <w:tabs>
          <w:tab w:val="left" w:pos="2940"/>
        </w:tabs>
        <w:ind w:left="2940" w:hanging="420" w:leftChars="0" w:firstLineChars="0"/>
      </w:pPr>
      <w:rPr>
        <w:rFonts w:hint="default"/>
      </w:rPr>
    </w:lvl>
    <w:lvl w:ilvl="7">
      <w:start w:val="1"/>
      <w:numFmt w:val="lowerLetter"/>
      <w:lvlText w:val="%8)"/>
      <w:lvlJc w:val="left"/>
      <w:pPr>
        <w:tabs>
          <w:tab w:val="left" w:pos="3360"/>
        </w:tabs>
        <w:ind w:left="3360" w:hanging="420" w:leftChars="0" w:firstLineChars="0"/>
      </w:pPr>
      <w:rPr>
        <w:rFonts w:hint="default"/>
      </w:rPr>
    </w:lvl>
    <w:lvl w:ilvl="8">
      <w:start w:val="1"/>
      <w:numFmt w:val="lowerRoman"/>
      <w:lvlText w:val="%9."/>
      <w:lvlJc w:val="left"/>
      <w:pPr>
        <w:tabs>
          <w:tab w:val="left" w:pos="3780"/>
        </w:tabs>
        <w:ind w:left="3780" w:hanging="420" w:leftChars="0" w:firstLineChars="0"/>
      </w:pPr>
      <w:rPr>
        <w:rFonts w:hint="default"/>
      </w:rPr>
    </w:lvl>
  </w:abstractNum>
  <w:abstractNum w:abstractNumId="6">
    <w:nsid w:val="5EA923AD"/>
    <w:multiLevelType w:val="singleLevel"/>
    <w:tmpl w:val="5EA923AD"/>
    <w:lvl w:ilvl="0">
      <w:start w:val="4"/>
      <w:numFmt w:val="chineseCounting"/>
      <w:suff w:val="nothing"/>
      <w:lvlText w:val="%1、"/>
      <w:lvlJc w:val="left"/>
    </w:lvl>
  </w:abstractNum>
  <w:abstractNum w:abstractNumId="7">
    <w:nsid w:val="5EA92402"/>
    <w:multiLevelType w:val="singleLevel"/>
    <w:tmpl w:val="5EA92402"/>
    <w:lvl w:ilvl="0">
      <w:start w:val="2"/>
      <w:numFmt w:val="chineseCounting"/>
      <w:suff w:val="nothing"/>
      <w:lvlText w:val="%1、"/>
      <w:lvlJc w:val="left"/>
    </w:lvl>
  </w:abstractNum>
  <w:abstractNum w:abstractNumId="8">
    <w:nsid w:val="5EA94FEB"/>
    <w:multiLevelType w:val="singleLevel"/>
    <w:tmpl w:val="5EA94FEB"/>
    <w:lvl w:ilvl="0">
      <w:start w:val="2"/>
      <w:numFmt w:val="chineseCounting"/>
      <w:suff w:val="nothing"/>
      <w:lvlText w:val="%1、"/>
      <w:lvlJc w:val="left"/>
    </w:lvl>
  </w:abstractNum>
  <w:abstractNum w:abstractNumId="9">
    <w:nsid w:val="7907542C"/>
    <w:multiLevelType w:val="multilevel"/>
    <w:tmpl w:val="7907542C"/>
    <w:lvl w:ilvl="0">
      <w:start w:val="1"/>
      <w:numFmt w:val="decimal"/>
      <w:pStyle w:val="Heading1"/>
      <w:lvlText w:val="第%1章"/>
      <w:lvlJc w:val="left"/>
      <w:pPr>
        <w:ind w:left="425" w:hanging="425"/>
      </w:pPr>
      <w:rPr>
        <w:rFonts w:hint="eastAsia"/>
      </w:rPr>
    </w:lvl>
    <w:lvl w:ilvl="1">
      <w:start w:val="1"/>
      <w:numFmt w:val="decimal"/>
      <w:pStyle w:val="Heading2"/>
      <w:lvlText w:val="%1.%2"/>
      <w:lvlJc w:val="left"/>
      <w:pPr>
        <w:ind w:left="992" w:hanging="567"/>
      </w:pPr>
      <w:rPr>
        <w:rFonts w:ascii="Calibri" w:hAnsi="Calibri" w:cs="Calibri" w:hint="default"/>
        <w:b/>
        <w:bCs w:val="0"/>
        <w:i w:val="0"/>
        <w:iCs w:val="0"/>
        <w:caps w:val="0"/>
        <w:smallCaps w:val="0"/>
        <w:strike w:val="0"/>
        <w:dstrike w:val="0"/>
        <w:vanish w:val="0"/>
        <w:color w:val="000000"/>
        <w:spacing w:val="0"/>
        <w:position w:val="0"/>
        <w:sz w:val="30"/>
        <w:szCs w:val="30"/>
        <w:u w:val="none"/>
        <w:vertAlign w:val="baseline"/>
        <w14:shadow w14:blurRad="0" w14:dist="0" w14:dir="0" w14:sx="0" w14:sy="0" w14:kx="0" w14:ky="0" w14:algn="none">
          <w14:srgbClr w14:val="000000"/>
        </w14:shadow>
      </w:rPr>
    </w:lvl>
    <w:lvl w:ilvl="2">
      <w:start w:val="1"/>
      <w:numFmt w:val="decimal"/>
      <w:lvlText w:val="%1.%2.%3"/>
      <w:lvlJc w:val="left"/>
      <w:pPr>
        <w:ind w:left="851" w:hanging="567"/>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start w:val="1"/>
      <w:numFmt w:val="decimal"/>
      <w:lvlText w:val="%1.%2.%3.%4"/>
      <w:lvlJc w:val="left"/>
      <w:pPr>
        <w:ind w:left="2551" w:hanging="70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9"/>
    <w:lvlOverride w:ilvl="2">
      <w:lvl w:ilvl="2" w:tentative="1">
        <w:start w:val="1"/>
        <w:numFmt w:val="decimal"/>
        <w:lvlText w:val="%1.%2.%3"/>
        <w:lvlJc w:val="left"/>
        <w:pPr>
          <w:ind w:left="851" w:hanging="567"/>
        </w:pPr>
        <w:rPr>
          <w:b w:val="0"/>
          <w:bCs w:val="0"/>
          <w:i w:val="0"/>
          <w:iCs w:val="0"/>
          <w:caps w:val="0"/>
          <w:smallCaps w:val="0"/>
          <w:strike w:val="0"/>
          <w:dstrike w:val="0"/>
          <w:vanish w:val="0"/>
          <w:color w:val="000000"/>
          <w:spacing w:val="0"/>
          <w:position w:val="0"/>
          <w:sz w:val="30"/>
          <w:szCs w:val="30"/>
          <w:u w:val="none"/>
          <w:vertAlign w:val="baseline"/>
          <w14:shadow w14:blurRad="0" w14:dist="0" w14:dir="0" w14:sx="0" w14:sy="0" w14:kx="0" w14:ky="0" w14:algn="none">
            <w14:srgbClr w14:val="000000"/>
          </w14:shadow>
        </w:rPr>
      </w:lvl>
    </w:lvlOverride>
  </w:num>
  <w:num w:numId="2">
    <w:abstractNumId w:val="0"/>
  </w:num>
  <w:num w:numId="3">
    <w:abstractNumId w:val="2"/>
  </w:num>
  <w:num w:numId="4">
    <w:abstractNumId w:val="3"/>
  </w:num>
  <w:num w:numId="5">
    <w:abstractNumId w:val="4"/>
  </w:num>
  <w:num w:numId="6">
    <w:abstractNumId w:val="8"/>
  </w:num>
  <w:num w:numId="7">
    <w:abstractNumId w:val="5"/>
  </w:num>
  <w:num w:numId="8">
    <w:abstractNumId w:val="7"/>
  </w:num>
  <w:num w:numId="9">
    <w:abstractNumId w:val="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C55"/>
    <w:rsid w:val="B21F7FCA"/>
    <w:rsid w:val="B36D2C69"/>
    <w:rsid w:val="B5FF052C"/>
    <w:rsid w:val="B76AF115"/>
    <w:rsid w:val="BFE74DA1"/>
    <w:rsid w:val="BFEE65C2"/>
    <w:rsid w:val="CFE34BE5"/>
    <w:rsid w:val="D57D068E"/>
    <w:rsid w:val="DBDB8957"/>
    <w:rsid w:val="DEF7B1B0"/>
    <w:rsid w:val="E9FF2FFE"/>
    <w:rsid w:val="ED35C341"/>
    <w:rsid w:val="EEBDB4DF"/>
    <w:rsid w:val="EFDDFFE8"/>
    <w:rsid w:val="F7DE4690"/>
    <w:rsid w:val="F9F10FAE"/>
    <w:rsid w:val="FADDF18B"/>
    <w:rsid w:val="FCCB4B0B"/>
    <w:rsid w:val="FE3FAB7D"/>
    <w:rsid w:val="FECE3D32"/>
    <w:rsid w:val="FFE6FC43"/>
    <w:rsid w:val="FFEE4A3F"/>
    <w:rsid w:val="FFFBE4AF"/>
    <w:rsid w:val="FFFDFDF5"/>
    <w:rsid w:val="FFFE443F"/>
    <w:rsid w:val="00016641"/>
    <w:rsid w:val="00024D44"/>
    <w:rsid w:val="00057B45"/>
    <w:rsid w:val="00082981"/>
    <w:rsid w:val="00083942"/>
    <w:rsid w:val="00127A3B"/>
    <w:rsid w:val="00175A5C"/>
    <w:rsid w:val="00177F12"/>
    <w:rsid w:val="001A253E"/>
    <w:rsid w:val="001A62A8"/>
    <w:rsid w:val="001C283D"/>
    <w:rsid w:val="001F40BE"/>
    <w:rsid w:val="001F7786"/>
    <w:rsid w:val="00220488"/>
    <w:rsid w:val="00231859"/>
    <w:rsid w:val="00271F94"/>
    <w:rsid w:val="002C1FF0"/>
    <w:rsid w:val="00325160"/>
    <w:rsid w:val="00497EBE"/>
    <w:rsid w:val="005415FD"/>
    <w:rsid w:val="00591AD9"/>
    <w:rsid w:val="0063338D"/>
    <w:rsid w:val="006350E7"/>
    <w:rsid w:val="006B18D7"/>
    <w:rsid w:val="006D2059"/>
    <w:rsid w:val="006E48F9"/>
    <w:rsid w:val="00702245"/>
    <w:rsid w:val="007266FF"/>
    <w:rsid w:val="008D6573"/>
    <w:rsid w:val="008E5E40"/>
    <w:rsid w:val="009853F6"/>
    <w:rsid w:val="009B5C55"/>
    <w:rsid w:val="009D4011"/>
    <w:rsid w:val="00A241EE"/>
    <w:rsid w:val="00AC616B"/>
    <w:rsid w:val="00B3334B"/>
    <w:rsid w:val="00B95319"/>
    <w:rsid w:val="00BE6AC4"/>
    <w:rsid w:val="00C079C8"/>
    <w:rsid w:val="00C90E68"/>
    <w:rsid w:val="00C942C9"/>
    <w:rsid w:val="00CA2BD8"/>
    <w:rsid w:val="00CC4961"/>
    <w:rsid w:val="00D232F4"/>
    <w:rsid w:val="00D53F99"/>
    <w:rsid w:val="00D608EF"/>
    <w:rsid w:val="00DC28C0"/>
    <w:rsid w:val="00F071D8"/>
    <w:rsid w:val="00F47CAA"/>
    <w:rsid w:val="00F94E8D"/>
    <w:rsid w:val="1F9E6929"/>
    <w:rsid w:val="25FCD373"/>
    <w:rsid w:val="2DFB98ED"/>
    <w:rsid w:val="2FE30C8D"/>
    <w:rsid w:val="36ED307C"/>
    <w:rsid w:val="377FD12E"/>
    <w:rsid w:val="564F84E3"/>
    <w:rsid w:val="59CE99D8"/>
    <w:rsid w:val="5FA7DB01"/>
    <w:rsid w:val="67FDB6C9"/>
    <w:rsid w:val="67FFE78A"/>
    <w:rsid w:val="6BE15A4C"/>
    <w:rsid w:val="6DB4072A"/>
    <w:rsid w:val="6FCFA0E5"/>
    <w:rsid w:val="6FFD4D98"/>
    <w:rsid w:val="767BAB83"/>
    <w:rsid w:val="77670441"/>
    <w:rsid w:val="7DED5DE4"/>
    <w:rsid w:val="7E857EEB"/>
    <w:rsid w:val="7ED6B18E"/>
    <w:rsid w:val="7F7F5614"/>
    <w:rsid w:val="7FFE920B"/>
  </w:rsids>
  <w:docVars>
    <w:docVar w:name="commondata" w:val="eyJoZGlkIjoiYTE5MDc2NTc0NjM4ZWIxYTI2N2QxZjUyNWE3NDM4N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semiHidden="0"/>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semiHidden="0"/>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uiPriority w:val="9"/>
    <w:qFormat/>
    <w:pPr>
      <w:keepNext/>
      <w:keepLines/>
      <w:pageBreakBefore/>
      <w:numPr>
        <w:ilvl w:val="0"/>
        <w:numId w:val="1"/>
      </w:numPr>
      <w:spacing w:before="340" w:after="330"/>
      <w:jc w:val="center"/>
      <w:outlineLvl w:val="0"/>
    </w:pPr>
    <w:rPr>
      <w:b/>
      <w:bCs/>
      <w:kern w:val="44"/>
      <w:sz w:val="30"/>
      <w:szCs w:val="44"/>
    </w:rPr>
  </w:style>
  <w:style w:type="paragraph" w:styleId="Heading2">
    <w:name w:val="heading 2"/>
    <w:basedOn w:val="Normal"/>
    <w:next w:val="Normal"/>
    <w:uiPriority w:val="9"/>
    <w:unhideWhenUsed/>
    <w:qFormat/>
    <w:pPr>
      <w:keepNext/>
      <w:keepLines/>
      <w:numPr>
        <w:ilvl w:val="1"/>
        <w:numId w:val="1"/>
      </w:numPr>
      <w:spacing w:before="260" w:after="260" w:line="415" w:lineRule="auto"/>
      <w:outlineLvl w:val="1"/>
    </w:pPr>
    <w:rPr>
      <w:rFonts w:ascii="Cambria" w:hAnsi="Cambria"/>
      <w:b/>
      <w:bCs/>
      <w:sz w:val="28"/>
      <w:szCs w:val="32"/>
    </w:rPr>
  </w:style>
  <w:style w:type="paragraph" w:styleId="Heading3">
    <w:name w:val="heading 3"/>
    <w:basedOn w:val="Normal"/>
    <w:next w:val="Normal"/>
    <w:uiPriority w:val="9"/>
    <w:unhideWhenUsed/>
    <w:qFormat/>
    <w:pPr>
      <w:keepNext/>
      <w:keepLines/>
      <w:numPr>
        <w:ilvl w:val="2"/>
        <w:numId w:val="2"/>
      </w:numPr>
      <w:spacing w:before="260" w:after="260" w:line="360" w:lineRule="auto"/>
      <w:ind w:firstLine="0" w:firstLineChars="0"/>
      <w:outlineLvl w:val="2"/>
    </w:pPr>
    <w:rPr>
      <w:b/>
      <w:bCs/>
      <w:sz w:val="30"/>
      <w:szCs w:val="32"/>
    </w:rPr>
  </w:style>
  <w:style w:type="paragraph" w:styleId="Heading4">
    <w:name w:val="heading 4"/>
    <w:basedOn w:val="Normal"/>
    <w:next w:val="Normal"/>
    <w:uiPriority w:val="9"/>
    <w:unhideWhenUsed/>
    <w:qFormat/>
    <w:pPr>
      <w:keepNext/>
      <w:keepLines/>
      <w:numPr>
        <w:ilvl w:val="3"/>
        <w:numId w:val="2"/>
      </w:numPr>
      <w:spacing w:before="260" w:after="260"/>
      <w:ind w:firstLine="0" w:firstLineChars="0"/>
      <w:outlineLvl w:val="3"/>
    </w:pPr>
    <w:rPr>
      <w:b/>
      <w:bCs/>
      <w:szCs w:val="28"/>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odyTextIndent">
    <w:name w:val="Body Text Indent"/>
    <w:basedOn w:val="Normal"/>
    <w:uiPriority w:val="99"/>
    <w:unhideWhenUsed/>
    <w:pPr>
      <w:spacing w:after="120"/>
      <w:ind w:left="420" w:leftChars="200"/>
    </w:p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BodyTextFirstIndent2">
    <w:name w:val="Body Text First Indent 2"/>
    <w:basedOn w:val="BodyTextIndent"/>
    <w:uiPriority w:val="99"/>
    <w:unhideWhenUsed/>
    <w:pPr>
      <w:ind w:firstLine="420" w:firstLineChars="200"/>
    </w:p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ListParagraph">
    <w:name w:val="List Paragraph"/>
    <w:basedOn w:val="Normal"/>
    <w:uiPriority w:val="34"/>
    <w:qFormat/>
    <w:pPr>
      <w:ind w:firstLine="420" w:firstLineChars="200"/>
    </w:pPr>
  </w:style>
  <w:style w:type="paragraph" w:customStyle="1" w:styleId="FC">
    <w:name w:val="FC正文"/>
    <w:basedOn w:val="Normal"/>
    <w:qFormat/>
    <w:pPr>
      <w:snapToGrid w:val="0"/>
      <w:spacing w:before="50" w:beforeLines="50" w:after="50" w:afterLines="50"/>
      <w:ind w:firstLine="200" w:firstLineChars="200"/>
      <w:contextualSpacing/>
    </w:pPr>
    <w:rPr>
      <w:szCs w:val="21"/>
    </w:rPr>
  </w:style>
  <w:style w:type="paragraph" w:customStyle="1" w:styleId="a1">
    <w:name w:val="报告正文"/>
    <w:basedOn w:val="Normal"/>
    <w:qFormat/>
    <w:pPr>
      <w:spacing w:line="360" w:lineRule="auto"/>
      <w:ind w:firstLine="640"/>
      <w:jc w:val="left"/>
    </w:pPr>
    <w:rPr>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1811706711200604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TotalTime>
  <Pages>13</Pages>
  <Words>10237</Words>
  <Characters>10657</Characters>
  <Application>Microsoft Office Word</Application>
  <DocSecurity>0</DocSecurity>
  <Lines>2</Lines>
  <Paragraphs>1</Paragraphs>
  <ScaleCrop>false</ScaleCrop>
  <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dc:creator>
  <cp:lastModifiedBy>虎宝</cp:lastModifiedBy>
  <cp:revision>48</cp:revision>
  <dcterms:created xsi:type="dcterms:W3CDTF">2018-12-19T16:47:00Z</dcterms:created>
  <dcterms:modified xsi:type="dcterms:W3CDTF">2024-03-02T03:14:38Z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1FBE9379D4E347828870C9FB488C2254_12</vt:lpwstr>
  </property>
  <property fmtid="{D5CDD505-2E9C-101B-9397-08002B2CF9AE}" pid="3" name="KSOProductBuildVer">
    <vt:lpwstr>2052-12.1.0.16388</vt:lpwstr>
  </property>
</Properties>
</file>