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10"/>
        <w:rPr>
          <w:rFonts w:ascii="Times New Roman"/>
          <w:sz w:val="18"/>
        </w:rPr>
      </w:pPr>
    </w:p>
    <w:p>
      <w:pPr>
        <w:pStyle w:val="Title"/>
        <w:spacing w:before="28" w:line="252" w:lineRule="auto"/>
        <w:ind w:left="4191" w:right="511"/>
      </w:pPr>
      <w:r>
        <w:t>危险化学品作业场所火灾自动报警系统特殊要求</w:t>
      </w:r>
    </w:p>
    <w:p>
      <w:pPr>
        <w:pStyle w:val="Title"/>
        <w:ind w:firstLine="0"/>
      </w:pPr>
      <w:r>
        <w:rPr>
          <w:spacing w:val="-64"/>
        </w:rPr>
        <w:t xml:space="preserve">第 </w:t>
      </w:r>
      <w:r>
        <w:t>2</w:t>
      </w:r>
      <w:r>
        <w:rPr>
          <w:spacing w:val="-13"/>
        </w:rPr>
        <w:t xml:space="preserve"> 部分：消防应急照明和疏散指示系统</w:t>
      </w:r>
    </w:p>
    <w:p>
      <w:pPr>
        <w:spacing w:after="0"/>
        <w:sectPr>
          <w:type w:val="continuous"/>
          <w:pgSz w:w="11910" w:h="16840"/>
          <w:pgMar w:top="1580" w:right="820" w:bottom="280" w:left="920" w:header="708" w:footer="708"/>
          <w:cols w:space="708"/>
        </w:sectPr>
      </w:pPr>
    </w:p>
    <w:p>
      <w:pPr>
        <w:pStyle w:val="BodyText"/>
        <w:rPr>
          <w:rFonts w:ascii="黑体"/>
          <w:sz w:val="20"/>
        </w:rPr>
      </w:pPr>
    </w:p>
    <w:p>
      <w:pPr>
        <w:pStyle w:val="BodyText"/>
        <w:rPr>
          <w:rFonts w:ascii="黑体"/>
          <w:sz w:val="20"/>
        </w:rPr>
      </w:pPr>
    </w:p>
    <w:p>
      <w:pPr>
        <w:pStyle w:val="BodyText"/>
        <w:spacing w:before="3"/>
        <w:rPr>
          <w:rFonts w:ascii="黑体"/>
          <w:sz w:val="27"/>
        </w:rPr>
      </w:pPr>
    </w:p>
    <w:p>
      <w:pPr>
        <w:pStyle w:val="Heading1"/>
        <w:tabs>
          <w:tab w:val="left" w:pos="1141"/>
        </w:tabs>
        <w:ind w:firstLine="0"/>
        <w:jc w:val="center"/>
      </w:pPr>
      <w:r>
        <w:t>目</w:t>
        <w:tab/>
        <w:t>次</w:t>
      </w:r>
    </w:p>
    <w:p>
      <w:pPr>
        <w:pStyle w:val="BodyText"/>
        <w:rPr>
          <w:rFonts w:ascii="黑体"/>
          <w:sz w:val="32"/>
        </w:rPr>
      </w:pPr>
    </w:p>
    <w:p>
      <w:pPr>
        <w:pStyle w:val="BodyText"/>
        <w:rPr>
          <w:rFonts w:ascii="黑体"/>
          <w:sz w:val="32"/>
        </w:rPr>
      </w:pPr>
    </w:p>
    <w:p>
      <w:pPr>
        <w:pStyle w:val="BodyText"/>
        <w:rPr>
          <w:rFonts w:ascii="黑体"/>
          <w:sz w:val="32"/>
        </w:rPr>
      </w:pPr>
    </w:p>
    <w:p>
      <w:pPr>
        <w:pStyle w:val="BodyText"/>
        <w:tabs>
          <w:tab w:val="left" w:leader="dot" w:pos="9641"/>
        </w:tabs>
        <w:spacing w:before="255"/>
        <w:ind w:left="498"/>
      </w:pPr>
      <w:hyperlink w:anchor="_bookmark1" w:history="1">
        <w:r>
          <w:t>1</w:t>
        </w:r>
        <w:r>
          <w:rPr>
            <w:spacing w:val="1"/>
          </w:rPr>
          <w:t xml:space="preserve"> </w:t>
        </w:r>
        <w:r>
          <w:t>范围</w:t>
        </w:r>
        <w:r>
          <w:rPr>
            <w:rFonts w:ascii="Times New Roman" w:eastAsia="Times New Roman"/>
          </w:rPr>
          <w:tab/>
        </w:r>
        <w:r>
          <w:t>1</w:t>
        </w:r>
      </w:hyperlink>
    </w:p>
    <w:p>
      <w:pPr>
        <w:pStyle w:val="BodyText"/>
        <w:tabs>
          <w:tab w:val="left" w:leader="dot" w:pos="9641"/>
        </w:tabs>
        <w:spacing w:before="133"/>
        <w:ind w:left="498"/>
      </w:pPr>
      <w:hyperlink w:anchor="_bookmark2" w:history="1">
        <w:r>
          <w:t>2</w:t>
        </w:r>
        <w:r>
          <w:rPr>
            <w:spacing w:val="4"/>
          </w:rPr>
          <w:t xml:space="preserve"> </w:t>
        </w:r>
        <w:r>
          <w:t>规</w:t>
        </w:r>
        <w:r>
          <w:rPr>
            <w:spacing w:val="-3"/>
          </w:rPr>
          <w:t>范</w:t>
        </w:r>
        <w:r>
          <w:t>性</w:t>
        </w:r>
        <w:r>
          <w:rPr>
            <w:spacing w:val="-3"/>
          </w:rPr>
          <w:t>引</w:t>
        </w:r>
        <w:r>
          <w:t>用</w:t>
        </w:r>
        <w:r>
          <w:rPr>
            <w:spacing w:val="-3"/>
          </w:rPr>
          <w:t>文</w:t>
        </w:r>
        <w:r>
          <w:t>件</w:t>
        </w:r>
        <w:r>
          <w:rPr>
            <w:rFonts w:ascii="Times New Roman" w:eastAsia="Times New Roman"/>
          </w:rPr>
          <w:tab/>
        </w:r>
        <w:r>
          <w:t>1</w:t>
        </w:r>
      </w:hyperlink>
    </w:p>
    <w:p>
      <w:pPr>
        <w:pStyle w:val="BodyText"/>
        <w:tabs>
          <w:tab w:val="left" w:leader="dot" w:pos="9641"/>
        </w:tabs>
        <w:spacing w:before="131"/>
        <w:ind w:left="498"/>
      </w:pPr>
      <w:hyperlink w:anchor="_bookmark3" w:history="1">
        <w:r>
          <w:t>3</w:t>
        </w:r>
        <w:r>
          <w:rPr>
            <w:spacing w:val="3"/>
          </w:rPr>
          <w:t xml:space="preserve"> </w:t>
        </w:r>
        <w:r>
          <w:t>术</w:t>
        </w:r>
        <w:r>
          <w:rPr>
            <w:spacing w:val="-3"/>
          </w:rPr>
          <w:t>语</w:t>
        </w:r>
        <w:r>
          <w:t>和</w:t>
        </w:r>
        <w:r>
          <w:rPr>
            <w:spacing w:val="-3"/>
          </w:rPr>
          <w:t>定</w:t>
        </w:r>
        <w:r>
          <w:t>义</w:t>
        </w:r>
        <w:r>
          <w:rPr>
            <w:rFonts w:ascii="Times New Roman" w:eastAsia="Times New Roman"/>
          </w:rPr>
          <w:tab/>
        </w:r>
        <w:r>
          <w:t>1</w:t>
        </w:r>
      </w:hyperlink>
    </w:p>
    <w:p>
      <w:pPr>
        <w:pStyle w:val="BodyText"/>
        <w:tabs>
          <w:tab w:val="left" w:leader="dot" w:pos="9641"/>
        </w:tabs>
        <w:spacing w:before="130"/>
        <w:ind w:left="498"/>
      </w:pPr>
      <w:hyperlink w:anchor="_bookmark4" w:history="1">
        <w:r>
          <w:t>4</w:t>
        </w:r>
        <w:r>
          <w:rPr>
            <w:spacing w:val="1"/>
          </w:rPr>
          <w:t xml:space="preserve"> </w:t>
        </w:r>
        <w:r>
          <w:t>要求</w:t>
        </w:r>
        <w:r>
          <w:rPr>
            <w:rFonts w:ascii="Times New Roman" w:eastAsia="Times New Roman"/>
          </w:rPr>
          <w:tab/>
        </w:r>
        <w:r>
          <w:t>2</w:t>
        </w:r>
      </w:hyperlink>
    </w:p>
    <w:p>
      <w:pPr>
        <w:pStyle w:val="BodyText"/>
        <w:tabs>
          <w:tab w:val="left" w:leader="dot" w:pos="9641"/>
        </w:tabs>
        <w:spacing w:before="50"/>
        <w:ind w:left="710"/>
      </w:pPr>
      <w:hyperlink w:anchor="_bookmark5" w:history="1">
        <w:r>
          <w:t>4.1</w:t>
        </w:r>
        <w:r>
          <w:rPr>
            <w:spacing w:val="1"/>
          </w:rPr>
          <w:t xml:space="preserve"> </w:t>
        </w:r>
        <w:r>
          <w:rPr>
            <w:spacing w:val="-3"/>
          </w:rPr>
          <w:t>通则</w:t>
        </w:r>
        <w:r>
          <w:rPr>
            <w:rFonts w:ascii="Times New Roman" w:eastAsia="Times New Roman"/>
            <w:spacing w:val="-3"/>
          </w:rPr>
          <w:tab/>
        </w:r>
        <w:r>
          <w:t>2</w:t>
        </w:r>
      </w:hyperlink>
    </w:p>
    <w:p>
      <w:pPr>
        <w:pStyle w:val="ListParagraph"/>
        <w:numPr>
          <w:ilvl w:val="1"/>
          <w:numId w:val="16"/>
        </w:numPr>
        <w:tabs>
          <w:tab w:val="left" w:pos="1028"/>
          <w:tab w:val="left" w:leader="dot" w:pos="9641"/>
        </w:tabs>
        <w:spacing w:before="31" w:after="0" w:line="240" w:lineRule="auto"/>
        <w:ind w:left="1027" w:right="0" w:hanging="318"/>
        <w:jc w:val="left"/>
        <w:rPr>
          <w:sz w:val="21"/>
        </w:rPr>
      </w:pPr>
      <w:hyperlink w:anchor="_bookmark6" w:history="1">
        <w:r>
          <w:rPr>
            <w:spacing w:val="-3"/>
            <w:sz w:val="21"/>
          </w:rPr>
          <w:t>系</w:t>
        </w:r>
        <w:r>
          <w:rPr>
            <w:sz w:val="21"/>
          </w:rPr>
          <w:t>统</w:t>
        </w:r>
        <w:r>
          <w:rPr>
            <w:spacing w:val="-3"/>
            <w:sz w:val="21"/>
          </w:rPr>
          <w:t>要</w:t>
        </w:r>
        <w:r>
          <w:rPr>
            <w:sz w:val="21"/>
          </w:rPr>
          <w:t>求</w:t>
        </w:r>
        <w:r>
          <w:rPr>
            <w:rFonts w:ascii="Times New Roman" w:eastAsia="Times New Roman"/>
            <w:sz w:val="21"/>
          </w:rPr>
          <w:tab/>
        </w:r>
        <w:r>
          <w:rPr>
            <w:sz w:val="21"/>
          </w:rPr>
          <w:t>2</w:t>
        </w:r>
      </w:hyperlink>
    </w:p>
    <w:p>
      <w:pPr>
        <w:pStyle w:val="ListParagraph"/>
        <w:numPr>
          <w:ilvl w:val="1"/>
          <w:numId w:val="16"/>
        </w:numPr>
        <w:tabs>
          <w:tab w:val="left" w:pos="1028"/>
          <w:tab w:val="left" w:leader="dot" w:pos="9641"/>
        </w:tabs>
        <w:spacing w:before="31" w:after="0" w:line="240" w:lineRule="auto"/>
        <w:ind w:left="1027" w:right="0" w:hanging="318"/>
        <w:jc w:val="left"/>
        <w:rPr>
          <w:sz w:val="21"/>
        </w:rPr>
      </w:pPr>
      <w:hyperlink w:anchor="_bookmark7" w:history="1">
        <w:r>
          <w:rPr>
            <w:spacing w:val="-3"/>
            <w:sz w:val="21"/>
          </w:rPr>
          <w:t>消</w:t>
        </w:r>
        <w:r>
          <w:rPr>
            <w:sz w:val="21"/>
          </w:rPr>
          <w:t>防</w:t>
        </w:r>
        <w:r>
          <w:rPr>
            <w:spacing w:val="-3"/>
            <w:sz w:val="21"/>
          </w:rPr>
          <w:t>应</w:t>
        </w:r>
        <w:r>
          <w:rPr>
            <w:sz w:val="21"/>
          </w:rPr>
          <w:t>急</w:t>
        </w:r>
        <w:r>
          <w:rPr>
            <w:spacing w:val="-3"/>
            <w:sz w:val="21"/>
          </w:rPr>
          <w:t>灯</w:t>
        </w:r>
        <w:r>
          <w:rPr>
            <w:sz w:val="21"/>
          </w:rPr>
          <w:t>具</w:t>
        </w:r>
        <w:r>
          <w:rPr>
            <w:spacing w:val="-3"/>
            <w:sz w:val="21"/>
          </w:rPr>
          <w:t>的</w:t>
        </w:r>
        <w:r>
          <w:rPr>
            <w:sz w:val="21"/>
          </w:rPr>
          <w:t>功</w:t>
        </w:r>
        <w:r>
          <w:rPr>
            <w:spacing w:val="-3"/>
            <w:sz w:val="21"/>
          </w:rPr>
          <w:t>能</w:t>
        </w:r>
        <w:r>
          <w:rPr>
            <w:sz w:val="21"/>
          </w:rPr>
          <w:t>和性</w:t>
        </w:r>
        <w:r>
          <w:rPr>
            <w:spacing w:val="-3"/>
            <w:sz w:val="21"/>
          </w:rPr>
          <w:t>能</w:t>
        </w:r>
        <w:r>
          <w:rPr>
            <w:sz w:val="21"/>
          </w:rPr>
          <w:t>要求</w:t>
        </w:r>
        <w:r>
          <w:rPr>
            <w:rFonts w:ascii="Times New Roman" w:eastAsia="Times New Roman"/>
            <w:sz w:val="21"/>
          </w:rPr>
          <w:tab/>
        </w:r>
        <w:r>
          <w:rPr>
            <w:sz w:val="21"/>
          </w:rPr>
          <w:t>3</w:t>
        </w:r>
      </w:hyperlink>
    </w:p>
    <w:p>
      <w:pPr>
        <w:pStyle w:val="ListParagraph"/>
        <w:numPr>
          <w:ilvl w:val="1"/>
          <w:numId w:val="16"/>
        </w:numPr>
        <w:tabs>
          <w:tab w:val="left" w:pos="1028"/>
          <w:tab w:val="left" w:leader="dot" w:pos="9641"/>
        </w:tabs>
        <w:spacing w:before="31" w:after="0" w:line="240" w:lineRule="auto"/>
        <w:ind w:left="1027" w:right="0" w:hanging="318"/>
        <w:jc w:val="left"/>
        <w:rPr>
          <w:sz w:val="21"/>
        </w:rPr>
      </w:pPr>
      <w:hyperlink w:anchor="_bookmark8" w:history="1">
        <w:r>
          <w:rPr>
            <w:spacing w:val="-3"/>
            <w:sz w:val="21"/>
          </w:rPr>
          <w:t>应</w:t>
        </w:r>
        <w:r>
          <w:rPr>
            <w:sz w:val="21"/>
          </w:rPr>
          <w:t>急</w:t>
        </w:r>
        <w:r>
          <w:rPr>
            <w:spacing w:val="-3"/>
            <w:sz w:val="21"/>
          </w:rPr>
          <w:t>照</w:t>
        </w:r>
        <w:r>
          <w:rPr>
            <w:sz w:val="21"/>
          </w:rPr>
          <w:t>明</w:t>
        </w:r>
        <w:r>
          <w:rPr>
            <w:spacing w:val="-3"/>
            <w:sz w:val="21"/>
          </w:rPr>
          <w:t>控</w:t>
        </w:r>
        <w:r>
          <w:rPr>
            <w:sz w:val="21"/>
          </w:rPr>
          <w:t>制</w:t>
        </w:r>
        <w:r>
          <w:rPr>
            <w:spacing w:val="-3"/>
            <w:sz w:val="21"/>
          </w:rPr>
          <w:t>器</w:t>
        </w:r>
        <w:r>
          <w:rPr>
            <w:sz w:val="21"/>
          </w:rPr>
          <w:t>的</w:t>
        </w:r>
        <w:r>
          <w:rPr>
            <w:spacing w:val="-3"/>
            <w:sz w:val="21"/>
          </w:rPr>
          <w:t>功</w:t>
        </w:r>
        <w:r>
          <w:rPr>
            <w:sz w:val="21"/>
          </w:rPr>
          <w:t>能和</w:t>
        </w:r>
        <w:r>
          <w:rPr>
            <w:spacing w:val="-3"/>
            <w:sz w:val="21"/>
          </w:rPr>
          <w:t>性</w:t>
        </w:r>
        <w:r>
          <w:rPr>
            <w:sz w:val="21"/>
          </w:rPr>
          <w:t>能</w:t>
        </w:r>
        <w:r>
          <w:rPr>
            <w:spacing w:val="-3"/>
            <w:sz w:val="21"/>
          </w:rPr>
          <w:t>要</w:t>
        </w:r>
        <w:r>
          <w:rPr>
            <w:sz w:val="21"/>
          </w:rPr>
          <w:t>求</w:t>
        </w:r>
        <w:r>
          <w:rPr>
            <w:rFonts w:ascii="Times New Roman" w:eastAsia="Times New Roman"/>
            <w:sz w:val="21"/>
          </w:rPr>
          <w:tab/>
        </w:r>
        <w:r>
          <w:rPr>
            <w:sz w:val="21"/>
          </w:rPr>
          <w:t>4</w:t>
        </w:r>
      </w:hyperlink>
    </w:p>
    <w:p>
      <w:pPr>
        <w:pStyle w:val="ListParagraph"/>
        <w:numPr>
          <w:ilvl w:val="1"/>
          <w:numId w:val="16"/>
        </w:numPr>
        <w:tabs>
          <w:tab w:val="left" w:pos="1028"/>
          <w:tab w:val="left" w:leader="dot" w:pos="9641"/>
        </w:tabs>
        <w:spacing w:before="31" w:after="0" w:line="240" w:lineRule="auto"/>
        <w:ind w:left="1027" w:right="0" w:hanging="318"/>
        <w:jc w:val="left"/>
        <w:rPr>
          <w:sz w:val="21"/>
        </w:rPr>
      </w:pPr>
      <w:hyperlink w:anchor="_bookmark9" w:history="1">
        <w:r>
          <w:rPr>
            <w:spacing w:val="-3"/>
            <w:sz w:val="21"/>
          </w:rPr>
          <w:t>应</w:t>
        </w:r>
        <w:r>
          <w:rPr>
            <w:sz w:val="21"/>
          </w:rPr>
          <w:t>急</w:t>
        </w:r>
        <w:r>
          <w:rPr>
            <w:spacing w:val="-3"/>
            <w:sz w:val="21"/>
          </w:rPr>
          <w:t>照</w:t>
        </w:r>
        <w:r>
          <w:rPr>
            <w:sz w:val="21"/>
          </w:rPr>
          <w:t>明</w:t>
        </w:r>
        <w:r>
          <w:rPr>
            <w:spacing w:val="-3"/>
            <w:sz w:val="21"/>
          </w:rPr>
          <w:t>集</w:t>
        </w:r>
        <w:r>
          <w:rPr>
            <w:sz w:val="21"/>
          </w:rPr>
          <w:t>中</w:t>
        </w:r>
        <w:r>
          <w:rPr>
            <w:spacing w:val="-3"/>
            <w:sz w:val="21"/>
          </w:rPr>
          <w:t>电</w:t>
        </w:r>
        <w:r>
          <w:rPr>
            <w:sz w:val="21"/>
          </w:rPr>
          <w:t>源</w:t>
        </w:r>
        <w:r>
          <w:rPr>
            <w:spacing w:val="-3"/>
            <w:sz w:val="21"/>
          </w:rPr>
          <w:t>的</w:t>
        </w:r>
        <w:r>
          <w:rPr>
            <w:sz w:val="21"/>
          </w:rPr>
          <w:t>功能</w:t>
        </w:r>
        <w:r>
          <w:rPr>
            <w:spacing w:val="-3"/>
            <w:sz w:val="21"/>
          </w:rPr>
          <w:t>和</w:t>
        </w:r>
        <w:r>
          <w:rPr>
            <w:sz w:val="21"/>
          </w:rPr>
          <w:t>性</w:t>
        </w:r>
        <w:r>
          <w:rPr>
            <w:spacing w:val="-3"/>
            <w:sz w:val="21"/>
          </w:rPr>
          <w:t>能</w:t>
        </w:r>
        <w:r>
          <w:rPr>
            <w:sz w:val="21"/>
          </w:rPr>
          <w:t>要求</w:t>
        </w:r>
        <w:r>
          <w:rPr>
            <w:rFonts w:ascii="Times New Roman" w:eastAsia="Times New Roman"/>
            <w:sz w:val="21"/>
          </w:rPr>
          <w:tab/>
        </w:r>
        <w:r>
          <w:rPr>
            <w:sz w:val="21"/>
          </w:rPr>
          <w:t>4</w:t>
        </w:r>
      </w:hyperlink>
    </w:p>
    <w:p>
      <w:pPr>
        <w:pStyle w:val="ListParagraph"/>
        <w:numPr>
          <w:ilvl w:val="1"/>
          <w:numId w:val="16"/>
        </w:numPr>
        <w:tabs>
          <w:tab w:val="left" w:pos="1028"/>
          <w:tab w:val="left" w:leader="dot" w:pos="9641"/>
        </w:tabs>
        <w:spacing w:before="30" w:after="0" w:line="240" w:lineRule="auto"/>
        <w:ind w:left="1027" w:right="0" w:hanging="318"/>
        <w:jc w:val="left"/>
        <w:rPr>
          <w:sz w:val="21"/>
        </w:rPr>
      </w:pPr>
      <w:hyperlink w:anchor="_bookmark10" w:history="1">
        <w:r>
          <w:rPr>
            <w:spacing w:val="-3"/>
            <w:sz w:val="21"/>
          </w:rPr>
          <w:t>疏</w:t>
        </w:r>
        <w:r>
          <w:rPr>
            <w:sz w:val="21"/>
          </w:rPr>
          <w:t>散</w:t>
        </w:r>
        <w:r>
          <w:rPr>
            <w:spacing w:val="-3"/>
            <w:sz w:val="21"/>
          </w:rPr>
          <w:t>条</w:t>
        </w:r>
        <w:r>
          <w:rPr>
            <w:sz w:val="21"/>
          </w:rPr>
          <w:t>件</w:t>
        </w:r>
        <w:r>
          <w:rPr>
            <w:spacing w:val="-3"/>
            <w:sz w:val="21"/>
          </w:rPr>
          <w:t>监</w:t>
        </w:r>
        <w:r>
          <w:rPr>
            <w:sz w:val="21"/>
          </w:rPr>
          <w:t>测</w:t>
        </w:r>
        <w:r>
          <w:rPr>
            <w:spacing w:val="-3"/>
            <w:sz w:val="21"/>
          </w:rPr>
          <w:t>装</w:t>
        </w:r>
        <w:r>
          <w:rPr>
            <w:sz w:val="21"/>
          </w:rPr>
          <w:t>置</w:t>
        </w:r>
        <w:r>
          <w:rPr>
            <w:spacing w:val="-3"/>
            <w:sz w:val="21"/>
          </w:rPr>
          <w:t>的</w:t>
        </w:r>
        <w:r>
          <w:rPr>
            <w:sz w:val="21"/>
          </w:rPr>
          <w:t>功能</w:t>
        </w:r>
        <w:r>
          <w:rPr>
            <w:spacing w:val="-3"/>
            <w:sz w:val="21"/>
          </w:rPr>
          <w:t>和</w:t>
        </w:r>
        <w:r>
          <w:rPr>
            <w:sz w:val="21"/>
          </w:rPr>
          <w:t>性</w:t>
        </w:r>
        <w:r>
          <w:rPr>
            <w:spacing w:val="-3"/>
            <w:sz w:val="21"/>
          </w:rPr>
          <w:t>能</w:t>
        </w:r>
        <w:r>
          <w:rPr>
            <w:sz w:val="21"/>
          </w:rPr>
          <w:t>要求</w:t>
        </w:r>
        <w:r>
          <w:rPr>
            <w:rFonts w:ascii="Times New Roman" w:eastAsia="Times New Roman"/>
            <w:sz w:val="21"/>
          </w:rPr>
          <w:tab/>
        </w:r>
        <w:r>
          <w:rPr>
            <w:sz w:val="21"/>
          </w:rPr>
          <w:t>5</w:t>
        </w:r>
      </w:hyperlink>
    </w:p>
    <w:p>
      <w:pPr>
        <w:pStyle w:val="ListParagraph"/>
        <w:numPr>
          <w:ilvl w:val="1"/>
          <w:numId w:val="16"/>
        </w:numPr>
        <w:tabs>
          <w:tab w:val="left" w:pos="1028"/>
          <w:tab w:val="left" w:leader="dot" w:pos="9641"/>
        </w:tabs>
        <w:spacing w:before="31" w:after="0" w:line="240" w:lineRule="auto"/>
        <w:ind w:left="1027" w:right="0" w:hanging="318"/>
        <w:jc w:val="left"/>
        <w:rPr>
          <w:sz w:val="21"/>
        </w:rPr>
      </w:pPr>
      <w:hyperlink w:anchor="_bookmark11" w:history="1">
        <w:r>
          <w:rPr>
            <w:spacing w:val="-3"/>
            <w:sz w:val="21"/>
          </w:rPr>
          <w:t>冗</w:t>
        </w:r>
        <w:r>
          <w:rPr>
            <w:sz w:val="21"/>
          </w:rPr>
          <w:t>余</w:t>
        </w:r>
        <w:r>
          <w:rPr>
            <w:spacing w:val="-3"/>
            <w:sz w:val="21"/>
          </w:rPr>
          <w:t>功</w:t>
        </w:r>
        <w:r>
          <w:rPr>
            <w:sz w:val="21"/>
          </w:rPr>
          <w:t>能</w:t>
        </w:r>
        <w:r>
          <w:rPr>
            <w:rFonts w:ascii="Times New Roman" w:eastAsia="Times New Roman"/>
            <w:sz w:val="21"/>
          </w:rPr>
          <w:tab/>
        </w:r>
        <w:r>
          <w:rPr>
            <w:sz w:val="21"/>
          </w:rPr>
          <w:t>5</w:t>
        </w:r>
      </w:hyperlink>
    </w:p>
    <w:p>
      <w:pPr>
        <w:pStyle w:val="ListParagraph"/>
        <w:numPr>
          <w:ilvl w:val="1"/>
          <w:numId w:val="16"/>
        </w:numPr>
        <w:tabs>
          <w:tab w:val="left" w:pos="1028"/>
          <w:tab w:val="left" w:leader="dot" w:pos="9641"/>
        </w:tabs>
        <w:spacing w:before="32" w:after="0" w:line="240" w:lineRule="auto"/>
        <w:ind w:left="1027" w:right="0" w:hanging="318"/>
        <w:jc w:val="left"/>
        <w:rPr>
          <w:sz w:val="21"/>
        </w:rPr>
      </w:pPr>
      <w:hyperlink w:anchor="_bookmark12" w:history="1">
        <w:r>
          <w:rPr>
            <w:spacing w:val="-3"/>
            <w:sz w:val="21"/>
          </w:rPr>
          <w:t>防</w:t>
        </w:r>
        <w:r>
          <w:rPr>
            <w:sz w:val="21"/>
          </w:rPr>
          <w:t>护</w:t>
        </w:r>
        <w:r>
          <w:rPr>
            <w:spacing w:val="-3"/>
            <w:sz w:val="21"/>
          </w:rPr>
          <w:t>性</w:t>
        </w:r>
        <w:r>
          <w:rPr>
            <w:sz w:val="21"/>
          </w:rPr>
          <w:t>能</w:t>
        </w:r>
        <w:r>
          <w:rPr>
            <w:rFonts w:ascii="Times New Roman" w:eastAsia="Times New Roman"/>
            <w:sz w:val="21"/>
          </w:rPr>
          <w:tab/>
        </w:r>
        <w:r>
          <w:rPr>
            <w:sz w:val="21"/>
          </w:rPr>
          <w:t>5</w:t>
        </w:r>
      </w:hyperlink>
    </w:p>
    <w:p>
      <w:pPr>
        <w:pStyle w:val="ListParagraph"/>
        <w:numPr>
          <w:ilvl w:val="1"/>
          <w:numId w:val="16"/>
        </w:numPr>
        <w:tabs>
          <w:tab w:val="left" w:pos="1028"/>
          <w:tab w:val="left" w:leader="dot" w:pos="9641"/>
        </w:tabs>
        <w:spacing w:before="31" w:after="0" w:line="240" w:lineRule="auto"/>
        <w:ind w:left="1027" w:right="0" w:hanging="318"/>
        <w:jc w:val="left"/>
        <w:rPr>
          <w:sz w:val="21"/>
        </w:rPr>
      </w:pPr>
      <w:hyperlink w:anchor="_bookmark13" w:history="1">
        <w:r>
          <w:rPr>
            <w:spacing w:val="-3"/>
            <w:sz w:val="21"/>
          </w:rPr>
          <w:t>气</w:t>
        </w:r>
        <w:r>
          <w:rPr>
            <w:sz w:val="21"/>
          </w:rPr>
          <w:t>候</w:t>
        </w:r>
        <w:r>
          <w:rPr>
            <w:spacing w:val="-3"/>
            <w:sz w:val="21"/>
          </w:rPr>
          <w:t>环</w:t>
        </w:r>
        <w:r>
          <w:rPr>
            <w:sz w:val="21"/>
          </w:rPr>
          <w:t>境</w:t>
        </w:r>
        <w:r>
          <w:rPr>
            <w:spacing w:val="-3"/>
            <w:sz w:val="21"/>
          </w:rPr>
          <w:t>耐</w:t>
        </w:r>
        <w:r>
          <w:rPr>
            <w:sz w:val="21"/>
          </w:rPr>
          <w:t>受性</w:t>
        </w:r>
        <w:r>
          <w:rPr>
            <w:rFonts w:ascii="Times New Roman" w:eastAsia="Times New Roman"/>
            <w:sz w:val="21"/>
          </w:rPr>
          <w:tab/>
        </w:r>
        <w:r>
          <w:rPr>
            <w:sz w:val="21"/>
          </w:rPr>
          <w:t>6</w:t>
        </w:r>
      </w:hyperlink>
    </w:p>
    <w:p>
      <w:pPr>
        <w:pStyle w:val="ListParagraph"/>
        <w:numPr>
          <w:ilvl w:val="1"/>
          <w:numId w:val="16"/>
        </w:numPr>
        <w:tabs>
          <w:tab w:val="left" w:pos="1134"/>
          <w:tab w:val="left" w:leader="dot" w:pos="9641"/>
        </w:tabs>
        <w:spacing w:before="31" w:after="0" w:line="240" w:lineRule="auto"/>
        <w:ind w:left="1133" w:right="0" w:hanging="424"/>
        <w:jc w:val="left"/>
        <w:rPr>
          <w:sz w:val="21"/>
        </w:rPr>
      </w:pPr>
      <w:hyperlink w:anchor="_bookmark14" w:history="1">
        <w:r>
          <w:rPr>
            <w:sz w:val="21"/>
          </w:rPr>
          <w:t>电</w:t>
        </w:r>
        <w:r>
          <w:rPr>
            <w:spacing w:val="-3"/>
            <w:sz w:val="21"/>
          </w:rPr>
          <w:t>磁</w:t>
        </w:r>
        <w:r>
          <w:rPr>
            <w:sz w:val="21"/>
          </w:rPr>
          <w:t>兼</w:t>
        </w:r>
        <w:r>
          <w:rPr>
            <w:spacing w:val="-3"/>
            <w:sz w:val="21"/>
          </w:rPr>
          <w:t>容</w:t>
        </w:r>
        <w:r>
          <w:rPr>
            <w:sz w:val="21"/>
          </w:rPr>
          <w:t>性能</w:t>
        </w:r>
        <w:r>
          <w:rPr>
            <w:rFonts w:ascii="Times New Roman" w:eastAsia="Times New Roman"/>
            <w:sz w:val="21"/>
          </w:rPr>
          <w:tab/>
        </w:r>
        <w:r>
          <w:rPr>
            <w:sz w:val="21"/>
          </w:rPr>
          <w:t>7</w:t>
        </w:r>
      </w:hyperlink>
    </w:p>
    <w:p>
      <w:pPr>
        <w:pStyle w:val="BodyText"/>
        <w:tabs>
          <w:tab w:val="left" w:leader="dot" w:pos="9641"/>
        </w:tabs>
        <w:spacing w:before="112"/>
        <w:ind w:left="498"/>
      </w:pPr>
      <w:hyperlink w:anchor="_bookmark15" w:history="1">
        <w:r>
          <w:t>5</w:t>
        </w:r>
        <w:r>
          <w:rPr>
            <w:spacing w:val="1"/>
          </w:rPr>
          <w:t xml:space="preserve"> </w:t>
        </w:r>
        <w:r>
          <w:t>试验</w:t>
        </w:r>
        <w:r>
          <w:rPr>
            <w:rFonts w:ascii="Times New Roman" w:eastAsia="Times New Roman"/>
          </w:rPr>
          <w:tab/>
        </w:r>
        <w:r>
          <w:t>7</w:t>
        </w:r>
      </w:hyperlink>
    </w:p>
    <w:p>
      <w:pPr>
        <w:pStyle w:val="BodyText"/>
        <w:tabs>
          <w:tab w:val="left" w:leader="dot" w:pos="9641"/>
        </w:tabs>
        <w:spacing w:before="50"/>
        <w:ind w:left="710"/>
      </w:pPr>
      <w:hyperlink w:anchor="_bookmark16" w:history="1">
        <w:r>
          <w:t>5.1</w:t>
        </w:r>
        <w:r>
          <w:rPr>
            <w:spacing w:val="1"/>
          </w:rPr>
          <w:t xml:space="preserve"> </w:t>
        </w:r>
        <w:r>
          <w:rPr>
            <w:spacing w:val="-3"/>
          </w:rPr>
          <w:t>通则</w:t>
        </w:r>
        <w:r>
          <w:rPr>
            <w:rFonts w:ascii="Times New Roman" w:eastAsia="Times New Roman"/>
            <w:spacing w:val="-3"/>
          </w:rPr>
          <w:tab/>
        </w:r>
        <w:r>
          <w:t>7</w:t>
        </w:r>
      </w:hyperlink>
    </w:p>
    <w:p>
      <w:pPr>
        <w:pStyle w:val="ListParagraph"/>
        <w:numPr>
          <w:ilvl w:val="1"/>
          <w:numId w:val="15"/>
        </w:numPr>
        <w:tabs>
          <w:tab w:val="left" w:pos="1028"/>
          <w:tab w:val="left" w:leader="dot" w:pos="9641"/>
        </w:tabs>
        <w:spacing w:before="31" w:after="0" w:line="240" w:lineRule="auto"/>
        <w:ind w:left="1027" w:right="0" w:hanging="318"/>
        <w:jc w:val="left"/>
        <w:rPr>
          <w:sz w:val="21"/>
        </w:rPr>
      </w:pPr>
      <w:hyperlink w:anchor="_bookmark17" w:history="1">
        <w:r>
          <w:rPr>
            <w:spacing w:val="-3"/>
            <w:sz w:val="21"/>
          </w:rPr>
          <w:t>系</w:t>
        </w:r>
        <w:r>
          <w:rPr>
            <w:sz w:val="21"/>
          </w:rPr>
          <w:t>统</w:t>
        </w:r>
        <w:r>
          <w:rPr>
            <w:spacing w:val="-3"/>
            <w:sz w:val="21"/>
          </w:rPr>
          <w:t>电</w:t>
        </w:r>
        <w:r>
          <w:rPr>
            <w:sz w:val="21"/>
          </w:rPr>
          <w:t>源</w:t>
        </w:r>
        <w:r>
          <w:rPr>
            <w:spacing w:val="-3"/>
            <w:sz w:val="21"/>
          </w:rPr>
          <w:t>试</w:t>
        </w:r>
        <w:r>
          <w:rPr>
            <w:sz w:val="21"/>
          </w:rPr>
          <w:t>验</w:t>
        </w:r>
        <w:r>
          <w:rPr>
            <w:rFonts w:ascii="Times New Roman" w:eastAsia="Times New Roman"/>
            <w:sz w:val="21"/>
          </w:rPr>
          <w:tab/>
        </w:r>
        <w:r>
          <w:rPr>
            <w:sz w:val="21"/>
          </w:rPr>
          <w:t>8</w:t>
        </w:r>
      </w:hyperlink>
    </w:p>
    <w:p>
      <w:pPr>
        <w:pStyle w:val="ListParagraph"/>
        <w:numPr>
          <w:ilvl w:val="1"/>
          <w:numId w:val="15"/>
        </w:numPr>
        <w:tabs>
          <w:tab w:val="left" w:pos="1028"/>
          <w:tab w:val="left" w:leader="dot" w:pos="9641"/>
        </w:tabs>
        <w:spacing w:before="31" w:after="0" w:line="240" w:lineRule="auto"/>
        <w:ind w:left="1027" w:right="0" w:hanging="318"/>
        <w:jc w:val="left"/>
        <w:rPr>
          <w:sz w:val="21"/>
        </w:rPr>
      </w:pPr>
      <w:hyperlink w:anchor="_bookmark18" w:history="1">
        <w:r>
          <w:rPr>
            <w:spacing w:val="-3"/>
            <w:sz w:val="21"/>
          </w:rPr>
          <w:t>系</w:t>
        </w:r>
        <w:r>
          <w:rPr>
            <w:sz w:val="21"/>
          </w:rPr>
          <w:t>统</w:t>
        </w:r>
        <w:r>
          <w:rPr>
            <w:spacing w:val="-3"/>
            <w:sz w:val="21"/>
          </w:rPr>
          <w:t>应</w:t>
        </w:r>
        <w:r>
          <w:rPr>
            <w:sz w:val="21"/>
          </w:rPr>
          <w:t>急</w:t>
        </w:r>
        <w:r>
          <w:rPr>
            <w:spacing w:val="-3"/>
            <w:sz w:val="21"/>
          </w:rPr>
          <w:t>启</w:t>
        </w:r>
        <w:r>
          <w:rPr>
            <w:sz w:val="21"/>
          </w:rPr>
          <w:t>动</w:t>
        </w:r>
        <w:r>
          <w:rPr>
            <w:spacing w:val="-3"/>
            <w:sz w:val="21"/>
          </w:rPr>
          <w:t>功</w:t>
        </w:r>
        <w:r>
          <w:rPr>
            <w:sz w:val="21"/>
          </w:rPr>
          <w:t>能</w:t>
        </w:r>
        <w:r>
          <w:rPr>
            <w:spacing w:val="-3"/>
            <w:sz w:val="21"/>
          </w:rPr>
          <w:t>试</w:t>
        </w:r>
        <w:r>
          <w:rPr>
            <w:sz w:val="21"/>
          </w:rPr>
          <w:t>验</w:t>
        </w:r>
        <w:r>
          <w:rPr>
            <w:rFonts w:ascii="Times New Roman" w:eastAsia="Times New Roman"/>
            <w:sz w:val="21"/>
          </w:rPr>
          <w:tab/>
        </w:r>
        <w:r>
          <w:rPr>
            <w:sz w:val="21"/>
          </w:rPr>
          <w:t>9</w:t>
        </w:r>
      </w:hyperlink>
    </w:p>
    <w:p>
      <w:pPr>
        <w:pStyle w:val="ListParagraph"/>
        <w:numPr>
          <w:ilvl w:val="1"/>
          <w:numId w:val="15"/>
        </w:numPr>
        <w:tabs>
          <w:tab w:val="left" w:pos="1028"/>
          <w:tab w:val="left" w:leader="dot" w:pos="9641"/>
        </w:tabs>
        <w:spacing w:before="31" w:after="0" w:line="240" w:lineRule="auto"/>
        <w:ind w:left="1027" w:right="0" w:hanging="318"/>
        <w:jc w:val="left"/>
        <w:rPr>
          <w:sz w:val="21"/>
        </w:rPr>
      </w:pPr>
      <w:hyperlink w:anchor="_bookmark19" w:history="1">
        <w:r>
          <w:rPr>
            <w:spacing w:val="-3"/>
            <w:sz w:val="21"/>
          </w:rPr>
          <w:t>部</w:t>
        </w:r>
        <w:r>
          <w:rPr>
            <w:sz w:val="21"/>
          </w:rPr>
          <w:t>件</w:t>
        </w:r>
        <w:r>
          <w:rPr>
            <w:spacing w:val="-3"/>
            <w:sz w:val="21"/>
          </w:rPr>
          <w:t>在</w:t>
        </w:r>
        <w:r>
          <w:rPr>
            <w:sz w:val="21"/>
          </w:rPr>
          <w:t>线</w:t>
        </w:r>
        <w:r>
          <w:rPr>
            <w:spacing w:val="-3"/>
            <w:sz w:val="21"/>
          </w:rPr>
          <w:t>更</w:t>
        </w:r>
        <w:r>
          <w:rPr>
            <w:sz w:val="21"/>
          </w:rPr>
          <w:t>换</w:t>
        </w:r>
        <w:r>
          <w:rPr>
            <w:spacing w:val="-3"/>
            <w:sz w:val="21"/>
          </w:rPr>
          <w:t>功</w:t>
        </w:r>
        <w:r>
          <w:rPr>
            <w:sz w:val="21"/>
          </w:rPr>
          <w:t>能</w:t>
        </w:r>
        <w:r>
          <w:rPr>
            <w:spacing w:val="-3"/>
            <w:sz w:val="21"/>
          </w:rPr>
          <w:t>试</w:t>
        </w:r>
        <w:r>
          <w:rPr>
            <w:sz w:val="21"/>
          </w:rPr>
          <w:t>验</w:t>
        </w:r>
        <w:r>
          <w:rPr>
            <w:rFonts w:ascii="Times New Roman" w:eastAsia="Times New Roman"/>
            <w:sz w:val="21"/>
          </w:rPr>
          <w:tab/>
        </w:r>
        <w:r>
          <w:rPr>
            <w:sz w:val="21"/>
          </w:rPr>
          <w:t>9</w:t>
        </w:r>
      </w:hyperlink>
    </w:p>
    <w:p>
      <w:pPr>
        <w:pStyle w:val="ListParagraph"/>
        <w:numPr>
          <w:ilvl w:val="1"/>
          <w:numId w:val="15"/>
        </w:numPr>
        <w:tabs>
          <w:tab w:val="left" w:pos="1028"/>
          <w:tab w:val="left" w:leader="dot" w:pos="9641"/>
        </w:tabs>
        <w:spacing w:before="31" w:after="0" w:line="240" w:lineRule="auto"/>
        <w:ind w:left="1027" w:right="0" w:hanging="318"/>
        <w:jc w:val="left"/>
        <w:rPr>
          <w:sz w:val="21"/>
        </w:rPr>
      </w:pPr>
      <w:hyperlink w:anchor="_bookmark20" w:history="1">
        <w:r>
          <w:rPr>
            <w:spacing w:val="-3"/>
            <w:sz w:val="21"/>
          </w:rPr>
          <w:t>无</w:t>
        </w:r>
        <w:r>
          <w:rPr>
            <w:sz w:val="21"/>
          </w:rPr>
          <w:t>线</w:t>
        </w:r>
        <w:r>
          <w:rPr>
            <w:spacing w:val="-3"/>
            <w:sz w:val="21"/>
          </w:rPr>
          <w:t>通</w:t>
        </w:r>
        <w:r>
          <w:rPr>
            <w:sz w:val="21"/>
          </w:rPr>
          <w:t>信</w:t>
        </w:r>
        <w:r>
          <w:rPr>
            <w:spacing w:val="-3"/>
            <w:sz w:val="21"/>
          </w:rPr>
          <w:t>功</w:t>
        </w:r>
        <w:r>
          <w:rPr>
            <w:sz w:val="21"/>
          </w:rPr>
          <w:t>能</w:t>
        </w:r>
        <w:r>
          <w:rPr>
            <w:spacing w:val="-3"/>
            <w:sz w:val="21"/>
          </w:rPr>
          <w:t>试</w:t>
        </w:r>
        <w:r>
          <w:rPr>
            <w:sz w:val="21"/>
          </w:rPr>
          <w:t>验</w:t>
        </w:r>
        <w:r>
          <w:rPr>
            <w:rFonts w:ascii="Times New Roman" w:eastAsia="Times New Roman"/>
            <w:sz w:val="21"/>
          </w:rPr>
          <w:tab/>
        </w:r>
        <w:r>
          <w:rPr>
            <w:sz w:val="21"/>
          </w:rPr>
          <w:t>9</w:t>
        </w:r>
      </w:hyperlink>
    </w:p>
    <w:p>
      <w:pPr>
        <w:pStyle w:val="ListParagraph"/>
        <w:numPr>
          <w:ilvl w:val="1"/>
          <w:numId w:val="15"/>
        </w:numPr>
        <w:tabs>
          <w:tab w:val="left" w:pos="1028"/>
          <w:tab w:val="left" w:leader="dot" w:pos="9641"/>
        </w:tabs>
        <w:spacing w:before="31" w:after="0" w:line="240" w:lineRule="auto"/>
        <w:ind w:left="1027" w:right="0" w:hanging="318"/>
        <w:jc w:val="left"/>
        <w:rPr>
          <w:sz w:val="21"/>
        </w:rPr>
      </w:pPr>
      <w:hyperlink w:anchor="_bookmark21" w:history="1">
        <w:r>
          <w:rPr>
            <w:spacing w:val="-3"/>
            <w:sz w:val="21"/>
          </w:rPr>
          <w:t>基</w:t>
        </w:r>
        <w:r>
          <w:rPr>
            <w:sz w:val="21"/>
          </w:rPr>
          <w:t>本</w:t>
        </w:r>
        <w:r>
          <w:rPr>
            <w:spacing w:val="-3"/>
            <w:sz w:val="21"/>
          </w:rPr>
          <w:t>功</w:t>
        </w:r>
        <w:r>
          <w:rPr>
            <w:sz w:val="21"/>
          </w:rPr>
          <w:t>能</w:t>
        </w:r>
        <w:r>
          <w:rPr>
            <w:spacing w:val="-3"/>
            <w:sz w:val="21"/>
          </w:rPr>
          <w:t>试</w:t>
        </w:r>
        <w:r>
          <w:rPr>
            <w:sz w:val="21"/>
          </w:rPr>
          <w:t>验</w:t>
        </w:r>
        <w:r>
          <w:rPr>
            <w:rFonts w:ascii="Times New Roman" w:eastAsia="Times New Roman"/>
            <w:sz w:val="21"/>
          </w:rPr>
          <w:tab/>
        </w:r>
        <w:r>
          <w:rPr>
            <w:sz w:val="21"/>
          </w:rPr>
          <w:t>9</w:t>
        </w:r>
      </w:hyperlink>
    </w:p>
    <w:p>
      <w:pPr>
        <w:pStyle w:val="ListParagraph"/>
        <w:numPr>
          <w:ilvl w:val="1"/>
          <w:numId w:val="15"/>
        </w:numPr>
        <w:tabs>
          <w:tab w:val="left" w:pos="1028"/>
          <w:tab w:val="left" w:leader="dot" w:pos="9641"/>
        </w:tabs>
        <w:spacing w:before="32" w:after="0" w:line="240" w:lineRule="auto"/>
        <w:ind w:left="1027" w:right="0" w:hanging="318"/>
        <w:jc w:val="left"/>
        <w:rPr>
          <w:sz w:val="21"/>
        </w:rPr>
      </w:pPr>
      <w:hyperlink w:anchor="_bookmark22" w:history="1">
        <w:r>
          <w:rPr>
            <w:spacing w:val="-3"/>
            <w:sz w:val="21"/>
          </w:rPr>
          <w:t>冗</w:t>
        </w:r>
        <w:r>
          <w:rPr>
            <w:sz w:val="21"/>
          </w:rPr>
          <w:t>余</w:t>
        </w:r>
        <w:r>
          <w:rPr>
            <w:spacing w:val="-3"/>
            <w:sz w:val="21"/>
          </w:rPr>
          <w:t>功</w:t>
        </w:r>
        <w:r>
          <w:rPr>
            <w:sz w:val="21"/>
          </w:rPr>
          <w:t>能</w:t>
        </w:r>
        <w:r>
          <w:rPr>
            <w:spacing w:val="-3"/>
            <w:sz w:val="21"/>
          </w:rPr>
          <w:t>试</w:t>
        </w:r>
        <w:r>
          <w:rPr>
            <w:sz w:val="21"/>
          </w:rPr>
          <w:t>验</w:t>
        </w:r>
        <w:r>
          <w:rPr>
            <w:rFonts w:ascii="Times New Roman" w:eastAsia="Times New Roman"/>
            <w:sz w:val="21"/>
          </w:rPr>
          <w:tab/>
        </w:r>
        <w:r>
          <w:rPr>
            <w:sz w:val="21"/>
          </w:rPr>
          <w:t>9</w:t>
        </w:r>
      </w:hyperlink>
    </w:p>
    <w:p>
      <w:pPr>
        <w:pStyle w:val="ListParagraph"/>
        <w:numPr>
          <w:ilvl w:val="1"/>
          <w:numId w:val="15"/>
        </w:numPr>
        <w:tabs>
          <w:tab w:val="left" w:pos="1028"/>
          <w:tab w:val="left" w:leader="dot" w:pos="9536"/>
        </w:tabs>
        <w:spacing w:before="30" w:after="0" w:line="240" w:lineRule="auto"/>
        <w:ind w:left="1027" w:right="0" w:hanging="318"/>
        <w:jc w:val="left"/>
        <w:rPr>
          <w:sz w:val="21"/>
        </w:rPr>
      </w:pPr>
      <w:hyperlink w:anchor="_bookmark23" w:history="1">
        <w:r>
          <w:rPr>
            <w:spacing w:val="-3"/>
            <w:sz w:val="21"/>
          </w:rPr>
          <w:t>防</w:t>
        </w:r>
        <w:r>
          <w:rPr>
            <w:sz w:val="21"/>
          </w:rPr>
          <w:t>护</w:t>
        </w:r>
        <w:r>
          <w:rPr>
            <w:spacing w:val="-3"/>
            <w:sz w:val="21"/>
          </w:rPr>
          <w:t>性</w:t>
        </w:r>
        <w:r>
          <w:rPr>
            <w:sz w:val="21"/>
          </w:rPr>
          <w:t>能</w:t>
        </w:r>
        <w:r>
          <w:rPr>
            <w:spacing w:val="-3"/>
            <w:sz w:val="21"/>
          </w:rPr>
          <w:t>试</w:t>
        </w:r>
        <w:r>
          <w:rPr>
            <w:sz w:val="21"/>
          </w:rPr>
          <w:t>验</w:t>
        </w:r>
        <w:r>
          <w:rPr>
            <w:rFonts w:ascii="Times New Roman" w:eastAsia="Times New Roman"/>
            <w:sz w:val="21"/>
          </w:rPr>
          <w:tab/>
        </w:r>
        <w:r>
          <w:rPr>
            <w:sz w:val="21"/>
          </w:rPr>
          <w:t>10</w:t>
        </w:r>
      </w:hyperlink>
    </w:p>
    <w:p>
      <w:pPr>
        <w:pStyle w:val="ListParagraph"/>
        <w:numPr>
          <w:ilvl w:val="1"/>
          <w:numId w:val="15"/>
        </w:numPr>
        <w:tabs>
          <w:tab w:val="left" w:pos="1028"/>
          <w:tab w:val="left" w:leader="dot" w:pos="9536"/>
        </w:tabs>
        <w:spacing w:before="31" w:after="0" w:line="240" w:lineRule="auto"/>
        <w:ind w:left="1027" w:right="0" w:hanging="318"/>
        <w:jc w:val="left"/>
        <w:rPr>
          <w:sz w:val="21"/>
        </w:rPr>
      </w:pPr>
      <w:hyperlink w:anchor="_bookmark24" w:history="1">
        <w:r>
          <w:rPr>
            <w:spacing w:val="-3"/>
            <w:sz w:val="21"/>
          </w:rPr>
          <w:t>交</w:t>
        </w:r>
        <w:r>
          <w:rPr>
            <w:sz w:val="21"/>
          </w:rPr>
          <w:t>变</w:t>
        </w:r>
        <w:r>
          <w:rPr>
            <w:spacing w:val="-3"/>
            <w:sz w:val="21"/>
          </w:rPr>
          <w:t>湿</w:t>
        </w:r>
        <w:r>
          <w:rPr>
            <w:sz w:val="21"/>
          </w:rPr>
          <w:t>热</w:t>
        </w:r>
        <w:r>
          <w:rPr>
            <w:spacing w:val="-3"/>
            <w:sz w:val="21"/>
          </w:rPr>
          <w:t>（</w:t>
        </w:r>
        <w:r>
          <w:rPr>
            <w:sz w:val="21"/>
          </w:rPr>
          <w:t>运</w:t>
        </w:r>
        <w:r>
          <w:rPr>
            <w:spacing w:val="-3"/>
            <w:sz w:val="21"/>
          </w:rPr>
          <w:t>行</w:t>
        </w:r>
        <w:r>
          <w:rPr>
            <w:sz w:val="21"/>
          </w:rPr>
          <w:t>）</w:t>
        </w:r>
        <w:r>
          <w:rPr>
            <w:spacing w:val="-3"/>
            <w:sz w:val="21"/>
          </w:rPr>
          <w:t>试</w:t>
        </w:r>
        <w:r>
          <w:rPr>
            <w:sz w:val="21"/>
          </w:rPr>
          <w:t>验</w:t>
        </w:r>
        <w:r>
          <w:rPr>
            <w:rFonts w:ascii="Times New Roman" w:eastAsia="Times New Roman"/>
            <w:sz w:val="21"/>
          </w:rPr>
          <w:tab/>
        </w:r>
        <w:r>
          <w:rPr>
            <w:sz w:val="21"/>
          </w:rPr>
          <w:t>10</w:t>
        </w:r>
      </w:hyperlink>
    </w:p>
    <w:p>
      <w:pPr>
        <w:pStyle w:val="ListParagraph"/>
        <w:numPr>
          <w:ilvl w:val="1"/>
          <w:numId w:val="15"/>
        </w:numPr>
        <w:tabs>
          <w:tab w:val="left" w:pos="1134"/>
          <w:tab w:val="left" w:leader="dot" w:pos="9536"/>
        </w:tabs>
        <w:spacing w:before="31" w:after="0" w:line="240" w:lineRule="auto"/>
        <w:ind w:left="1133" w:right="0" w:hanging="424"/>
        <w:jc w:val="left"/>
        <w:rPr>
          <w:sz w:val="21"/>
        </w:rPr>
      </w:pPr>
      <w:hyperlink w:anchor="_bookmark25" w:history="1">
        <w:r>
          <w:rPr>
            <w:position w:val="1"/>
            <w:sz w:val="21"/>
          </w:rPr>
          <w:t>二</w:t>
        </w:r>
        <w:r>
          <w:rPr>
            <w:spacing w:val="-3"/>
            <w:position w:val="1"/>
            <w:sz w:val="21"/>
          </w:rPr>
          <w:t>氧</w:t>
        </w:r>
        <w:r>
          <w:rPr>
            <w:position w:val="1"/>
            <w:sz w:val="21"/>
          </w:rPr>
          <w:t>化</w:t>
        </w:r>
        <w:r>
          <w:rPr>
            <w:spacing w:val="-3"/>
            <w:position w:val="1"/>
            <w:sz w:val="21"/>
          </w:rPr>
          <w:t>硫</w:t>
        </w:r>
        <w:r>
          <w:rPr>
            <w:position w:val="1"/>
            <w:sz w:val="21"/>
          </w:rPr>
          <w:t>（SO</w:t>
        </w:r>
        <w:r>
          <w:rPr>
            <w:sz w:val="11"/>
          </w:rPr>
          <w:t>2</w:t>
        </w:r>
        <w:r>
          <w:rPr>
            <w:position w:val="1"/>
            <w:sz w:val="21"/>
          </w:rPr>
          <w:t>）</w:t>
        </w:r>
        <w:r>
          <w:rPr>
            <w:spacing w:val="-3"/>
            <w:position w:val="1"/>
            <w:sz w:val="21"/>
          </w:rPr>
          <w:t>腐</w:t>
        </w:r>
        <w:r>
          <w:rPr>
            <w:position w:val="1"/>
            <w:sz w:val="21"/>
          </w:rPr>
          <w:t>蚀（</w:t>
        </w:r>
        <w:r>
          <w:rPr>
            <w:spacing w:val="-3"/>
            <w:position w:val="1"/>
            <w:sz w:val="21"/>
          </w:rPr>
          <w:t>耐</w:t>
        </w:r>
        <w:r>
          <w:rPr>
            <w:position w:val="1"/>
            <w:sz w:val="21"/>
          </w:rPr>
          <w:t>久</w:t>
        </w:r>
        <w:r>
          <w:rPr>
            <w:spacing w:val="-3"/>
            <w:position w:val="1"/>
            <w:sz w:val="21"/>
          </w:rPr>
          <w:t>）</w:t>
        </w:r>
        <w:r>
          <w:rPr>
            <w:position w:val="1"/>
            <w:sz w:val="21"/>
          </w:rPr>
          <w:t>试验</w:t>
        </w:r>
        <w:r>
          <w:rPr>
            <w:rFonts w:ascii="Times New Roman" w:eastAsia="Times New Roman"/>
            <w:position w:val="1"/>
            <w:sz w:val="21"/>
          </w:rPr>
          <w:tab/>
        </w:r>
        <w:r>
          <w:rPr>
            <w:position w:val="1"/>
            <w:sz w:val="21"/>
          </w:rPr>
          <w:t>10</w:t>
        </w:r>
      </w:hyperlink>
    </w:p>
    <w:p>
      <w:pPr>
        <w:pStyle w:val="BodyText"/>
        <w:tabs>
          <w:tab w:val="left" w:leader="dot" w:pos="9536"/>
        </w:tabs>
        <w:spacing w:before="31"/>
        <w:ind w:left="710"/>
      </w:pPr>
      <w:hyperlink w:anchor="_bookmark26" w:history="1">
        <w:r>
          <w:t>5.11 盐</w:t>
        </w:r>
        <w:r>
          <w:rPr>
            <w:spacing w:val="-3"/>
          </w:rPr>
          <w:t>雾</w:t>
        </w:r>
        <w:r>
          <w:t>试验</w:t>
        </w:r>
        <w:r>
          <w:rPr>
            <w:rFonts w:ascii="Times New Roman" w:eastAsia="Times New Roman"/>
          </w:rPr>
          <w:tab/>
        </w:r>
        <w:r>
          <w:t>10</w:t>
        </w:r>
      </w:hyperlink>
    </w:p>
    <w:p>
      <w:pPr>
        <w:pStyle w:val="BodyText"/>
        <w:tabs>
          <w:tab w:val="left" w:leader="dot" w:pos="9536"/>
        </w:tabs>
        <w:spacing w:before="31"/>
        <w:ind w:left="710"/>
      </w:pPr>
      <w:hyperlink w:anchor="_bookmark27" w:history="1">
        <w:r>
          <w:t>5.12 长</w:t>
        </w:r>
        <w:r>
          <w:rPr>
            <w:spacing w:val="-3"/>
          </w:rPr>
          <w:t>霉</w:t>
        </w:r>
        <w:r>
          <w:t>试验</w:t>
        </w:r>
        <w:r>
          <w:rPr>
            <w:rFonts w:ascii="Times New Roman" w:eastAsia="Times New Roman"/>
          </w:rPr>
          <w:tab/>
        </w:r>
        <w:r>
          <w:t>11</w:t>
        </w:r>
      </w:hyperlink>
    </w:p>
    <w:p>
      <w:pPr>
        <w:pStyle w:val="ListParagraph"/>
        <w:numPr>
          <w:ilvl w:val="1"/>
          <w:numId w:val="14"/>
        </w:numPr>
        <w:tabs>
          <w:tab w:val="left" w:pos="1134"/>
          <w:tab w:val="left" w:leader="dot" w:pos="9536"/>
        </w:tabs>
        <w:spacing w:before="31" w:after="0" w:line="240" w:lineRule="auto"/>
        <w:ind w:left="1133" w:right="0" w:hanging="424"/>
        <w:jc w:val="left"/>
        <w:rPr>
          <w:sz w:val="21"/>
        </w:rPr>
      </w:pPr>
      <w:hyperlink w:anchor="_bookmark28" w:history="1">
        <w:r>
          <w:rPr>
            <w:sz w:val="21"/>
          </w:rPr>
          <w:t>温</w:t>
        </w:r>
        <w:r>
          <w:rPr>
            <w:spacing w:val="-3"/>
            <w:sz w:val="21"/>
          </w:rPr>
          <w:t>度</w:t>
        </w:r>
        <w:r>
          <w:rPr>
            <w:sz w:val="21"/>
          </w:rPr>
          <w:t>变</w:t>
        </w:r>
        <w:r>
          <w:rPr>
            <w:spacing w:val="-3"/>
            <w:sz w:val="21"/>
          </w:rPr>
          <w:t>化</w:t>
        </w:r>
        <w:r>
          <w:rPr>
            <w:sz w:val="21"/>
          </w:rPr>
          <w:t>试验</w:t>
        </w:r>
        <w:r>
          <w:rPr>
            <w:rFonts w:ascii="Times New Roman" w:eastAsia="Times New Roman"/>
            <w:sz w:val="21"/>
          </w:rPr>
          <w:tab/>
        </w:r>
        <w:r>
          <w:rPr>
            <w:sz w:val="21"/>
          </w:rPr>
          <w:t>11</w:t>
        </w:r>
      </w:hyperlink>
    </w:p>
    <w:p>
      <w:pPr>
        <w:pStyle w:val="ListParagraph"/>
        <w:numPr>
          <w:ilvl w:val="1"/>
          <w:numId w:val="14"/>
        </w:numPr>
        <w:tabs>
          <w:tab w:val="left" w:pos="1134"/>
          <w:tab w:val="left" w:leader="dot" w:pos="9536"/>
        </w:tabs>
        <w:spacing w:before="31" w:after="0" w:line="240" w:lineRule="auto"/>
        <w:ind w:left="1133" w:right="0" w:hanging="424"/>
        <w:jc w:val="left"/>
        <w:rPr>
          <w:sz w:val="21"/>
        </w:rPr>
      </w:pPr>
      <w:hyperlink w:anchor="_bookmark29" w:history="1">
        <w:r>
          <w:rPr>
            <w:sz w:val="21"/>
          </w:rPr>
          <w:t>电</w:t>
        </w:r>
        <w:r>
          <w:rPr>
            <w:spacing w:val="-3"/>
            <w:sz w:val="21"/>
          </w:rPr>
          <w:t>快</w:t>
        </w:r>
        <w:r>
          <w:rPr>
            <w:sz w:val="21"/>
          </w:rPr>
          <w:t>速</w:t>
        </w:r>
        <w:r>
          <w:rPr>
            <w:spacing w:val="-3"/>
            <w:sz w:val="21"/>
          </w:rPr>
          <w:t>瞬</w:t>
        </w:r>
        <w:r>
          <w:rPr>
            <w:sz w:val="21"/>
          </w:rPr>
          <w:t>变</w:t>
        </w:r>
        <w:r>
          <w:rPr>
            <w:spacing w:val="-3"/>
            <w:sz w:val="21"/>
          </w:rPr>
          <w:t>脉</w:t>
        </w:r>
        <w:r>
          <w:rPr>
            <w:sz w:val="21"/>
          </w:rPr>
          <w:t>冲</w:t>
        </w:r>
        <w:r>
          <w:rPr>
            <w:spacing w:val="-3"/>
            <w:sz w:val="21"/>
          </w:rPr>
          <w:t>群抗</w:t>
        </w:r>
        <w:r>
          <w:rPr>
            <w:sz w:val="21"/>
          </w:rPr>
          <w:t>扰度</w:t>
        </w:r>
        <w:r>
          <w:rPr>
            <w:spacing w:val="-3"/>
            <w:sz w:val="21"/>
          </w:rPr>
          <w:t>试</w:t>
        </w:r>
        <w:r>
          <w:rPr>
            <w:sz w:val="21"/>
          </w:rPr>
          <w:t>验</w:t>
        </w:r>
        <w:r>
          <w:rPr>
            <w:rFonts w:ascii="Times New Roman" w:eastAsia="Times New Roman"/>
            <w:sz w:val="21"/>
          </w:rPr>
          <w:tab/>
        </w:r>
        <w:r>
          <w:rPr>
            <w:sz w:val="21"/>
          </w:rPr>
          <w:t>11</w:t>
        </w:r>
      </w:hyperlink>
    </w:p>
    <w:p>
      <w:pPr>
        <w:pStyle w:val="ListParagraph"/>
        <w:numPr>
          <w:ilvl w:val="1"/>
          <w:numId w:val="14"/>
        </w:numPr>
        <w:tabs>
          <w:tab w:val="left" w:pos="1134"/>
          <w:tab w:val="left" w:leader="dot" w:pos="9536"/>
        </w:tabs>
        <w:spacing w:before="31" w:after="0" w:line="240" w:lineRule="auto"/>
        <w:ind w:left="1133" w:right="0" w:hanging="424"/>
        <w:jc w:val="left"/>
        <w:rPr>
          <w:sz w:val="21"/>
        </w:rPr>
      </w:pPr>
      <w:hyperlink w:anchor="_bookmark30" w:history="1">
        <w:r>
          <w:rPr>
            <w:sz w:val="21"/>
          </w:rPr>
          <w:t>浪</w:t>
        </w:r>
        <w:r>
          <w:rPr>
            <w:spacing w:val="-3"/>
            <w:sz w:val="21"/>
          </w:rPr>
          <w:t>涌</w:t>
        </w:r>
        <w:r>
          <w:rPr>
            <w:sz w:val="21"/>
          </w:rPr>
          <w:t>（</w:t>
        </w:r>
        <w:r>
          <w:rPr>
            <w:spacing w:val="-3"/>
            <w:sz w:val="21"/>
          </w:rPr>
          <w:t>冲</w:t>
        </w:r>
        <w:r>
          <w:rPr>
            <w:sz w:val="21"/>
          </w:rPr>
          <w:t>击</w:t>
        </w:r>
        <w:r>
          <w:rPr>
            <w:spacing w:val="-3"/>
            <w:sz w:val="21"/>
          </w:rPr>
          <w:t>）</w:t>
        </w:r>
        <w:r>
          <w:rPr>
            <w:sz w:val="21"/>
          </w:rPr>
          <w:t>抗</w:t>
        </w:r>
        <w:r>
          <w:rPr>
            <w:spacing w:val="-3"/>
            <w:sz w:val="21"/>
          </w:rPr>
          <w:t>扰度</w:t>
        </w:r>
        <w:r>
          <w:rPr>
            <w:sz w:val="21"/>
          </w:rPr>
          <w:t>试验</w:t>
        </w:r>
        <w:r>
          <w:rPr>
            <w:rFonts w:ascii="Times New Roman" w:eastAsia="Times New Roman"/>
            <w:sz w:val="21"/>
          </w:rPr>
          <w:tab/>
        </w:r>
        <w:r>
          <w:rPr>
            <w:sz w:val="21"/>
          </w:rPr>
          <w:t>12</w:t>
        </w:r>
      </w:hyperlink>
    </w:p>
    <w:p>
      <w:pPr>
        <w:pStyle w:val="BodyText"/>
        <w:tabs>
          <w:tab w:val="left" w:leader="dot" w:pos="9536"/>
        </w:tabs>
        <w:spacing w:before="113"/>
        <w:ind w:left="498"/>
      </w:pPr>
      <w:hyperlink w:anchor="_bookmark31" w:history="1">
        <w:r>
          <w:t>6</w:t>
        </w:r>
        <w:r>
          <w:rPr>
            <w:spacing w:val="2"/>
          </w:rPr>
          <w:t xml:space="preserve"> </w:t>
        </w:r>
        <w:r>
          <w:t>检</w:t>
        </w:r>
        <w:r>
          <w:rPr>
            <w:spacing w:val="-3"/>
          </w:rPr>
          <w:t>验</w:t>
        </w:r>
        <w:r>
          <w:t>规则</w:t>
        </w:r>
        <w:r>
          <w:rPr>
            <w:rFonts w:ascii="Times New Roman" w:eastAsia="Times New Roman"/>
          </w:rPr>
          <w:tab/>
        </w:r>
        <w:r>
          <w:t>12</w:t>
        </w:r>
      </w:hyperlink>
    </w:p>
    <w:p>
      <w:pPr>
        <w:pStyle w:val="BodyText"/>
        <w:tabs>
          <w:tab w:val="left" w:leader="dot" w:pos="9536"/>
        </w:tabs>
        <w:spacing w:before="50"/>
        <w:ind w:left="710"/>
      </w:pPr>
      <w:hyperlink w:anchor="_bookmark32" w:history="1">
        <w:r>
          <w:t>6.1</w:t>
        </w:r>
        <w:r>
          <w:rPr>
            <w:spacing w:val="3"/>
          </w:rPr>
          <w:t xml:space="preserve"> </w:t>
        </w:r>
        <w:r>
          <w:rPr>
            <w:spacing w:val="-3"/>
          </w:rPr>
          <w:t>产</w:t>
        </w:r>
        <w:r>
          <w:t>品</w:t>
        </w:r>
        <w:r>
          <w:rPr>
            <w:spacing w:val="-3"/>
          </w:rPr>
          <w:t>出</w:t>
        </w:r>
        <w:r>
          <w:t>厂</w:t>
        </w:r>
        <w:r>
          <w:rPr>
            <w:spacing w:val="-3"/>
          </w:rPr>
          <w:t>检</w:t>
        </w:r>
        <w:r>
          <w:t>验</w:t>
        </w:r>
        <w:r>
          <w:rPr>
            <w:rFonts w:ascii="Times New Roman" w:eastAsia="Times New Roman"/>
          </w:rPr>
          <w:tab/>
        </w:r>
        <w:r>
          <w:t>12</w:t>
        </w:r>
      </w:hyperlink>
    </w:p>
    <w:p>
      <w:pPr>
        <w:pStyle w:val="BodyText"/>
        <w:tabs>
          <w:tab w:val="left" w:leader="dot" w:pos="9536"/>
        </w:tabs>
        <w:spacing w:before="31"/>
        <w:ind w:left="710"/>
      </w:pPr>
      <w:hyperlink w:anchor="_bookmark33" w:history="1">
        <w:r>
          <w:t>6.2</w:t>
        </w:r>
        <w:r>
          <w:rPr>
            <w:spacing w:val="2"/>
          </w:rPr>
          <w:t xml:space="preserve"> </w:t>
        </w:r>
        <w:r>
          <w:rPr>
            <w:spacing w:val="-3"/>
          </w:rPr>
          <w:t>型</w:t>
        </w:r>
        <w:r>
          <w:t>式</w:t>
        </w:r>
        <w:r>
          <w:rPr>
            <w:spacing w:val="-3"/>
          </w:rPr>
          <w:t>检</w:t>
        </w:r>
        <w:r>
          <w:t>验</w:t>
        </w:r>
        <w:r>
          <w:rPr>
            <w:rFonts w:ascii="Times New Roman" w:eastAsia="Times New Roman"/>
          </w:rPr>
          <w:tab/>
        </w:r>
        <w:r>
          <w:t>12</w:t>
        </w:r>
      </w:hyperlink>
    </w:p>
    <w:p>
      <w:pPr>
        <w:pStyle w:val="BodyText"/>
        <w:tabs>
          <w:tab w:val="left" w:leader="dot" w:pos="9536"/>
        </w:tabs>
        <w:spacing w:before="110"/>
        <w:ind w:left="498"/>
      </w:pPr>
      <w:hyperlink w:anchor="_bookmark34" w:history="1">
        <w:r>
          <w:t>7</w:t>
        </w:r>
        <w:r>
          <w:rPr>
            <w:spacing w:val="1"/>
          </w:rPr>
          <w:t xml:space="preserve"> </w:t>
        </w:r>
        <w:r>
          <w:t>标志</w:t>
        </w:r>
        <w:r>
          <w:rPr>
            <w:rFonts w:ascii="Times New Roman" w:eastAsia="Times New Roman"/>
          </w:rPr>
          <w:tab/>
        </w:r>
        <w:r>
          <w:t>12</w:t>
        </w:r>
      </w:hyperlink>
    </w:p>
    <w:p>
      <w:pPr>
        <w:pStyle w:val="BodyText"/>
        <w:spacing w:before="12"/>
        <w:rPr>
          <w:sz w:val="16"/>
        </w:rPr>
      </w:pPr>
    </w:p>
    <w:p>
      <w:pPr>
        <w:spacing w:before="75"/>
        <w:ind w:left="0" w:right="446" w:firstLine="0"/>
        <w:jc w:val="right"/>
        <w:rPr>
          <w:sz w:val="18"/>
        </w:rPr>
      </w:pPr>
      <w:r>
        <w:rPr>
          <w:sz w:val="18"/>
        </w:rPr>
        <w:t xml:space="preserve">I </w:t>
      </w:r>
    </w:p>
    <w:p>
      <w:pPr>
        <w:spacing w:after="0"/>
        <w:jc w:val="right"/>
        <w:rPr>
          <w:sz w:val="18"/>
        </w:rPr>
        <w:sectPr>
          <w:pgSz w:w="11910" w:h="16840"/>
          <w:pgMar w:top="1580" w:right="820" w:bottom="280" w:left="920" w:header="708" w:footer="708"/>
          <w:pgNumType w:start="2"/>
          <w:cols w:space="708"/>
        </w:sectPr>
      </w:pPr>
    </w:p>
    <w:p>
      <w:pPr>
        <w:pStyle w:val="BodyText"/>
        <w:spacing w:before="5"/>
        <w:rPr>
          <w:sz w:val="22"/>
        </w:rPr>
      </w:pPr>
    </w:p>
    <w:p>
      <w:pPr>
        <w:pStyle w:val="BodyText"/>
        <w:tabs>
          <w:tab w:val="left" w:leader="dot" w:pos="9325"/>
        </w:tabs>
        <w:spacing w:before="72"/>
        <w:ind w:left="424"/>
      </w:pPr>
      <w:hyperlink w:anchor="_bookmark35" w:history="1">
        <w:r>
          <w:t>7.1</w:t>
        </w:r>
        <w:r>
          <w:rPr>
            <w:spacing w:val="3"/>
          </w:rPr>
          <w:t xml:space="preserve"> </w:t>
        </w:r>
        <w:r>
          <w:rPr>
            <w:spacing w:val="-3"/>
          </w:rPr>
          <w:t>产</w:t>
        </w:r>
        <w:r>
          <w:t>品</w:t>
        </w:r>
        <w:r>
          <w:rPr>
            <w:spacing w:val="-3"/>
          </w:rPr>
          <w:t>标</w:t>
        </w:r>
        <w:r>
          <w:t>志</w:t>
        </w:r>
        <w:r>
          <w:rPr>
            <w:rFonts w:ascii="Times New Roman" w:eastAsia="Times New Roman"/>
          </w:rPr>
          <w:tab/>
        </w:r>
        <w:r>
          <w:t>12</w:t>
        </w:r>
      </w:hyperlink>
    </w:p>
    <w:p>
      <w:pPr>
        <w:pStyle w:val="BodyText"/>
        <w:tabs>
          <w:tab w:val="left" w:leader="dot" w:pos="9325"/>
        </w:tabs>
        <w:spacing w:before="31"/>
        <w:ind w:left="424"/>
      </w:pPr>
      <w:hyperlink w:anchor="_bookmark36" w:history="1">
        <w:r>
          <w:t>7.2</w:t>
        </w:r>
        <w:r>
          <w:rPr>
            <w:spacing w:val="4"/>
          </w:rPr>
          <w:t xml:space="preserve"> </w:t>
        </w:r>
        <w:r>
          <w:rPr>
            <w:spacing w:val="-3"/>
          </w:rPr>
          <w:t>质</w:t>
        </w:r>
        <w:r>
          <w:t>量</w:t>
        </w:r>
        <w:r>
          <w:rPr>
            <w:spacing w:val="-3"/>
          </w:rPr>
          <w:t>检</w:t>
        </w:r>
        <w:r>
          <w:t>验</w:t>
        </w:r>
        <w:r>
          <w:rPr>
            <w:spacing w:val="-3"/>
          </w:rPr>
          <w:t>标</w:t>
        </w:r>
        <w:r>
          <w:t>志</w:t>
        </w:r>
        <w:r>
          <w:rPr>
            <w:rFonts w:ascii="Times New Roman" w:eastAsia="Times New Roman"/>
          </w:rPr>
          <w:tab/>
        </w:r>
        <w:r>
          <w:t>12</w:t>
        </w:r>
      </w:hyperlink>
    </w:p>
    <w:p>
      <w:pPr>
        <w:pStyle w:val="BodyText"/>
        <w:tabs>
          <w:tab w:val="left" w:leader="dot" w:pos="9325"/>
        </w:tabs>
        <w:spacing w:before="112"/>
        <w:ind w:left="212"/>
      </w:pPr>
      <w:hyperlink w:anchor="_bookmark37" w:history="1">
        <w:r>
          <w:t>附录</w:t>
        </w:r>
        <w:r>
          <w:rPr>
            <w:spacing w:val="-49"/>
          </w:rPr>
          <w:t xml:space="preserve"> </w:t>
        </w:r>
        <w:r>
          <w:rPr>
            <w:spacing w:val="-3"/>
          </w:rPr>
          <w:t>A</w:t>
        </w:r>
        <w:r>
          <w:rPr>
            <w:spacing w:val="8"/>
          </w:rPr>
          <w:t xml:space="preserve"> </w:t>
        </w:r>
        <w:r>
          <w:rPr>
            <w:spacing w:val="-3"/>
          </w:rPr>
          <w:t>（</w:t>
        </w:r>
        <w:r>
          <w:t>规</w:t>
        </w:r>
        <w:r>
          <w:rPr>
            <w:spacing w:val="-3"/>
          </w:rPr>
          <w:t>范</w:t>
        </w:r>
        <w:r>
          <w:t>性）</w:t>
        </w:r>
        <w:r>
          <w:rPr>
            <w:spacing w:val="4"/>
          </w:rPr>
          <w:t xml:space="preserve"> </w:t>
        </w:r>
        <w:r>
          <w:t>消</w:t>
        </w:r>
        <w:r>
          <w:rPr>
            <w:spacing w:val="-3"/>
          </w:rPr>
          <w:t>防</w:t>
        </w:r>
        <w:r>
          <w:t>应急</w:t>
        </w:r>
        <w:r>
          <w:rPr>
            <w:spacing w:val="-3"/>
          </w:rPr>
          <w:t>疏</w:t>
        </w:r>
        <w:r>
          <w:t>散</w:t>
        </w:r>
        <w:r>
          <w:rPr>
            <w:spacing w:val="-3"/>
          </w:rPr>
          <w:t>标</w:t>
        </w:r>
        <w:r>
          <w:t>志</w:t>
        </w:r>
        <w:r>
          <w:rPr>
            <w:spacing w:val="-3"/>
          </w:rPr>
          <w:t>灯</w:t>
        </w:r>
        <w:r>
          <w:t>具</w:t>
        </w:r>
        <w:r>
          <w:rPr>
            <w:spacing w:val="-3"/>
          </w:rPr>
          <w:t>专</w:t>
        </w:r>
        <w:r>
          <w:t>用</w:t>
        </w:r>
        <w:r>
          <w:rPr>
            <w:spacing w:val="-3"/>
          </w:rPr>
          <w:t>指</w:t>
        </w:r>
        <w:r>
          <w:t>示标志</w:t>
        </w:r>
        <w:r>
          <w:rPr>
            <w:rFonts w:ascii="Times New Roman" w:eastAsia="Times New Roman"/>
          </w:rPr>
          <w:tab/>
        </w:r>
        <w:r>
          <w:t>13</w:t>
        </w:r>
      </w:hyperlink>
    </w:p>
    <w:p>
      <w:pPr>
        <w:pStyle w:val="BodyText"/>
        <w:tabs>
          <w:tab w:val="left" w:leader="dot" w:pos="9325"/>
        </w:tabs>
        <w:spacing w:before="51"/>
        <w:ind w:left="424"/>
      </w:pPr>
      <w:hyperlink w:anchor="_bookmark38" w:history="1">
        <w:r>
          <w:t>A.1</w:t>
        </w:r>
        <w:r>
          <w:rPr>
            <w:spacing w:val="2"/>
          </w:rPr>
          <w:t xml:space="preserve"> </w:t>
        </w:r>
        <w:r>
          <w:rPr>
            <w:spacing w:val="-3"/>
          </w:rPr>
          <w:t>要求</w:t>
        </w:r>
        <w:r>
          <w:rPr>
            <w:rFonts w:ascii="Times New Roman" w:eastAsia="Times New Roman"/>
            <w:spacing w:val="-3"/>
          </w:rPr>
          <w:tab/>
        </w:r>
        <w:r>
          <w:t>13</w:t>
        </w:r>
      </w:hyperlink>
    </w:p>
    <w:p>
      <w:pPr>
        <w:pStyle w:val="BodyText"/>
        <w:tabs>
          <w:tab w:val="left" w:leader="dot" w:pos="9325"/>
        </w:tabs>
        <w:spacing w:before="31"/>
        <w:ind w:left="424"/>
      </w:pPr>
      <w:hyperlink w:anchor="_bookmark39" w:history="1">
        <w:r>
          <w:t>A.2</w:t>
        </w:r>
        <w:r>
          <w:rPr>
            <w:spacing w:val="3"/>
          </w:rPr>
          <w:t xml:space="preserve"> </w:t>
        </w:r>
        <w:r>
          <w:rPr>
            <w:spacing w:val="-3"/>
          </w:rPr>
          <w:t>标</w:t>
        </w:r>
        <w:r>
          <w:t>志</w:t>
        </w:r>
        <w:r>
          <w:rPr>
            <w:spacing w:val="-3"/>
          </w:rPr>
          <w:t>图</w:t>
        </w:r>
        <w:r>
          <w:t>形</w:t>
        </w:r>
        <w:r>
          <w:rPr>
            <w:rFonts w:ascii="Times New Roman" w:eastAsia="Times New Roman"/>
          </w:rPr>
          <w:tab/>
        </w:r>
        <w:r>
          <w:t>14</w:t>
        </w:r>
      </w:hyperlink>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6"/>
        <w:rPr>
          <w:sz w:val="26"/>
        </w:rPr>
      </w:pPr>
    </w:p>
    <w:p>
      <w:pPr>
        <w:spacing w:before="75"/>
        <w:ind w:left="410" w:right="0" w:firstLine="0"/>
        <w:jc w:val="left"/>
        <w:rPr>
          <w:sz w:val="18"/>
        </w:rPr>
      </w:pPr>
      <w:r>
        <w:rPr>
          <w:sz w:val="18"/>
        </w:rPr>
        <w:t xml:space="preserve">II </w:t>
      </w:r>
    </w:p>
    <w:p>
      <w:pPr>
        <w:spacing w:after="0"/>
        <w:jc w:val="left"/>
        <w:rPr>
          <w:sz w:val="18"/>
        </w:rPr>
        <w:sectPr>
          <w:pgSz w:w="11910" w:h="16840"/>
          <w:pgMar w:top="1580" w:right="820" w:bottom="280" w:left="920" w:header="708" w:footer="708"/>
          <w:pgNumType w:start="3"/>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6"/>
        <w:rPr>
          <w:sz w:val="24"/>
        </w:rPr>
      </w:pPr>
    </w:p>
    <w:p>
      <w:pPr>
        <w:pStyle w:val="BodyText"/>
        <w:spacing w:before="72" w:line="278" w:lineRule="auto"/>
        <w:ind w:left="1065" w:right="690" w:hanging="428"/>
        <w:jc w:val="both"/>
      </w:pPr>
      <w:bookmarkStart w:id="0" w:name="_bookmark0"/>
      <w:bookmarkEnd w:id="0"/>
      <w:r>
        <w:rPr>
          <w:spacing w:val="-8"/>
        </w:rPr>
        <w:t xml:space="preserve">——第 </w:t>
      </w:r>
      <w:r>
        <w:t>1</w:t>
      </w:r>
      <w:r>
        <w:rPr>
          <w:spacing w:val="-7"/>
        </w:rPr>
        <w:t xml:space="preserve"> 部分：火灾自动报警系统。目的在于规范火灾探测报警系统、消防联动控制系统和电气</w:t>
      </w:r>
      <w:r>
        <w:rPr>
          <w:spacing w:val="-5"/>
        </w:rPr>
        <w:t>火灾监控系统中各类设备的技术要求，提高产品质量，提升危险化学品作业场所中火灾自动</w:t>
      </w:r>
      <w:r>
        <w:rPr>
          <w:spacing w:val="-4"/>
        </w:rPr>
        <w:t>报警系统与其他自动控制系统的兼容性。</w:t>
      </w:r>
      <w:r>
        <w:t xml:space="preserve"> </w:t>
      </w:r>
    </w:p>
    <w:p>
      <w:pPr>
        <w:pStyle w:val="BodyText"/>
        <w:spacing w:line="278" w:lineRule="auto"/>
        <w:ind w:left="1065" w:right="690" w:hanging="428"/>
        <w:jc w:val="both"/>
      </w:pPr>
      <w:r>
        <w:rPr>
          <w:spacing w:val="-8"/>
        </w:rPr>
        <w:t xml:space="preserve">——第 </w:t>
      </w:r>
      <w:r>
        <w:t>2</w:t>
      </w:r>
      <w:r>
        <w:rPr>
          <w:spacing w:val="-7"/>
        </w:rPr>
        <w:t xml:space="preserve"> 部分：消防应急照明和疏散指示系统。目的在于规范消防应急照明和疏散指示系统中各</w:t>
      </w:r>
      <w:r>
        <w:rPr>
          <w:spacing w:val="-5"/>
        </w:rPr>
        <w:t>类设备的技术要求，提高产品质量，提升危险化学品作业场所中消防应急照明和疏散指示系</w:t>
      </w:r>
      <w:r>
        <w:rPr>
          <w:spacing w:val="-4"/>
        </w:rPr>
        <w:t>统的智能化水平。</w:t>
      </w:r>
      <w:r>
        <w:t xml:space="preserve"> </w:t>
      </w:r>
    </w:p>
    <w:p>
      <w:pPr>
        <w:pStyle w:val="BodyText"/>
        <w:spacing w:line="278" w:lineRule="auto"/>
        <w:ind w:left="1065" w:right="690" w:hanging="428"/>
        <w:jc w:val="both"/>
      </w:pPr>
      <w:r>
        <w:rPr>
          <w:spacing w:val="-8"/>
        </w:rPr>
        <w:t xml:space="preserve">——第 </w:t>
      </w:r>
      <w:r>
        <w:t>3</w:t>
      </w:r>
      <w:r>
        <w:rPr>
          <w:spacing w:val="-7"/>
        </w:rPr>
        <w:t xml:space="preserve"> 部分：可燃气体探测报警系统。目的在于规范可燃气体探测报警系统中各类设备的技术</w:t>
      </w:r>
      <w:r>
        <w:rPr>
          <w:spacing w:val="-5"/>
        </w:rPr>
        <w:t>要求，提高产品质量，提升危险化学品作业场所中可燃气体探测报警系统与其他自动控制系</w:t>
      </w:r>
      <w:r>
        <w:rPr>
          <w:spacing w:val="-4"/>
        </w:rPr>
        <w:t>统的兼容性。</w:t>
      </w:r>
      <w:r>
        <w:t xml:space="preserve"> </w:t>
      </w:r>
    </w:p>
    <w:p>
      <w:pPr>
        <w:pStyle w:val="BodyText"/>
        <w:spacing w:line="278" w:lineRule="auto"/>
        <w:ind w:left="1065" w:right="690" w:hanging="428"/>
        <w:jc w:val="both"/>
      </w:pPr>
      <w:r>
        <w:rPr>
          <w:spacing w:val="-8"/>
        </w:rPr>
        <w:t xml:space="preserve">——第 </w:t>
      </w:r>
      <w:r>
        <w:t>4</w:t>
      </w:r>
      <w:r>
        <w:rPr>
          <w:spacing w:val="-7"/>
        </w:rPr>
        <w:t xml:space="preserve"> 部分：便携式报警信息显示装置。目的在于规范携式报警信息显示装置的技术要求，提</w:t>
      </w:r>
      <w:r>
        <w:rPr>
          <w:spacing w:val="-5"/>
        </w:rPr>
        <w:t>高产品质量，提升危险化学品作业场所应急处置的管理能力。</w:t>
      </w:r>
      <w:r>
        <w:t xml:space="preserve"> </w:t>
      </w:r>
    </w:p>
    <w:p>
      <w:pPr>
        <w:pStyle w:val="BodyText"/>
        <w:spacing w:line="278" w:lineRule="auto"/>
        <w:ind w:left="1065" w:right="690" w:hanging="428"/>
        <w:jc w:val="both"/>
      </w:pPr>
      <w:r>
        <w:rPr>
          <w:spacing w:val="-8"/>
        </w:rPr>
        <w:t xml:space="preserve">——第 </w:t>
      </w:r>
      <w:r>
        <w:t>5</w:t>
      </w:r>
      <w:r>
        <w:rPr>
          <w:spacing w:val="-7"/>
        </w:rPr>
        <w:t xml:space="preserve"> 部分：供电、传输及控制线缆。目的在于规范供电、传输及控制线缆的技术要求，提高</w:t>
      </w:r>
      <w:r>
        <w:rPr>
          <w:spacing w:val="-5"/>
        </w:rPr>
        <w:t>产品质量，从而提升危险化学品作业场所中火灾自动报警系统的稳定性，延长火灾情况下系</w:t>
      </w:r>
      <w:r>
        <w:rPr>
          <w:spacing w:val="-4"/>
        </w:rPr>
        <w:t>统的工作时间。</w:t>
      </w:r>
      <w:r>
        <w:t xml:space="preserve"> </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1"/>
        <w:rPr>
          <w:sz w:val="25"/>
        </w:rPr>
      </w:pPr>
    </w:p>
    <w:p>
      <w:pPr>
        <w:spacing w:before="75"/>
        <w:ind w:left="410" w:right="0" w:firstLine="0"/>
        <w:jc w:val="left"/>
        <w:rPr>
          <w:sz w:val="18"/>
        </w:rPr>
      </w:pPr>
      <w:r>
        <w:rPr>
          <w:sz w:val="18"/>
        </w:rPr>
        <w:t xml:space="preserve">IV </w:t>
      </w:r>
    </w:p>
    <w:p>
      <w:pPr>
        <w:spacing w:after="0"/>
        <w:jc w:val="left"/>
        <w:rPr>
          <w:sz w:val="18"/>
        </w:rPr>
        <w:sectPr>
          <w:pgSz w:w="11910" w:h="16840"/>
          <w:pgMar w:top="1580" w:right="820" w:bottom="280" w:left="920" w:header="708" w:footer="708"/>
          <w:pgNumType w:start="4"/>
          <w:cols w:space="708"/>
        </w:sectPr>
      </w:pPr>
    </w:p>
    <w:p>
      <w:pPr>
        <w:pStyle w:val="BodyText"/>
        <w:rPr>
          <w:sz w:val="20"/>
        </w:rPr>
      </w:pPr>
    </w:p>
    <w:p>
      <w:pPr>
        <w:pStyle w:val="BodyText"/>
        <w:rPr>
          <w:sz w:val="20"/>
        </w:rPr>
      </w:pPr>
    </w:p>
    <w:p>
      <w:pPr>
        <w:pStyle w:val="BodyText"/>
        <w:rPr>
          <w:sz w:val="20"/>
        </w:rPr>
      </w:pPr>
    </w:p>
    <w:p>
      <w:pPr>
        <w:pStyle w:val="BodyText"/>
        <w:spacing w:before="2"/>
        <w:rPr>
          <w:sz w:val="20"/>
        </w:rPr>
      </w:pPr>
    </w:p>
    <w:p>
      <w:pPr>
        <w:pStyle w:val="Heading1"/>
        <w:spacing w:before="61" w:line="235" w:lineRule="auto"/>
        <w:ind w:left="2296" w:right="1633"/>
      </w:pPr>
      <w:r>
        <w:t>危险化学品作业场所火灾自动报警系统特殊要求第 2 部分：消防应急照明和疏散指示系统</w:t>
      </w:r>
    </w:p>
    <w:p>
      <w:pPr>
        <w:pStyle w:val="BodyText"/>
        <w:rPr>
          <w:rFonts w:ascii="黑体"/>
          <w:sz w:val="20"/>
        </w:rPr>
      </w:pPr>
    </w:p>
    <w:p>
      <w:pPr>
        <w:pStyle w:val="BodyText"/>
        <w:rPr>
          <w:rFonts w:ascii="黑体"/>
          <w:sz w:val="29"/>
        </w:rPr>
      </w:pPr>
    </w:p>
    <w:p>
      <w:pPr>
        <w:pStyle w:val="ListParagraph"/>
        <w:numPr>
          <w:ilvl w:val="0"/>
          <w:numId w:val="13"/>
        </w:numPr>
        <w:tabs>
          <w:tab w:val="left" w:pos="814"/>
        </w:tabs>
        <w:spacing w:before="71" w:after="0" w:line="240" w:lineRule="auto"/>
        <w:ind w:left="813" w:right="0" w:hanging="316"/>
        <w:jc w:val="left"/>
        <w:rPr>
          <w:rFonts w:ascii="黑体" w:eastAsia="黑体" w:hint="eastAsia"/>
          <w:sz w:val="21"/>
        </w:rPr>
      </w:pPr>
      <w:bookmarkStart w:id="1" w:name="_bookmark1"/>
      <w:bookmarkEnd w:id="1"/>
      <w:r>
        <w:rPr>
          <w:rFonts w:ascii="黑体" w:eastAsia="黑体" w:hint="eastAsia"/>
          <w:sz w:val="21"/>
        </w:rPr>
        <w:t>范围</w:t>
      </w:r>
    </w:p>
    <w:p>
      <w:pPr>
        <w:pStyle w:val="BodyText"/>
        <w:spacing w:before="10"/>
        <w:rPr>
          <w:rFonts w:ascii="黑体"/>
          <w:sz w:val="27"/>
        </w:rPr>
      </w:pPr>
    </w:p>
    <w:p>
      <w:pPr>
        <w:pStyle w:val="BodyText"/>
        <w:spacing w:line="278" w:lineRule="auto"/>
        <w:ind w:left="498" w:right="201" w:firstLine="420"/>
      </w:pPr>
      <w:r>
        <w:t xml:space="preserve">本文件规定了危险化学品作业场所安装使用的消防应急照明和疏散指示系统（以下简称“系统”） 的特殊要求。 </w:t>
      </w:r>
    </w:p>
    <w:p>
      <w:pPr>
        <w:pStyle w:val="BodyText"/>
        <w:spacing w:line="278" w:lineRule="auto"/>
        <w:ind w:left="498" w:right="311" w:firstLine="420"/>
      </w:pPr>
      <w:r>
        <w:rPr>
          <w:spacing w:val="-6"/>
        </w:rPr>
        <w:t>本文件适用于危险化学品作业场所安装使用的消防应急照明和疏散指示系统的各类设备，包括消防</w:t>
      </w:r>
      <w:r>
        <w:rPr>
          <w:spacing w:val="-3"/>
        </w:rPr>
        <w:t>应急灯具、应急照明配电箱、应急照明集中电源、应急照明控制器和疏散条件监测装置。</w:t>
      </w:r>
      <w:r>
        <w:t xml:space="preserve"> </w:t>
      </w:r>
    </w:p>
    <w:p>
      <w:pPr>
        <w:pStyle w:val="BodyText"/>
        <w:spacing w:before="4"/>
        <w:rPr>
          <w:sz w:val="24"/>
        </w:rPr>
      </w:pPr>
    </w:p>
    <w:p>
      <w:pPr>
        <w:pStyle w:val="ListParagraph"/>
        <w:numPr>
          <w:ilvl w:val="0"/>
          <w:numId w:val="13"/>
        </w:numPr>
        <w:tabs>
          <w:tab w:val="left" w:pos="814"/>
        </w:tabs>
        <w:spacing w:before="0" w:after="0" w:line="240" w:lineRule="auto"/>
        <w:ind w:left="813" w:right="0" w:hanging="316"/>
        <w:jc w:val="left"/>
        <w:rPr>
          <w:rFonts w:ascii="黑体" w:eastAsia="黑体" w:hint="eastAsia"/>
          <w:sz w:val="21"/>
        </w:rPr>
      </w:pPr>
      <w:bookmarkStart w:id="2" w:name="_bookmark2"/>
      <w:bookmarkEnd w:id="2"/>
      <w:r>
        <w:rPr>
          <w:rFonts w:ascii="黑体" w:eastAsia="黑体" w:hint="eastAsia"/>
          <w:spacing w:val="-2"/>
          <w:sz w:val="21"/>
        </w:rPr>
        <w:t>规范性引用文件</w:t>
      </w:r>
    </w:p>
    <w:p>
      <w:pPr>
        <w:pStyle w:val="BodyText"/>
        <w:spacing w:before="9"/>
        <w:rPr>
          <w:rFonts w:ascii="黑体"/>
          <w:sz w:val="27"/>
        </w:rPr>
      </w:pPr>
    </w:p>
    <w:p>
      <w:pPr>
        <w:pStyle w:val="BodyText"/>
        <w:spacing w:line="278" w:lineRule="auto"/>
        <w:ind w:left="498" w:right="200" w:firstLine="420"/>
      </w:pPr>
      <w:r>
        <w:rPr>
          <w:spacing w:val="-10"/>
        </w:rPr>
        <w:t xml:space="preserve">下列文件中的内容通过文中的规范性引用而构成本文件必不可少的条款。其中，注日期的引用文件， </w:t>
      </w:r>
      <w:r>
        <w:rPr>
          <w:spacing w:val="-9"/>
        </w:rPr>
        <w:t>仅该日期对应的版本适用于本文件；不注日期的引用文件，其最新版本</w:t>
      </w:r>
      <w:r>
        <w:t>（</w:t>
      </w:r>
      <w:r>
        <w:rPr>
          <w:spacing w:val="-3"/>
        </w:rPr>
        <w:t>包括所有的修改单</w:t>
      </w:r>
      <w:r>
        <w:rPr>
          <w:spacing w:val="-25"/>
        </w:rPr>
        <w:t>）</w:t>
      </w:r>
      <w:r>
        <w:rPr>
          <w:spacing w:val="-3"/>
        </w:rPr>
        <w:t>适用于本文件。</w:t>
      </w:r>
      <w:r>
        <w:t xml:space="preserve"> </w:t>
      </w:r>
    </w:p>
    <w:p>
      <w:pPr>
        <w:pStyle w:val="BodyText"/>
        <w:spacing w:line="278" w:lineRule="auto"/>
        <w:ind w:left="918" w:right="3155"/>
      </w:pPr>
      <w:r>
        <w:t xml:space="preserve">GB/T 2423.22 环境试验 第2部分：试验方法 试验N：温度变化GB/T 3836.1 爆炸性环境 第1部分：设备 通用要求 </w:t>
      </w:r>
    </w:p>
    <w:p>
      <w:pPr>
        <w:pStyle w:val="BodyText"/>
        <w:spacing w:line="278" w:lineRule="auto"/>
        <w:ind w:left="918" w:right="4939"/>
      </w:pPr>
      <w:r>
        <w:t>GB/T</w:t>
      </w:r>
      <w:r>
        <w:rPr>
          <w:spacing w:val="1"/>
        </w:rPr>
        <w:t xml:space="preserve"> </w:t>
      </w:r>
      <w:r>
        <w:t>4208-2017</w:t>
      </w:r>
      <w:r>
        <w:rPr>
          <w:spacing w:val="-2"/>
        </w:rPr>
        <w:t xml:space="preserve"> 外壳防护等级</w:t>
      </w:r>
      <w:r>
        <w:t>（IP</w:t>
      </w:r>
      <w:r>
        <w:rPr>
          <w:spacing w:val="-2"/>
        </w:rPr>
        <w:t>代码</w:t>
      </w:r>
      <w:r>
        <w:rPr>
          <w:spacing w:val="-3"/>
        </w:rPr>
        <w:t xml:space="preserve">） </w:t>
      </w:r>
      <w:r>
        <w:t>GB/T</w:t>
      </w:r>
      <w:r>
        <w:rPr>
          <w:spacing w:val="3"/>
        </w:rPr>
        <w:t xml:space="preserve"> </w:t>
      </w:r>
      <w:r>
        <w:t>5907.5</w:t>
      </w:r>
      <w:r>
        <w:rPr>
          <w:spacing w:val="-1"/>
        </w:rPr>
        <w:t xml:space="preserve">  消防词汇  第</w:t>
      </w:r>
      <w:r>
        <w:t>5</w:t>
      </w:r>
      <w:r>
        <w:rPr>
          <w:spacing w:val="-3"/>
        </w:rPr>
        <w:t>部分：消防产品</w:t>
      </w:r>
      <w:r>
        <w:t>GB</w:t>
      </w:r>
      <w:r>
        <w:rPr>
          <w:spacing w:val="1"/>
        </w:rPr>
        <w:t xml:space="preserve"> </w:t>
      </w:r>
      <w:r>
        <w:t>12978</w:t>
      </w:r>
      <w:r>
        <w:rPr>
          <w:spacing w:val="-3"/>
        </w:rPr>
        <w:t xml:space="preserve"> 消防电子产品检验规则</w:t>
      </w:r>
      <w:r>
        <w:t xml:space="preserve"> </w:t>
      </w:r>
    </w:p>
    <w:p>
      <w:pPr>
        <w:pStyle w:val="BodyText"/>
        <w:spacing w:line="269" w:lineRule="exact"/>
        <w:ind w:left="918"/>
      </w:pPr>
      <w:r>
        <w:t xml:space="preserve">GB/T 16838 消防电子产品环境试验方法及严酷等级 </w:t>
      </w:r>
    </w:p>
    <w:p>
      <w:pPr>
        <w:pStyle w:val="BodyText"/>
        <w:spacing w:before="43" w:line="278" w:lineRule="auto"/>
        <w:ind w:left="918" w:right="2419"/>
      </w:pPr>
      <w:r>
        <w:t xml:space="preserve">GB/T 17626.4 </w:t>
      </w:r>
      <w:hyperlink r:id="rId4">
        <w:r>
          <w:t>电磁兼容 试验和测量技术 电快速瞬变脉冲群抗扰度试验</w:t>
        </w:r>
      </w:hyperlink>
      <w:r>
        <w:t xml:space="preserve">GB/T 17626.5 </w:t>
      </w:r>
      <w:hyperlink r:id="rId5">
        <w:r>
          <w:t>电磁兼容 试验和测量技术 浪涌（冲击）抗扰度试验</w:t>
        </w:r>
      </w:hyperlink>
      <w:r>
        <w:t xml:space="preserve"> </w:t>
      </w:r>
    </w:p>
    <w:p>
      <w:pPr>
        <w:pStyle w:val="BodyText"/>
        <w:spacing w:line="278" w:lineRule="auto"/>
        <w:ind w:left="918" w:right="5357"/>
      </w:pPr>
      <w:r>
        <w:t xml:space="preserve">GB 17945  消防应急照明和疏散指示系统GB 50160 石油化工企业设计防火规范 </w:t>
      </w:r>
    </w:p>
    <w:p>
      <w:pPr>
        <w:pStyle w:val="BodyText"/>
        <w:spacing w:before="4"/>
        <w:rPr>
          <w:sz w:val="24"/>
        </w:rPr>
      </w:pPr>
    </w:p>
    <w:p>
      <w:pPr>
        <w:pStyle w:val="ListParagraph"/>
        <w:numPr>
          <w:ilvl w:val="0"/>
          <w:numId w:val="13"/>
        </w:numPr>
        <w:tabs>
          <w:tab w:val="left" w:pos="814"/>
        </w:tabs>
        <w:spacing w:before="1" w:after="0" w:line="240" w:lineRule="auto"/>
        <w:ind w:left="813" w:right="0" w:hanging="316"/>
        <w:jc w:val="left"/>
        <w:rPr>
          <w:rFonts w:ascii="黑体" w:eastAsia="黑体" w:hint="eastAsia"/>
          <w:sz w:val="21"/>
        </w:rPr>
      </w:pPr>
      <w:bookmarkStart w:id="3" w:name="_bookmark3"/>
      <w:bookmarkEnd w:id="3"/>
      <w:r>
        <w:rPr>
          <w:rFonts w:ascii="黑体" w:eastAsia="黑体" w:hint="eastAsia"/>
          <w:spacing w:val="-1"/>
          <w:sz w:val="21"/>
        </w:rPr>
        <w:t>术语和定义</w:t>
      </w:r>
    </w:p>
    <w:p>
      <w:pPr>
        <w:pStyle w:val="BodyText"/>
        <w:spacing w:before="8"/>
        <w:rPr>
          <w:rFonts w:ascii="黑体"/>
          <w:sz w:val="27"/>
        </w:rPr>
      </w:pPr>
    </w:p>
    <w:p>
      <w:pPr>
        <w:pStyle w:val="BodyText"/>
        <w:spacing w:before="1" w:line="278" w:lineRule="auto"/>
        <w:ind w:left="498" w:right="306" w:firstLine="420"/>
      </w:pPr>
      <w:r>
        <w:t xml:space="preserve">GB/T 5907.5、GB 50160和GB 17945界定的以及下列术语和定义适用于本文件。以及下列术语和定义适用于本文件。 </w:t>
      </w:r>
    </w:p>
    <w:p>
      <w:pPr>
        <w:pStyle w:val="BodyText"/>
        <w:spacing w:line="269" w:lineRule="exact"/>
        <w:ind w:left="498"/>
      </w:pPr>
      <w:r>
        <w:rPr>
          <w:rFonts w:ascii="黑体"/>
        </w:rPr>
        <w:t xml:space="preserve">3.1  </w:t>
      </w:r>
      <w:r>
        <w:rPr>
          <w:w w:val="100"/>
        </w:rPr>
        <w:t xml:space="preserve"> </w:t>
      </w:r>
    </w:p>
    <w:p>
      <w:pPr>
        <w:spacing w:before="43"/>
        <w:ind w:left="918" w:right="0" w:firstLine="0"/>
        <w:jc w:val="left"/>
        <w:rPr>
          <w:rFonts w:ascii="Times New Roman" w:eastAsia="Times New Roman"/>
          <w:b/>
          <w:sz w:val="21"/>
        </w:rPr>
      </w:pPr>
      <w:r>
        <w:rPr>
          <w:rFonts w:ascii="黑体" w:eastAsia="黑体" w:hint="eastAsia"/>
          <w:sz w:val="21"/>
        </w:rPr>
        <w:t xml:space="preserve">冗余设计 </w:t>
      </w:r>
      <w:r>
        <w:rPr>
          <w:rFonts w:ascii="Times New Roman" w:eastAsia="Times New Roman"/>
          <w:b/>
          <w:sz w:val="21"/>
        </w:rPr>
        <w:t>redundant design</w:t>
      </w:r>
    </w:p>
    <w:p>
      <w:pPr>
        <w:pStyle w:val="BodyText"/>
        <w:spacing w:before="42" w:line="278" w:lineRule="auto"/>
        <w:ind w:left="498" w:right="306" w:firstLine="420"/>
        <w:jc w:val="both"/>
      </w:pPr>
      <w:r>
        <w:rPr>
          <w:spacing w:val="-8"/>
        </w:rPr>
        <w:t>为提高消防应急照明和疏散指示系统的可靠性，在系统或系统中的各类设备中，设置两套或两套以</w:t>
      </w:r>
      <w:r>
        <w:rPr>
          <w:spacing w:val="-12"/>
        </w:rPr>
        <w:t>上相同功能的通道、元件或部件，以保证当该部分出现故障时，系统或设备仍能正常工作，实现消防应</w:t>
      </w:r>
      <w:r>
        <w:rPr>
          <w:spacing w:val="-6"/>
        </w:rPr>
        <w:t>急照明和疏散指示系统的容错功能。</w:t>
      </w:r>
      <w:r>
        <w:t xml:space="preserve"> </w:t>
      </w:r>
    </w:p>
    <w:p>
      <w:pPr>
        <w:pStyle w:val="BodyText"/>
        <w:spacing w:line="269" w:lineRule="exact"/>
        <w:ind w:left="498"/>
        <w:rPr>
          <w:rFonts w:ascii="黑体"/>
        </w:rPr>
      </w:pPr>
      <w:r>
        <w:rPr>
          <w:rFonts w:ascii="黑体"/>
        </w:rPr>
        <w:t>3.2</w:t>
      </w:r>
    </w:p>
    <w:p>
      <w:pPr>
        <w:spacing w:before="44"/>
        <w:ind w:left="918" w:right="0" w:firstLine="0"/>
        <w:jc w:val="left"/>
        <w:rPr>
          <w:rFonts w:ascii="Times New Roman" w:eastAsia="Times New Roman"/>
          <w:b/>
          <w:sz w:val="21"/>
        </w:rPr>
      </w:pPr>
      <w:r>
        <w:rPr>
          <w:rFonts w:ascii="黑体" w:eastAsia="黑体" w:hint="eastAsia"/>
          <w:sz w:val="21"/>
        </w:rPr>
        <w:t xml:space="preserve">危险化学品作业场所 </w:t>
      </w:r>
      <w:r>
        <w:rPr>
          <w:rFonts w:ascii="Times New Roman" w:eastAsia="Times New Roman"/>
          <w:b/>
          <w:sz w:val="21"/>
        </w:rPr>
        <w:t>hazard chemicals workplace</w:t>
      </w:r>
    </w:p>
    <w:p>
      <w:pPr>
        <w:pStyle w:val="BodyText"/>
        <w:spacing w:before="43"/>
        <w:ind w:left="918"/>
      </w:pPr>
      <w:r>
        <w:t xml:space="preserve">指生产、储存、使用、经营危险化学品的场所。 </w:t>
      </w:r>
    </w:p>
    <w:p>
      <w:pPr>
        <w:pStyle w:val="BodyText"/>
        <w:spacing w:before="9"/>
        <w:rPr>
          <w:sz w:val="25"/>
        </w:rPr>
      </w:pPr>
    </w:p>
    <w:p>
      <w:pPr>
        <w:spacing w:before="75"/>
        <w:ind w:left="0" w:right="446" w:firstLine="0"/>
        <w:jc w:val="right"/>
        <w:rPr>
          <w:sz w:val="18"/>
        </w:rPr>
      </w:pPr>
      <w:r>
        <w:rPr>
          <w:sz w:val="18"/>
        </w:rPr>
        <w:t xml:space="preserve">1 </w:t>
      </w:r>
    </w:p>
    <w:p>
      <w:pPr>
        <w:spacing w:after="0"/>
        <w:jc w:val="right"/>
        <w:rPr>
          <w:sz w:val="18"/>
        </w:rPr>
        <w:sectPr>
          <w:pgSz w:w="11910" w:h="16840"/>
          <w:pgMar w:top="1580" w:right="820" w:bottom="280" w:left="920" w:header="708" w:footer="708"/>
          <w:pgNumType w:start="5"/>
          <w:cols w:space="708"/>
        </w:sectPr>
      </w:pPr>
    </w:p>
    <w:p>
      <w:pPr>
        <w:pStyle w:val="BodyText"/>
        <w:spacing w:before="11"/>
      </w:pPr>
    </w:p>
    <w:p>
      <w:pPr>
        <w:pStyle w:val="BodyText"/>
        <w:spacing w:before="72"/>
        <w:ind w:left="212"/>
        <w:rPr>
          <w:rFonts w:ascii="黑体"/>
        </w:rPr>
      </w:pPr>
      <w:r>
        <w:rPr>
          <w:rFonts w:ascii="黑体"/>
        </w:rPr>
        <w:t>3.3</w:t>
      </w:r>
    </w:p>
    <w:p>
      <w:pPr>
        <w:spacing w:before="43"/>
        <w:ind w:left="633" w:right="0" w:firstLine="0"/>
        <w:jc w:val="left"/>
        <w:rPr>
          <w:rFonts w:ascii="Times New Roman" w:eastAsia="Times New Roman"/>
          <w:b/>
          <w:sz w:val="21"/>
        </w:rPr>
      </w:pPr>
      <w:r>
        <w:rPr>
          <w:rFonts w:ascii="黑体" w:eastAsia="黑体" w:hint="eastAsia"/>
          <w:sz w:val="21"/>
        </w:rPr>
        <w:t xml:space="preserve">疏散条件监测装置 </w:t>
      </w:r>
      <w:r>
        <w:rPr>
          <w:rFonts w:ascii="Times New Roman" w:eastAsia="Times New Roman"/>
          <w:b/>
          <w:sz w:val="21"/>
        </w:rPr>
        <w:t>evacuation condition monitoring device</w:t>
      </w:r>
    </w:p>
    <w:p>
      <w:pPr>
        <w:pStyle w:val="BodyText"/>
        <w:spacing w:before="43"/>
        <w:ind w:left="633"/>
      </w:pPr>
      <w:r>
        <w:t>危险化学品作业场所中，具有采集温度、湿度、风向、风速、空气质量指数等环境信息数据功能，</w:t>
      </w:r>
    </w:p>
    <w:p>
      <w:pPr>
        <w:pStyle w:val="BodyText"/>
        <w:spacing w:before="42"/>
        <w:ind w:left="212"/>
      </w:pPr>
      <w:r>
        <w:t>并能将环境信息数据传送给应急照明控制器的装置。</w:t>
      </w:r>
    </w:p>
    <w:p>
      <w:pPr>
        <w:pStyle w:val="BodyText"/>
        <w:spacing w:before="9"/>
        <w:rPr>
          <w:sz w:val="27"/>
        </w:rPr>
      </w:pPr>
    </w:p>
    <w:p>
      <w:pPr>
        <w:pStyle w:val="ListParagraph"/>
        <w:numPr>
          <w:ilvl w:val="0"/>
          <w:numId w:val="12"/>
        </w:numPr>
        <w:tabs>
          <w:tab w:val="left" w:pos="528"/>
        </w:tabs>
        <w:spacing w:before="0" w:after="0" w:line="240" w:lineRule="auto"/>
        <w:ind w:left="527" w:right="0" w:hanging="316"/>
        <w:jc w:val="left"/>
        <w:rPr>
          <w:rFonts w:ascii="黑体" w:eastAsia="黑体" w:hint="eastAsia"/>
          <w:sz w:val="21"/>
        </w:rPr>
      </w:pPr>
      <w:bookmarkStart w:id="4" w:name="_bookmark4"/>
      <w:bookmarkEnd w:id="4"/>
      <w:r>
        <w:rPr>
          <w:rFonts w:ascii="黑体" w:eastAsia="黑体" w:hint="eastAsia"/>
          <w:sz w:val="21"/>
        </w:rPr>
        <w:t>要求</w:t>
      </w:r>
    </w:p>
    <w:p>
      <w:pPr>
        <w:pStyle w:val="BodyText"/>
        <w:spacing w:before="9"/>
        <w:rPr>
          <w:rFonts w:ascii="黑体"/>
          <w:sz w:val="27"/>
        </w:rPr>
      </w:pPr>
    </w:p>
    <w:p>
      <w:pPr>
        <w:pStyle w:val="ListParagraph"/>
        <w:numPr>
          <w:ilvl w:val="1"/>
          <w:numId w:val="12"/>
        </w:numPr>
        <w:tabs>
          <w:tab w:val="left" w:pos="739"/>
        </w:tabs>
        <w:spacing w:before="0" w:after="0" w:line="240" w:lineRule="auto"/>
        <w:ind w:left="738" w:right="0" w:hanging="527"/>
        <w:jc w:val="left"/>
        <w:rPr>
          <w:rFonts w:ascii="黑体" w:eastAsia="黑体" w:hint="eastAsia"/>
          <w:sz w:val="21"/>
        </w:rPr>
      </w:pPr>
      <w:bookmarkStart w:id="5" w:name="_bookmark5"/>
      <w:bookmarkEnd w:id="5"/>
      <w:r>
        <w:rPr>
          <w:rFonts w:ascii="黑体" w:eastAsia="黑体" w:hint="eastAsia"/>
          <w:sz w:val="21"/>
        </w:rPr>
        <w:t>通则</w:t>
      </w:r>
    </w:p>
    <w:p>
      <w:pPr>
        <w:pStyle w:val="BodyText"/>
        <w:spacing w:before="8"/>
        <w:rPr>
          <w:rFonts w:ascii="黑体"/>
          <w:sz w:val="15"/>
        </w:rPr>
      </w:pPr>
    </w:p>
    <w:p>
      <w:pPr>
        <w:pStyle w:val="BodyText"/>
        <w:spacing w:line="278" w:lineRule="auto"/>
        <w:ind w:left="212" w:right="594" w:firstLine="420"/>
      </w:pPr>
      <w:r>
        <w:t xml:space="preserve">系统及系统设备应首先满足GB 17945的要求，同时满足本章要求，并按照第5章的规定进行试验， 以确认对本章要求的符合性。 </w:t>
      </w:r>
    </w:p>
    <w:p>
      <w:pPr>
        <w:pStyle w:val="ListParagraph"/>
        <w:numPr>
          <w:ilvl w:val="1"/>
          <w:numId w:val="12"/>
        </w:numPr>
        <w:tabs>
          <w:tab w:val="left" w:pos="739"/>
        </w:tabs>
        <w:spacing w:before="156" w:after="0" w:line="240" w:lineRule="auto"/>
        <w:ind w:left="738" w:right="0" w:hanging="527"/>
        <w:jc w:val="left"/>
        <w:rPr>
          <w:rFonts w:ascii="黑体" w:eastAsia="黑体" w:hint="eastAsia"/>
          <w:sz w:val="21"/>
        </w:rPr>
      </w:pPr>
      <w:bookmarkStart w:id="6" w:name="_bookmark6"/>
      <w:bookmarkEnd w:id="6"/>
      <w:r>
        <w:rPr>
          <w:rFonts w:ascii="黑体" w:eastAsia="黑体" w:hint="eastAsia"/>
          <w:spacing w:val="-1"/>
          <w:sz w:val="21"/>
        </w:rPr>
        <w:t>系统要求</w:t>
      </w:r>
    </w:p>
    <w:p>
      <w:pPr>
        <w:pStyle w:val="BodyText"/>
        <w:spacing w:before="6"/>
        <w:rPr>
          <w:rFonts w:ascii="黑体"/>
          <w:sz w:val="15"/>
        </w:rPr>
      </w:pPr>
    </w:p>
    <w:p>
      <w:pPr>
        <w:pStyle w:val="ListParagraph"/>
        <w:numPr>
          <w:ilvl w:val="2"/>
          <w:numId w:val="12"/>
        </w:numPr>
        <w:tabs>
          <w:tab w:val="left" w:pos="948"/>
        </w:tabs>
        <w:spacing w:before="0" w:after="0" w:line="240" w:lineRule="auto"/>
        <w:ind w:left="947" w:right="0" w:hanging="736"/>
        <w:jc w:val="left"/>
        <w:rPr>
          <w:rFonts w:ascii="黑体" w:eastAsia="黑体" w:hint="eastAsia"/>
          <w:sz w:val="21"/>
        </w:rPr>
      </w:pPr>
      <w:r>
        <w:rPr>
          <w:rFonts w:ascii="黑体" w:eastAsia="黑体" w:hint="eastAsia"/>
          <w:spacing w:val="-1"/>
          <w:sz w:val="21"/>
        </w:rPr>
        <w:t>一般要求</w:t>
      </w:r>
    </w:p>
    <w:p>
      <w:pPr>
        <w:pStyle w:val="BodyText"/>
        <w:spacing w:before="12"/>
        <w:rPr>
          <w:rFonts w:ascii="黑体"/>
          <w:sz w:val="9"/>
        </w:rPr>
      </w:pPr>
    </w:p>
    <w:p>
      <w:pPr>
        <w:pStyle w:val="ListParagraph"/>
        <w:numPr>
          <w:ilvl w:val="3"/>
          <w:numId w:val="12"/>
        </w:numPr>
        <w:tabs>
          <w:tab w:val="left" w:pos="1159"/>
        </w:tabs>
        <w:spacing w:before="72" w:after="0" w:line="278" w:lineRule="auto"/>
        <w:ind w:left="212" w:right="592" w:firstLine="0"/>
        <w:jc w:val="left"/>
        <w:rPr>
          <w:sz w:val="21"/>
        </w:rPr>
      </w:pPr>
      <w:r>
        <w:rPr>
          <w:spacing w:val="-4"/>
          <w:sz w:val="21"/>
        </w:rPr>
        <w:t>室内区域的消防应急照明和疏散指示系统应由集中电源集中控制型消防应急灯具、应急照明</w:t>
      </w:r>
      <w:r>
        <w:rPr>
          <w:spacing w:val="-3"/>
          <w:sz w:val="21"/>
        </w:rPr>
        <w:t xml:space="preserve">控制器和应急照明集中电源组成。 </w:t>
      </w:r>
    </w:p>
    <w:p>
      <w:pPr>
        <w:pStyle w:val="ListParagraph"/>
        <w:numPr>
          <w:ilvl w:val="3"/>
          <w:numId w:val="12"/>
        </w:numPr>
        <w:tabs>
          <w:tab w:val="left" w:pos="1159"/>
        </w:tabs>
        <w:spacing w:before="0" w:after="0" w:line="278" w:lineRule="auto"/>
        <w:ind w:left="212" w:right="592" w:firstLine="0"/>
        <w:jc w:val="left"/>
        <w:rPr>
          <w:sz w:val="21"/>
        </w:rPr>
      </w:pPr>
      <w:r>
        <w:rPr>
          <w:spacing w:val="-4"/>
          <w:sz w:val="21"/>
        </w:rPr>
        <w:t>室外区域的消防应急照明和疏散指示系统应按以下方式选择系统组成，并可适时增设疏散条</w:t>
      </w:r>
      <w:r>
        <w:rPr>
          <w:spacing w:val="-3"/>
          <w:sz w:val="21"/>
        </w:rPr>
        <w:t>件监测装置。</w:t>
      </w:r>
      <w:r>
        <w:rPr>
          <w:sz w:val="21"/>
        </w:rPr>
        <w:t xml:space="preserve"> </w:t>
      </w:r>
    </w:p>
    <w:p>
      <w:pPr>
        <w:pStyle w:val="ListParagraph"/>
        <w:numPr>
          <w:ilvl w:val="4"/>
          <w:numId w:val="12"/>
        </w:numPr>
        <w:tabs>
          <w:tab w:val="left" w:pos="1066"/>
        </w:tabs>
        <w:spacing w:before="0" w:after="0" w:line="269" w:lineRule="exact"/>
        <w:ind w:left="1065" w:right="0" w:hanging="426"/>
        <w:jc w:val="left"/>
        <w:rPr>
          <w:sz w:val="21"/>
        </w:rPr>
      </w:pPr>
      <w:r>
        <w:rPr>
          <w:spacing w:val="-3"/>
          <w:sz w:val="21"/>
        </w:rPr>
        <w:t xml:space="preserve">集中电源集中控制型消防应急灯具、应急照明控制器和应急照明集中电源。 </w:t>
      </w:r>
    </w:p>
    <w:p>
      <w:pPr>
        <w:pStyle w:val="ListParagraph"/>
        <w:numPr>
          <w:ilvl w:val="4"/>
          <w:numId w:val="12"/>
        </w:numPr>
        <w:tabs>
          <w:tab w:val="left" w:pos="1066"/>
        </w:tabs>
        <w:spacing w:before="43" w:after="0" w:line="240" w:lineRule="auto"/>
        <w:ind w:left="1065" w:right="0" w:hanging="426"/>
        <w:jc w:val="left"/>
        <w:rPr>
          <w:sz w:val="21"/>
        </w:rPr>
      </w:pPr>
      <w:r>
        <w:rPr>
          <w:spacing w:val="-3"/>
          <w:sz w:val="21"/>
        </w:rPr>
        <w:t>集中控制型消防应急灯具、应急照明控制器和应急照明配电箱。</w:t>
      </w:r>
      <w:r>
        <w:rPr>
          <w:sz w:val="21"/>
        </w:rPr>
        <w:t xml:space="preserve"> </w:t>
      </w:r>
    </w:p>
    <w:p>
      <w:pPr>
        <w:pStyle w:val="ListParagraph"/>
        <w:numPr>
          <w:ilvl w:val="4"/>
          <w:numId w:val="12"/>
        </w:numPr>
        <w:tabs>
          <w:tab w:val="left" w:pos="1066"/>
        </w:tabs>
        <w:spacing w:before="43" w:after="0" w:line="278" w:lineRule="auto"/>
        <w:ind w:left="1065" w:right="600" w:hanging="425"/>
        <w:jc w:val="left"/>
        <w:rPr>
          <w:sz w:val="21"/>
        </w:rPr>
      </w:pPr>
      <w:r>
        <w:rPr>
          <w:spacing w:val="-2"/>
          <w:sz w:val="21"/>
        </w:rPr>
        <w:t>集中电源集中控制型消防应急灯具、集中控制型消防应急灯具、应急照明控制器、应急照明</w:t>
      </w:r>
      <w:r>
        <w:rPr>
          <w:spacing w:val="-3"/>
          <w:sz w:val="21"/>
        </w:rPr>
        <w:t>集中电源和应急照明配电箱。</w:t>
      </w:r>
      <w:r>
        <w:rPr>
          <w:sz w:val="21"/>
        </w:rPr>
        <w:t xml:space="preserve"> </w:t>
      </w:r>
    </w:p>
    <w:p>
      <w:pPr>
        <w:pStyle w:val="ListParagraph"/>
        <w:numPr>
          <w:ilvl w:val="2"/>
          <w:numId w:val="12"/>
        </w:numPr>
        <w:tabs>
          <w:tab w:val="left" w:pos="948"/>
        </w:tabs>
        <w:spacing w:before="156" w:after="0" w:line="240" w:lineRule="auto"/>
        <w:ind w:left="947" w:right="0" w:hanging="736"/>
        <w:jc w:val="left"/>
        <w:rPr>
          <w:rFonts w:ascii="黑体" w:eastAsia="黑体" w:hint="eastAsia"/>
          <w:sz w:val="21"/>
        </w:rPr>
      </w:pPr>
      <w:r>
        <w:rPr>
          <w:rFonts w:ascii="黑体" w:eastAsia="黑体" w:hint="eastAsia"/>
          <w:spacing w:val="-1"/>
          <w:sz w:val="21"/>
        </w:rPr>
        <w:t>系统电源</w:t>
      </w:r>
    </w:p>
    <w:p>
      <w:pPr>
        <w:pStyle w:val="BodyText"/>
        <w:spacing w:before="6"/>
        <w:rPr>
          <w:rFonts w:ascii="黑体"/>
          <w:sz w:val="15"/>
        </w:rPr>
      </w:pPr>
    </w:p>
    <w:p>
      <w:pPr>
        <w:pStyle w:val="ListParagraph"/>
        <w:numPr>
          <w:ilvl w:val="3"/>
          <w:numId w:val="12"/>
        </w:numPr>
        <w:tabs>
          <w:tab w:val="left" w:pos="1159"/>
        </w:tabs>
        <w:spacing w:before="1" w:after="0" w:line="240" w:lineRule="auto"/>
        <w:ind w:left="1158" w:right="0" w:hanging="947"/>
        <w:jc w:val="left"/>
        <w:rPr>
          <w:sz w:val="21"/>
        </w:rPr>
      </w:pPr>
      <w:r>
        <w:rPr>
          <w:spacing w:val="-3"/>
          <w:sz w:val="21"/>
        </w:rPr>
        <w:t xml:space="preserve">系统设备的主电源应按照额定电压等级接到系统内相适应的电压等级网络上。 </w:t>
      </w:r>
    </w:p>
    <w:p>
      <w:pPr>
        <w:pStyle w:val="ListParagraph"/>
        <w:numPr>
          <w:ilvl w:val="3"/>
          <w:numId w:val="12"/>
        </w:numPr>
        <w:tabs>
          <w:tab w:val="left" w:pos="1159"/>
        </w:tabs>
        <w:spacing w:before="42" w:after="0" w:line="240" w:lineRule="auto"/>
        <w:ind w:left="1158" w:right="0" w:hanging="947"/>
        <w:jc w:val="left"/>
        <w:rPr>
          <w:sz w:val="21"/>
        </w:rPr>
      </w:pPr>
      <w:r>
        <w:rPr>
          <w:spacing w:val="-3"/>
          <w:sz w:val="21"/>
        </w:rPr>
        <w:t>系统设备的蓄电池电源应采用满足国家有关标准的蓄电池，不应采用锂离子蓄电池。</w:t>
      </w:r>
      <w:r>
        <w:rPr>
          <w:sz w:val="21"/>
        </w:rPr>
        <w:t xml:space="preserve"> </w:t>
      </w:r>
    </w:p>
    <w:p>
      <w:pPr>
        <w:pStyle w:val="BodyText"/>
        <w:spacing w:before="7"/>
        <w:rPr>
          <w:sz w:val="15"/>
        </w:rPr>
      </w:pPr>
    </w:p>
    <w:p>
      <w:pPr>
        <w:pStyle w:val="ListParagraph"/>
        <w:numPr>
          <w:ilvl w:val="2"/>
          <w:numId w:val="12"/>
        </w:numPr>
        <w:tabs>
          <w:tab w:val="left" w:pos="948"/>
        </w:tabs>
        <w:spacing w:before="0" w:after="0" w:line="240" w:lineRule="auto"/>
        <w:ind w:left="947" w:right="0" w:hanging="736"/>
        <w:jc w:val="left"/>
        <w:rPr>
          <w:rFonts w:ascii="黑体" w:eastAsia="黑体" w:hint="eastAsia"/>
          <w:sz w:val="21"/>
        </w:rPr>
      </w:pPr>
      <w:r>
        <w:rPr>
          <w:rFonts w:ascii="黑体" w:eastAsia="黑体" w:hint="eastAsia"/>
          <w:spacing w:val="-3"/>
          <w:sz w:val="21"/>
        </w:rPr>
        <w:t>系统应急启动功能</w:t>
      </w:r>
    </w:p>
    <w:p>
      <w:pPr>
        <w:pStyle w:val="BodyText"/>
        <w:spacing w:before="7"/>
        <w:rPr>
          <w:rFonts w:ascii="黑体"/>
          <w:sz w:val="15"/>
        </w:rPr>
      </w:pPr>
    </w:p>
    <w:p>
      <w:pPr>
        <w:pStyle w:val="BodyText"/>
        <w:spacing w:line="278" w:lineRule="auto"/>
        <w:ind w:left="212" w:right="592" w:firstLine="420"/>
      </w:pPr>
      <w:r>
        <w:t xml:space="preserve">系统在接收到具有联动控制功能的火灾报警控制器发出的联动控制输出信号后，应能在2 s内启动应急疏散预案，发出声光指示。 </w:t>
      </w:r>
    </w:p>
    <w:p>
      <w:pPr>
        <w:pStyle w:val="ListParagraph"/>
        <w:numPr>
          <w:ilvl w:val="2"/>
          <w:numId w:val="12"/>
        </w:numPr>
        <w:tabs>
          <w:tab w:val="left" w:pos="948"/>
        </w:tabs>
        <w:spacing w:before="156" w:after="0" w:line="240" w:lineRule="auto"/>
        <w:ind w:left="947" w:right="0" w:hanging="736"/>
        <w:jc w:val="left"/>
        <w:rPr>
          <w:rFonts w:ascii="黑体" w:eastAsia="黑体" w:hint="eastAsia"/>
          <w:sz w:val="21"/>
        </w:rPr>
      </w:pPr>
      <w:r>
        <w:rPr>
          <w:rFonts w:ascii="黑体" w:eastAsia="黑体" w:hint="eastAsia"/>
          <w:spacing w:val="-3"/>
          <w:sz w:val="21"/>
        </w:rPr>
        <w:t>部件在线更换功能</w:t>
      </w:r>
    </w:p>
    <w:p>
      <w:pPr>
        <w:pStyle w:val="BodyText"/>
        <w:spacing w:before="7"/>
        <w:rPr>
          <w:rFonts w:ascii="黑体"/>
          <w:sz w:val="15"/>
        </w:rPr>
      </w:pPr>
    </w:p>
    <w:p>
      <w:pPr>
        <w:pStyle w:val="BodyText"/>
        <w:spacing w:line="278" w:lineRule="auto"/>
        <w:ind w:left="212" w:right="592" w:firstLine="420"/>
      </w:pPr>
      <w:r>
        <w:rPr>
          <w:spacing w:val="-8"/>
        </w:rPr>
        <w:t>系统应具有在线更换消防应急灯具、疏散条件监测装置、蓄电池的功能，更换时，不应影响非更换</w:t>
      </w:r>
      <w:r>
        <w:rPr>
          <w:spacing w:val="-5"/>
        </w:rPr>
        <w:t>部件的正常工作。</w:t>
      </w:r>
      <w:r>
        <w:t xml:space="preserve"> </w:t>
      </w:r>
    </w:p>
    <w:p>
      <w:pPr>
        <w:pStyle w:val="ListParagraph"/>
        <w:numPr>
          <w:ilvl w:val="2"/>
          <w:numId w:val="12"/>
        </w:numPr>
        <w:tabs>
          <w:tab w:val="left" w:pos="948"/>
        </w:tabs>
        <w:spacing w:before="156" w:after="0" w:line="240" w:lineRule="auto"/>
        <w:ind w:left="947" w:right="0" w:hanging="736"/>
        <w:jc w:val="left"/>
        <w:rPr>
          <w:rFonts w:ascii="黑体" w:eastAsia="黑体" w:hint="eastAsia"/>
          <w:sz w:val="21"/>
        </w:rPr>
      </w:pPr>
      <w:r>
        <w:rPr>
          <w:rFonts w:ascii="黑体" w:eastAsia="黑体" w:hint="eastAsia"/>
          <w:spacing w:val="-2"/>
          <w:sz w:val="21"/>
        </w:rPr>
        <w:t>无线通信功能</w:t>
      </w:r>
    </w:p>
    <w:p>
      <w:pPr>
        <w:pStyle w:val="BodyText"/>
        <w:spacing w:before="6"/>
        <w:rPr>
          <w:rFonts w:ascii="黑体"/>
          <w:sz w:val="15"/>
        </w:rPr>
      </w:pPr>
    </w:p>
    <w:p>
      <w:pPr>
        <w:pStyle w:val="BodyText"/>
        <w:spacing w:before="1" w:line="278" w:lineRule="auto"/>
        <w:ind w:left="212" w:right="486" w:firstLine="420"/>
      </w:pPr>
      <w:r>
        <w:rPr>
          <w:spacing w:val="-12"/>
        </w:rPr>
        <w:t>应急照明控制器之间可采用无线通信方式，应急照明控制器与应急照明集中电源、应急照明配电箱、</w:t>
      </w:r>
      <w:r>
        <w:rPr>
          <w:spacing w:val="-6"/>
        </w:rPr>
        <w:t xml:space="preserve">消防应急灯具、疏散条件监控装置之间不应采用无线通信方式，无线通信应满足下述要求： </w:t>
      </w:r>
    </w:p>
    <w:p>
      <w:pPr>
        <w:pStyle w:val="ListParagraph"/>
        <w:numPr>
          <w:ilvl w:val="0"/>
          <w:numId w:val="11"/>
        </w:numPr>
        <w:tabs>
          <w:tab w:val="left" w:pos="1066"/>
        </w:tabs>
        <w:spacing w:before="0" w:after="0" w:line="269" w:lineRule="exact"/>
        <w:ind w:left="1065" w:right="0" w:hanging="426"/>
        <w:jc w:val="left"/>
        <w:rPr>
          <w:sz w:val="21"/>
        </w:rPr>
      </w:pPr>
      <w:r>
        <w:rPr>
          <w:spacing w:val="-3"/>
          <w:sz w:val="21"/>
        </w:rPr>
        <w:t>系统中无线频谱应采用国家相关法律法规允许范围内的无线频段；</w:t>
      </w:r>
      <w:r>
        <w:rPr>
          <w:sz w:val="21"/>
        </w:rPr>
        <w:t xml:space="preserve"> </w:t>
      </w:r>
    </w:p>
    <w:p>
      <w:pPr>
        <w:pStyle w:val="ListParagraph"/>
        <w:numPr>
          <w:ilvl w:val="0"/>
          <w:numId w:val="11"/>
        </w:numPr>
        <w:tabs>
          <w:tab w:val="left" w:pos="1066"/>
        </w:tabs>
        <w:spacing w:before="43" w:after="0" w:line="240" w:lineRule="auto"/>
        <w:ind w:left="1065" w:right="0" w:hanging="426"/>
        <w:jc w:val="left"/>
        <w:rPr>
          <w:sz w:val="21"/>
        </w:rPr>
      </w:pPr>
      <w:r>
        <w:rPr>
          <w:spacing w:val="-3"/>
          <w:sz w:val="21"/>
        </w:rPr>
        <w:t>在满足生产者规定的网络信号质量指标环境下应能正常通信；</w:t>
      </w:r>
      <w:r>
        <w:rPr>
          <w:sz w:val="21"/>
        </w:rPr>
        <w:t xml:space="preserve"> </w:t>
      </w:r>
    </w:p>
    <w:p>
      <w:pPr>
        <w:pStyle w:val="ListParagraph"/>
        <w:numPr>
          <w:ilvl w:val="0"/>
          <w:numId w:val="11"/>
        </w:numPr>
        <w:tabs>
          <w:tab w:val="left" w:pos="1066"/>
        </w:tabs>
        <w:spacing w:before="43" w:after="0" w:line="240" w:lineRule="auto"/>
        <w:ind w:left="1065" w:right="0" w:hanging="426"/>
        <w:jc w:val="left"/>
        <w:rPr>
          <w:sz w:val="21"/>
        </w:rPr>
      </w:pPr>
      <w:r>
        <w:rPr>
          <w:spacing w:val="-3"/>
          <w:sz w:val="21"/>
        </w:rPr>
        <w:t xml:space="preserve">系统中任一故障均不得影响非故障部分的正常工作； </w:t>
      </w:r>
    </w:p>
    <w:p>
      <w:pPr>
        <w:pStyle w:val="ListParagraph"/>
        <w:numPr>
          <w:ilvl w:val="0"/>
          <w:numId w:val="11"/>
        </w:numPr>
        <w:tabs>
          <w:tab w:val="left" w:pos="1066"/>
        </w:tabs>
        <w:spacing w:before="43" w:after="0" w:line="278" w:lineRule="auto"/>
        <w:ind w:left="1065" w:right="600" w:hanging="425"/>
        <w:jc w:val="left"/>
        <w:rPr>
          <w:sz w:val="21"/>
        </w:rPr>
      </w:pPr>
      <w:r>
        <w:rPr>
          <w:spacing w:val="-2"/>
          <w:sz w:val="21"/>
        </w:rPr>
        <w:t>采用无线通信方式的应急照明控制器应具有无线通信故障指示功能。当应急照明控制器之间</w:t>
      </w:r>
      <w:r>
        <w:rPr>
          <w:spacing w:val="-3"/>
          <w:sz w:val="21"/>
        </w:rPr>
        <w:t>通信异常时，应能指示通信异常的部位。</w:t>
      </w:r>
      <w:r>
        <w:rPr>
          <w:sz w:val="21"/>
        </w:rPr>
        <w:t xml:space="preserve"> </w:t>
      </w:r>
    </w:p>
    <w:p>
      <w:pPr>
        <w:spacing w:before="104"/>
        <w:ind w:left="410" w:right="0" w:firstLine="0"/>
        <w:jc w:val="left"/>
        <w:rPr>
          <w:sz w:val="18"/>
        </w:rPr>
      </w:pPr>
      <w:r>
        <w:rPr>
          <w:sz w:val="18"/>
        </w:rPr>
        <w:t xml:space="preserve">2 </w:t>
      </w:r>
    </w:p>
    <w:p>
      <w:pPr>
        <w:spacing w:after="0"/>
        <w:jc w:val="left"/>
        <w:rPr>
          <w:sz w:val="18"/>
        </w:rPr>
        <w:sectPr>
          <w:pgSz w:w="11910" w:h="16840"/>
          <w:pgMar w:top="1580" w:right="820" w:bottom="280" w:left="920" w:header="708" w:footer="708"/>
          <w:pgNumType w:start="6"/>
          <w:cols w:space="708"/>
        </w:sectPr>
      </w:pPr>
    </w:p>
    <w:p>
      <w:pPr>
        <w:pStyle w:val="BodyText"/>
        <w:spacing w:before="11"/>
      </w:pPr>
    </w:p>
    <w:p>
      <w:pPr>
        <w:pStyle w:val="ListParagraph"/>
        <w:numPr>
          <w:ilvl w:val="1"/>
          <w:numId w:val="12"/>
        </w:numPr>
        <w:tabs>
          <w:tab w:val="left" w:pos="1025"/>
        </w:tabs>
        <w:spacing w:before="72" w:after="0" w:line="240" w:lineRule="auto"/>
        <w:ind w:left="1024" w:right="0" w:hanging="527"/>
        <w:jc w:val="left"/>
        <w:rPr>
          <w:rFonts w:ascii="黑体" w:eastAsia="黑体" w:hint="eastAsia"/>
          <w:sz w:val="21"/>
        </w:rPr>
      </w:pPr>
      <w:bookmarkStart w:id="7" w:name="_bookmark7"/>
      <w:bookmarkEnd w:id="7"/>
      <w:r>
        <w:rPr>
          <w:rFonts w:ascii="黑体" w:eastAsia="黑体" w:hint="eastAsia"/>
          <w:spacing w:val="-3"/>
          <w:sz w:val="21"/>
        </w:rPr>
        <w:t>消防应急灯具的功能和性能要求</w:t>
      </w:r>
    </w:p>
    <w:p>
      <w:pPr>
        <w:pStyle w:val="BodyText"/>
        <w:spacing w:before="6"/>
        <w:rPr>
          <w:rFonts w:ascii="黑体"/>
          <w:sz w:val="15"/>
        </w:rPr>
      </w:pPr>
    </w:p>
    <w:p>
      <w:pPr>
        <w:pStyle w:val="ListParagraph"/>
        <w:numPr>
          <w:ilvl w:val="2"/>
          <w:numId w:val="12"/>
        </w:numPr>
        <w:tabs>
          <w:tab w:val="left" w:pos="1234"/>
        </w:tabs>
        <w:spacing w:before="0" w:after="0" w:line="240" w:lineRule="auto"/>
        <w:ind w:left="1233" w:right="0" w:hanging="736"/>
        <w:jc w:val="left"/>
        <w:rPr>
          <w:rFonts w:ascii="黑体" w:eastAsia="黑体" w:hint="eastAsia"/>
          <w:sz w:val="21"/>
        </w:rPr>
      </w:pPr>
      <w:r>
        <w:rPr>
          <w:rFonts w:ascii="黑体" w:eastAsia="黑体" w:hint="eastAsia"/>
          <w:spacing w:val="-3"/>
          <w:sz w:val="21"/>
        </w:rPr>
        <w:t>最小初装持续应急工作时间</w:t>
      </w:r>
    </w:p>
    <w:p>
      <w:pPr>
        <w:pStyle w:val="BodyText"/>
        <w:spacing w:before="7"/>
        <w:rPr>
          <w:rFonts w:ascii="黑体"/>
          <w:sz w:val="15"/>
        </w:rPr>
      </w:pPr>
    </w:p>
    <w:p>
      <w:pPr>
        <w:pStyle w:val="BodyText"/>
        <w:spacing w:line="278" w:lineRule="auto"/>
        <w:ind w:left="498" w:right="306" w:firstLine="420"/>
        <w:jc w:val="both"/>
      </w:pPr>
      <w:r>
        <w:rPr>
          <w:spacing w:val="-12"/>
        </w:rPr>
        <w:t>系统应急启动后，自带电源型灯具在自带蓄电池供电状态下的最小初装持续应急工作时间不应小于表1</w:t>
      </w:r>
      <w:r>
        <w:rPr>
          <w:spacing w:val="-5"/>
        </w:rPr>
        <w:t>的规定。生产者应根据灯具适用场所所需持续应急工作时间要求，标称灯具最小初装持续应急工作时间。</w:t>
      </w:r>
      <w:r>
        <w:t xml:space="preserve"> </w:t>
      </w:r>
    </w:p>
    <w:p>
      <w:pPr>
        <w:pStyle w:val="BodyText"/>
        <w:spacing w:before="156"/>
        <w:ind w:left="185"/>
        <w:jc w:val="center"/>
        <w:rPr>
          <w:rFonts w:ascii="黑体" w:eastAsia="黑体" w:hint="eastAsia"/>
        </w:rPr>
      </w:pPr>
      <w:r>
        <w:rPr>
          <w:rFonts w:ascii="黑体" w:eastAsia="黑体" w:hint="eastAsia"/>
        </w:rPr>
        <w:t>表1 灯具最小初装持续应急工作时间要求</w:t>
      </w:r>
    </w:p>
    <w:p>
      <w:pPr>
        <w:pStyle w:val="BodyText"/>
        <w:spacing w:before="9"/>
        <w:rPr>
          <w:rFonts w:ascii="黑体"/>
          <w:sz w:val="13"/>
        </w:rPr>
      </w:pPr>
    </w:p>
    <w:tbl>
      <w:tblPr>
        <w:tblStyle w:val="TableNormal0"/>
        <w:tblW w:w="0" w:type="auto"/>
        <w:jc w:val="left"/>
        <w:tblInd w:w="4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3413"/>
        <w:gridCol w:w="6149"/>
      </w:tblGrid>
      <w:tr>
        <w:tblPrEx>
          <w:tblW w:w="0" w:type="auto"/>
          <w:jc w:val="left"/>
          <w:tblInd w:w="4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11"/>
          <w:jc w:val="left"/>
        </w:trPr>
        <w:tc>
          <w:tcPr>
            <w:tcW w:w="3413" w:type="dxa"/>
            <w:vMerge w:val="restart"/>
          </w:tcPr>
          <w:p>
            <w:pPr>
              <w:pStyle w:val="TableParagraph"/>
              <w:spacing w:before="48"/>
              <w:ind w:left="563"/>
              <w:jc w:val="left"/>
              <w:rPr>
                <w:sz w:val="18"/>
              </w:rPr>
            </w:pPr>
            <w:r>
              <w:rPr>
                <w:sz w:val="18"/>
              </w:rPr>
              <w:t>灯具适用场所所需持续应急工作时</w:t>
            </w:r>
          </w:p>
          <w:p>
            <w:pPr>
              <w:pStyle w:val="TableParagraph"/>
              <w:spacing w:before="81"/>
              <w:ind w:left="1718"/>
              <w:jc w:val="left"/>
              <w:rPr>
                <w:sz w:val="18"/>
              </w:rPr>
            </w:pPr>
            <w:r>
              <w:rPr>
                <w:sz w:val="18"/>
              </w:rPr>
              <w:t xml:space="preserve">间（min） </w:t>
            </w:r>
          </w:p>
        </w:tc>
        <w:tc>
          <w:tcPr>
            <w:tcW w:w="6149" w:type="dxa"/>
          </w:tcPr>
          <w:p>
            <w:pPr>
              <w:pStyle w:val="TableParagraph"/>
              <w:spacing w:before="40"/>
              <w:ind w:left="1735" w:right="1214"/>
              <w:rPr>
                <w:sz w:val="18"/>
              </w:rPr>
            </w:pPr>
            <w:r>
              <w:rPr>
                <w:sz w:val="18"/>
              </w:rPr>
              <w:t xml:space="preserve">灯具最小初装持续应急工作时间（min） </w:t>
            </w:r>
          </w:p>
        </w:tc>
      </w:tr>
      <w:tr>
        <w:tblPrEx>
          <w:tblW w:w="0" w:type="auto"/>
          <w:jc w:val="left"/>
          <w:tblInd w:w="400" w:type="dxa"/>
          <w:tblLayout w:type="fixed"/>
          <w:tblCellMar>
            <w:top w:w="0" w:type="dxa"/>
            <w:left w:w="0" w:type="dxa"/>
            <w:bottom w:w="0" w:type="dxa"/>
            <w:right w:w="0" w:type="dxa"/>
          </w:tblCellMar>
          <w:tblLook w:val="01E0"/>
        </w:tblPrEx>
        <w:trPr>
          <w:trHeight w:val="314"/>
          <w:jc w:val="left"/>
        </w:trPr>
        <w:tc>
          <w:tcPr>
            <w:tcW w:w="3413" w:type="dxa"/>
            <w:vMerge/>
            <w:tcBorders>
              <w:top w:val="nil"/>
            </w:tcBorders>
          </w:tcPr>
          <w:p>
            <w:pPr>
              <w:rPr>
                <w:sz w:val="2"/>
                <w:szCs w:val="2"/>
              </w:rPr>
            </w:pPr>
          </w:p>
        </w:tc>
        <w:tc>
          <w:tcPr>
            <w:tcW w:w="6149" w:type="dxa"/>
          </w:tcPr>
          <w:p>
            <w:pPr>
              <w:pStyle w:val="TableParagraph"/>
              <w:spacing w:before="43"/>
              <w:ind w:left="1733" w:right="1214"/>
              <w:rPr>
                <w:sz w:val="18"/>
              </w:rPr>
            </w:pPr>
            <w:r>
              <w:rPr>
                <w:sz w:val="18"/>
              </w:rPr>
              <w:t xml:space="preserve">采用镉镍、氢镍蓄电池 </w:t>
            </w:r>
          </w:p>
        </w:tc>
      </w:tr>
      <w:tr>
        <w:tblPrEx>
          <w:tblW w:w="0" w:type="auto"/>
          <w:jc w:val="left"/>
          <w:tblInd w:w="400" w:type="dxa"/>
          <w:tblLayout w:type="fixed"/>
          <w:tblCellMar>
            <w:top w:w="0" w:type="dxa"/>
            <w:left w:w="0" w:type="dxa"/>
            <w:bottom w:w="0" w:type="dxa"/>
            <w:right w:w="0" w:type="dxa"/>
          </w:tblCellMar>
          <w:tblLook w:val="01E0"/>
        </w:tblPrEx>
        <w:trPr>
          <w:trHeight w:val="311"/>
          <w:jc w:val="left"/>
        </w:trPr>
        <w:tc>
          <w:tcPr>
            <w:tcW w:w="3413" w:type="dxa"/>
          </w:tcPr>
          <w:p>
            <w:pPr>
              <w:pStyle w:val="TableParagraph"/>
              <w:spacing w:before="40"/>
              <w:ind w:left="1892" w:right="1380"/>
              <w:rPr>
                <w:sz w:val="18"/>
              </w:rPr>
            </w:pPr>
            <w:r>
              <w:rPr>
                <w:sz w:val="18"/>
              </w:rPr>
              <w:t xml:space="preserve">t </w:t>
            </w:r>
          </w:p>
        </w:tc>
        <w:tc>
          <w:tcPr>
            <w:tcW w:w="6149" w:type="dxa"/>
          </w:tcPr>
          <w:p>
            <w:pPr>
              <w:pStyle w:val="TableParagraph"/>
              <w:spacing w:before="40"/>
              <w:ind w:left="1732" w:right="1214"/>
              <w:rPr>
                <w:sz w:val="18"/>
              </w:rPr>
            </w:pPr>
            <w:r>
              <w:rPr>
                <w:sz w:val="18"/>
              </w:rPr>
              <w:t xml:space="preserve">t×3 </w:t>
            </w:r>
          </w:p>
        </w:tc>
      </w:tr>
    </w:tbl>
    <w:p>
      <w:pPr>
        <w:pStyle w:val="ListParagraph"/>
        <w:numPr>
          <w:ilvl w:val="2"/>
          <w:numId w:val="12"/>
        </w:numPr>
        <w:tabs>
          <w:tab w:val="left" w:pos="1234"/>
        </w:tabs>
        <w:spacing w:before="179" w:after="0" w:line="240" w:lineRule="auto"/>
        <w:ind w:left="1233" w:right="0" w:hanging="736"/>
        <w:jc w:val="left"/>
        <w:rPr>
          <w:rFonts w:ascii="黑体" w:eastAsia="黑体" w:hint="eastAsia"/>
          <w:sz w:val="21"/>
        </w:rPr>
      </w:pPr>
      <w:r>
        <w:rPr>
          <w:rFonts w:ascii="黑体" w:eastAsia="黑体" w:hint="eastAsia"/>
          <w:spacing w:val="-3"/>
          <w:sz w:val="21"/>
        </w:rPr>
        <w:t>消防应急疏散标志灯具标志图案</w:t>
      </w:r>
    </w:p>
    <w:p>
      <w:pPr>
        <w:pStyle w:val="BodyText"/>
        <w:spacing w:before="6"/>
        <w:rPr>
          <w:rFonts w:ascii="黑体"/>
          <w:sz w:val="15"/>
        </w:rPr>
      </w:pPr>
    </w:p>
    <w:p>
      <w:pPr>
        <w:pStyle w:val="BodyText"/>
        <w:ind w:left="918"/>
      </w:pPr>
      <w:r>
        <w:t xml:space="preserve">消防应急疏散标志灯具（以下简称标志灯具）的标志图案应满足附录A的要求。 </w:t>
      </w:r>
    </w:p>
    <w:p>
      <w:pPr>
        <w:pStyle w:val="BodyText"/>
        <w:spacing w:before="7"/>
        <w:rPr>
          <w:sz w:val="15"/>
        </w:rPr>
      </w:pPr>
    </w:p>
    <w:p>
      <w:pPr>
        <w:pStyle w:val="ListParagraph"/>
        <w:numPr>
          <w:ilvl w:val="2"/>
          <w:numId w:val="12"/>
        </w:numPr>
        <w:tabs>
          <w:tab w:val="left" w:pos="1234"/>
        </w:tabs>
        <w:spacing w:before="0" w:after="0" w:line="240" w:lineRule="auto"/>
        <w:ind w:left="1233" w:right="0" w:hanging="736"/>
        <w:jc w:val="left"/>
        <w:rPr>
          <w:rFonts w:ascii="黑体" w:eastAsia="黑体" w:hint="eastAsia"/>
          <w:sz w:val="21"/>
        </w:rPr>
      </w:pPr>
      <w:r>
        <w:rPr>
          <w:rFonts w:ascii="黑体" w:eastAsia="黑体" w:hint="eastAsia"/>
          <w:spacing w:val="-3"/>
          <w:sz w:val="21"/>
        </w:rPr>
        <w:t>消防应急疏散标志灯具表面亮度</w:t>
      </w:r>
    </w:p>
    <w:p>
      <w:pPr>
        <w:pStyle w:val="BodyText"/>
        <w:spacing w:before="7"/>
        <w:rPr>
          <w:rFonts w:ascii="黑体"/>
          <w:sz w:val="15"/>
        </w:rPr>
      </w:pPr>
    </w:p>
    <w:p>
      <w:pPr>
        <w:pStyle w:val="ListParagraph"/>
        <w:numPr>
          <w:ilvl w:val="3"/>
          <w:numId w:val="12"/>
        </w:numPr>
        <w:tabs>
          <w:tab w:val="left" w:pos="1445"/>
        </w:tabs>
        <w:spacing w:before="0" w:after="0" w:line="240" w:lineRule="auto"/>
        <w:ind w:left="1444" w:right="0" w:hanging="947"/>
        <w:jc w:val="left"/>
        <w:rPr>
          <w:sz w:val="21"/>
        </w:rPr>
      </w:pPr>
      <w:r>
        <w:rPr>
          <w:spacing w:val="-11"/>
          <w:sz w:val="21"/>
        </w:rPr>
        <w:t>室内区域的标志灯具的光源处于节电点亮模式时，标志灯具的应急表面亮度应满足下述要求：</w:t>
      </w:r>
      <w:r>
        <w:rPr>
          <w:sz w:val="21"/>
        </w:rPr>
        <w:t xml:space="preserve"> </w:t>
      </w:r>
    </w:p>
    <w:p>
      <w:pPr>
        <w:pStyle w:val="ListParagraph"/>
        <w:numPr>
          <w:ilvl w:val="4"/>
          <w:numId w:val="12"/>
        </w:numPr>
        <w:tabs>
          <w:tab w:val="left" w:pos="1351"/>
        </w:tabs>
        <w:spacing w:before="33" w:after="0" w:line="268" w:lineRule="auto"/>
        <w:ind w:left="1350" w:right="308" w:hanging="425"/>
        <w:jc w:val="left"/>
        <w:rPr>
          <w:sz w:val="21"/>
        </w:rPr>
      </w:pPr>
      <w:r>
        <w:rPr>
          <w:sz w:val="21"/>
        </w:rPr>
        <w:t>仅用绿色、黄色或红色图形构成标志的标志灯具，其标志表面最小亮度不应小于 15</w:t>
      </w:r>
      <w:r>
        <w:rPr>
          <w:spacing w:val="25"/>
          <w:sz w:val="21"/>
        </w:rPr>
        <w:t xml:space="preserve"> </w:t>
      </w:r>
      <w:r>
        <w:rPr>
          <w:spacing w:val="-4"/>
          <w:sz w:val="21"/>
        </w:rPr>
        <w:t>cd/m</w:t>
      </w:r>
      <w:r>
        <w:rPr>
          <w:spacing w:val="-4"/>
          <w:position w:val="11"/>
          <w:sz w:val="11"/>
        </w:rPr>
        <w:t>2</w:t>
      </w:r>
      <w:r>
        <w:rPr>
          <w:spacing w:val="-4"/>
          <w:sz w:val="21"/>
        </w:rPr>
        <w:t xml:space="preserve">， </w:t>
      </w:r>
      <w:r>
        <w:rPr>
          <w:spacing w:val="-9"/>
          <w:sz w:val="21"/>
        </w:rPr>
        <w:t xml:space="preserve">最大亮度不应大于 </w:t>
      </w:r>
      <w:r>
        <w:rPr>
          <w:sz w:val="21"/>
        </w:rPr>
        <w:t>150 cd/m</w:t>
      </w:r>
      <w:r>
        <w:rPr>
          <w:position w:val="11"/>
          <w:sz w:val="11"/>
        </w:rPr>
        <w:t>2</w:t>
      </w:r>
      <w:r>
        <w:rPr>
          <w:sz w:val="21"/>
        </w:rPr>
        <w:t xml:space="preserve">； </w:t>
      </w:r>
    </w:p>
    <w:p>
      <w:pPr>
        <w:pStyle w:val="ListParagraph"/>
        <w:numPr>
          <w:ilvl w:val="4"/>
          <w:numId w:val="12"/>
        </w:numPr>
        <w:tabs>
          <w:tab w:val="left" w:pos="1351"/>
        </w:tabs>
        <w:spacing w:before="11" w:after="0" w:line="268" w:lineRule="auto"/>
        <w:ind w:left="1350" w:right="315" w:hanging="425"/>
        <w:jc w:val="left"/>
        <w:rPr>
          <w:sz w:val="21"/>
        </w:rPr>
      </w:pPr>
      <w:r>
        <w:rPr>
          <w:spacing w:val="-2"/>
          <w:sz w:val="21"/>
        </w:rPr>
        <w:t>用白色与绿色组合、白色与黄色组合或白色与红色组合构成的图形作为标志的标志灯具表面</w:t>
      </w:r>
      <w:r>
        <w:rPr>
          <w:spacing w:val="-9"/>
          <w:sz w:val="21"/>
        </w:rPr>
        <w:t xml:space="preserve">最小亮度不应小于 </w:t>
      </w:r>
      <w:r>
        <w:rPr>
          <w:spacing w:val="-3"/>
          <w:sz w:val="21"/>
        </w:rPr>
        <w:t>5</w:t>
      </w:r>
      <w:r>
        <w:rPr>
          <w:spacing w:val="1"/>
          <w:sz w:val="21"/>
        </w:rPr>
        <w:t xml:space="preserve"> </w:t>
      </w:r>
      <w:r>
        <w:rPr>
          <w:sz w:val="21"/>
        </w:rPr>
        <w:t>cd/m</w:t>
      </w:r>
      <w:r>
        <w:rPr>
          <w:position w:val="11"/>
          <w:sz w:val="11"/>
        </w:rPr>
        <w:t>2</w:t>
      </w:r>
      <w:r>
        <w:rPr>
          <w:spacing w:val="-8"/>
          <w:sz w:val="21"/>
        </w:rPr>
        <w:t xml:space="preserve">，最大亮度不应大于 </w:t>
      </w:r>
      <w:r>
        <w:rPr>
          <w:sz w:val="21"/>
        </w:rPr>
        <w:t>150</w:t>
      </w:r>
      <w:r>
        <w:rPr>
          <w:spacing w:val="-2"/>
          <w:sz w:val="21"/>
        </w:rPr>
        <w:t xml:space="preserve"> </w:t>
      </w:r>
      <w:r>
        <w:rPr>
          <w:sz w:val="21"/>
        </w:rPr>
        <w:t>cd/m</w:t>
      </w:r>
      <w:r>
        <w:rPr>
          <w:position w:val="11"/>
          <w:sz w:val="11"/>
        </w:rPr>
        <w:t>2</w:t>
      </w:r>
      <w:r>
        <w:rPr>
          <w:spacing w:val="-3"/>
          <w:sz w:val="21"/>
        </w:rPr>
        <w:t>。</w:t>
      </w:r>
      <w:r>
        <w:rPr>
          <w:sz w:val="21"/>
        </w:rPr>
        <w:t xml:space="preserve"> </w:t>
      </w:r>
    </w:p>
    <w:p>
      <w:pPr>
        <w:pStyle w:val="ListParagraph"/>
        <w:numPr>
          <w:ilvl w:val="3"/>
          <w:numId w:val="12"/>
        </w:numPr>
        <w:tabs>
          <w:tab w:val="left" w:pos="1445"/>
        </w:tabs>
        <w:spacing w:before="12" w:after="0" w:line="240" w:lineRule="auto"/>
        <w:ind w:left="1444" w:right="0" w:hanging="947"/>
        <w:jc w:val="left"/>
        <w:rPr>
          <w:sz w:val="21"/>
        </w:rPr>
      </w:pPr>
      <w:r>
        <w:rPr>
          <w:spacing w:val="-11"/>
          <w:sz w:val="21"/>
        </w:rPr>
        <w:t>室内区域的标志灯具的光源处于应急点亮模式时，标志灯具的应急表面亮度应满足下述要求：</w:t>
      </w:r>
      <w:r>
        <w:rPr>
          <w:sz w:val="21"/>
        </w:rPr>
        <w:t xml:space="preserve"> </w:t>
      </w:r>
    </w:p>
    <w:p>
      <w:pPr>
        <w:pStyle w:val="ListParagraph"/>
        <w:numPr>
          <w:ilvl w:val="4"/>
          <w:numId w:val="12"/>
        </w:numPr>
        <w:tabs>
          <w:tab w:val="left" w:pos="1351"/>
        </w:tabs>
        <w:spacing w:before="33" w:after="0" w:line="268" w:lineRule="auto"/>
        <w:ind w:left="1350" w:right="308" w:hanging="425"/>
        <w:jc w:val="left"/>
        <w:rPr>
          <w:sz w:val="21"/>
        </w:rPr>
      </w:pPr>
      <w:r>
        <w:rPr>
          <w:sz w:val="21"/>
        </w:rPr>
        <w:t>仅用绿色、黄色或红色图形构成标志的标志灯具，其标志表面最小亮度不应小于 50</w:t>
      </w:r>
      <w:r>
        <w:rPr>
          <w:spacing w:val="25"/>
          <w:sz w:val="21"/>
        </w:rPr>
        <w:t xml:space="preserve"> </w:t>
      </w:r>
      <w:r>
        <w:rPr>
          <w:spacing w:val="-4"/>
          <w:sz w:val="21"/>
        </w:rPr>
        <w:t>cd/m</w:t>
      </w:r>
      <w:r>
        <w:rPr>
          <w:spacing w:val="-4"/>
          <w:position w:val="11"/>
          <w:sz w:val="11"/>
        </w:rPr>
        <w:t>2</w:t>
      </w:r>
      <w:r>
        <w:rPr>
          <w:spacing w:val="-4"/>
          <w:sz w:val="21"/>
        </w:rPr>
        <w:t xml:space="preserve">， </w:t>
      </w:r>
      <w:r>
        <w:rPr>
          <w:spacing w:val="-9"/>
          <w:sz w:val="21"/>
        </w:rPr>
        <w:t xml:space="preserve">最大亮度不应大于 </w:t>
      </w:r>
      <w:r>
        <w:rPr>
          <w:sz w:val="21"/>
        </w:rPr>
        <w:t>300 cd/m</w:t>
      </w:r>
      <w:r>
        <w:rPr>
          <w:position w:val="11"/>
          <w:sz w:val="11"/>
        </w:rPr>
        <w:t>2</w:t>
      </w:r>
      <w:r>
        <w:rPr>
          <w:sz w:val="21"/>
        </w:rPr>
        <w:t xml:space="preserve">； </w:t>
      </w:r>
    </w:p>
    <w:p>
      <w:pPr>
        <w:pStyle w:val="ListParagraph"/>
        <w:numPr>
          <w:ilvl w:val="4"/>
          <w:numId w:val="12"/>
        </w:numPr>
        <w:tabs>
          <w:tab w:val="left" w:pos="1351"/>
        </w:tabs>
        <w:spacing w:before="11" w:after="0" w:line="268" w:lineRule="auto"/>
        <w:ind w:left="1350" w:right="315" w:hanging="425"/>
        <w:jc w:val="left"/>
        <w:rPr>
          <w:sz w:val="21"/>
        </w:rPr>
      </w:pPr>
      <w:r>
        <w:rPr>
          <w:spacing w:val="-2"/>
          <w:sz w:val="21"/>
        </w:rPr>
        <w:t>用白色与绿色组合、白色与黄色组合或白色与红色组合构成的图形作为标志的标志灯具表面</w:t>
      </w:r>
      <w:r>
        <w:rPr>
          <w:spacing w:val="-9"/>
          <w:sz w:val="21"/>
        </w:rPr>
        <w:t xml:space="preserve">最小亮度不应小于 </w:t>
      </w:r>
      <w:r>
        <w:rPr>
          <w:sz w:val="21"/>
        </w:rPr>
        <w:t>15 cd/m</w:t>
      </w:r>
      <w:r>
        <w:rPr>
          <w:position w:val="11"/>
          <w:sz w:val="11"/>
        </w:rPr>
        <w:t>2</w:t>
      </w:r>
      <w:r>
        <w:rPr>
          <w:spacing w:val="-8"/>
          <w:sz w:val="21"/>
        </w:rPr>
        <w:t xml:space="preserve">，最大亮度不应大于 </w:t>
      </w:r>
      <w:r>
        <w:rPr>
          <w:sz w:val="21"/>
        </w:rPr>
        <w:t>300 cd/m</w:t>
      </w:r>
      <w:r>
        <w:rPr>
          <w:position w:val="11"/>
          <w:sz w:val="11"/>
        </w:rPr>
        <w:t>2</w:t>
      </w:r>
      <w:r>
        <w:rPr>
          <w:sz w:val="21"/>
        </w:rPr>
        <w:t xml:space="preserve">； </w:t>
      </w:r>
    </w:p>
    <w:p>
      <w:pPr>
        <w:pStyle w:val="ListParagraph"/>
        <w:numPr>
          <w:ilvl w:val="4"/>
          <w:numId w:val="12"/>
        </w:numPr>
        <w:tabs>
          <w:tab w:val="left" w:pos="1351"/>
        </w:tabs>
        <w:spacing w:before="11" w:after="0" w:line="278" w:lineRule="auto"/>
        <w:ind w:left="1350" w:right="315" w:hanging="425"/>
        <w:jc w:val="left"/>
        <w:rPr>
          <w:sz w:val="21"/>
        </w:rPr>
      </w:pPr>
      <w:r>
        <w:rPr>
          <w:spacing w:val="-2"/>
          <w:sz w:val="21"/>
        </w:rPr>
        <w:t>标志灯具的光源处于节电点亮模式时，标志灯具的最小表面亮度和最大表面亮度，应分别低</w:t>
      </w:r>
      <w:r>
        <w:rPr>
          <w:spacing w:val="-3"/>
          <w:sz w:val="21"/>
        </w:rPr>
        <w:t>于光源处于应急点亮模式时标志灯具的最小表面亮度和最大表面亮度。</w:t>
      </w:r>
      <w:r>
        <w:rPr>
          <w:sz w:val="21"/>
        </w:rPr>
        <w:t xml:space="preserve"> </w:t>
      </w:r>
    </w:p>
    <w:p>
      <w:pPr>
        <w:pStyle w:val="ListParagraph"/>
        <w:numPr>
          <w:ilvl w:val="3"/>
          <w:numId w:val="12"/>
        </w:numPr>
        <w:tabs>
          <w:tab w:val="left" w:pos="1445"/>
        </w:tabs>
        <w:spacing w:before="0" w:after="0" w:line="269" w:lineRule="exact"/>
        <w:ind w:left="1444" w:right="0" w:hanging="947"/>
        <w:jc w:val="left"/>
        <w:rPr>
          <w:sz w:val="21"/>
        </w:rPr>
      </w:pPr>
      <w:r>
        <w:rPr>
          <w:spacing w:val="-11"/>
          <w:sz w:val="21"/>
        </w:rPr>
        <w:t>室外区域的标志灯具的光源处于节电点亮模式时，标志灯具的应急表面亮度应满足下述要求：</w:t>
      </w:r>
      <w:r>
        <w:rPr>
          <w:sz w:val="21"/>
        </w:rPr>
        <w:t xml:space="preserve"> </w:t>
      </w:r>
    </w:p>
    <w:p>
      <w:pPr>
        <w:pStyle w:val="ListParagraph"/>
        <w:numPr>
          <w:ilvl w:val="4"/>
          <w:numId w:val="12"/>
        </w:numPr>
        <w:tabs>
          <w:tab w:val="left" w:pos="1351"/>
        </w:tabs>
        <w:spacing w:before="33" w:after="0" w:line="268" w:lineRule="auto"/>
        <w:ind w:left="1350" w:right="203" w:hanging="425"/>
        <w:jc w:val="left"/>
        <w:rPr>
          <w:sz w:val="21"/>
        </w:rPr>
      </w:pPr>
      <w:r>
        <w:rPr>
          <w:sz w:val="21"/>
        </w:rPr>
        <w:t>仅用绿色、黄色或红色图形构成标志的标志灯具，其标志表面最小亮度不应小于 500</w:t>
      </w:r>
      <w:r>
        <w:rPr>
          <w:spacing w:val="27"/>
          <w:sz w:val="21"/>
        </w:rPr>
        <w:t xml:space="preserve"> </w:t>
      </w:r>
      <w:r>
        <w:rPr>
          <w:spacing w:val="-4"/>
          <w:sz w:val="21"/>
        </w:rPr>
        <w:t>cd/m</w:t>
      </w:r>
      <w:r>
        <w:rPr>
          <w:spacing w:val="-4"/>
          <w:position w:val="11"/>
          <w:sz w:val="11"/>
        </w:rPr>
        <w:t>2</w:t>
      </w:r>
      <w:r>
        <w:rPr>
          <w:spacing w:val="-4"/>
          <w:sz w:val="21"/>
        </w:rPr>
        <w:t xml:space="preserve">， </w:t>
      </w:r>
      <w:r>
        <w:rPr>
          <w:spacing w:val="-9"/>
          <w:sz w:val="21"/>
        </w:rPr>
        <w:t xml:space="preserve">最大亮度不应大于 </w:t>
      </w:r>
      <w:r>
        <w:rPr>
          <w:sz w:val="21"/>
        </w:rPr>
        <w:t>1000</w:t>
      </w:r>
      <w:r>
        <w:rPr>
          <w:spacing w:val="-3"/>
          <w:sz w:val="21"/>
        </w:rPr>
        <w:t xml:space="preserve"> </w:t>
      </w:r>
      <w:r>
        <w:rPr>
          <w:sz w:val="21"/>
        </w:rPr>
        <w:t>cd/m</w:t>
      </w:r>
      <w:r>
        <w:rPr>
          <w:position w:val="11"/>
          <w:sz w:val="11"/>
        </w:rPr>
        <w:t>2</w:t>
      </w:r>
      <w:r>
        <w:rPr>
          <w:sz w:val="21"/>
        </w:rPr>
        <w:t xml:space="preserve">； </w:t>
      </w:r>
    </w:p>
    <w:p>
      <w:pPr>
        <w:pStyle w:val="ListParagraph"/>
        <w:numPr>
          <w:ilvl w:val="4"/>
          <w:numId w:val="12"/>
        </w:numPr>
        <w:tabs>
          <w:tab w:val="left" w:pos="1351"/>
        </w:tabs>
        <w:spacing w:before="12" w:after="0" w:line="268" w:lineRule="auto"/>
        <w:ind w:left="1350" w:right="315" w:hanging="425"/>
        <w:jc w:val="left"/>
        <w:rPr>
          <w:sz w:val="21"/>
        </w:rPr>
      </w:pPr>
      <w:r>
        <w:rPr>
          <w:spacing w:val="-2"/>
          <w:sz w:val="21"/>
        </w:rPr>
        <w:t>用白色与绿色组合、白色与黄色组合或白色与红色组合构成的图形作为标志的标志灯具表面</w:t>
      </w:r>
      <w:r>
        <w:rPr>
          <w:spacing w:val="-9"/>
          <w:sz w:val="21"/>
        </w:rPr>
        <w:t xml:space="preserve">最小亮度不应小于 </w:t>
      </w:r>
      <w:r>
        <w:rPr>
          <w:sz w:val="21"/>
        </w:rPr>
        <w:t>100</w:t>
      </w:r>
      <w:r>
        <w:rPr>
          <w:spacing w:val="1"/>
          <w:sz w:val="21"/>
        </w:rPr>
        <w:t xml:space="preserve"> </w:t>
      </w:r>
      <w:r>
        <w:rPr>
          <w:sz w:val="21"/>
        </w:rPr>
        <w:t>cd/m</w:t>
      </w:r>
      <w:r>
        <w:rPr>
          <w:position w:val="11"/>
          <w:sz w:val="11"/>
        </w:rPr>
        <w:t>2</w:t>
      </w:r>
      <w:r>
        <w:rPr>
          <w:spacing w:val="-8"/>
          <w:sz w:val="21"/>
        </w:rPr>
        <w:t xml:space="preserve">，最大亮度不应大于 </w:t>
      </w:r>
      <w:r>
        <w:rPr>
          <w:sz w:val="21"/>
        </w:rPr>
        <w:t>1000</w:t>
      </w:r>
      <w:r>
        <w:rPr>
          <w:spacing w:val="1"/>
          <w:sz w:val="21"/>
        </w:rPr>
        <w:t xml:space="preserve"> </w:t>
      </w:r>
      <w:r>
        <w:rPr>
          <w:sz w:val="21"/>
        </w:rPr>
        <w:t>cd/m</w:t>
      </w:r>
      <w:r>
        <w:rPr>
          <w:position w:val="11"/>
          <w:sz w:val="11"/>
        </w:rPr>
        <w:t>2</w:t>
      </w:r>
      <w:r>
        <w:rPr>
          <w:spacing w:val="-3"/>
          <w:sz w:val="21"/>
        </w:rPr>
        <w:t>。</w:t>
      </w:r>
      <w:r>
        <w:rPr>
          <w:sz w:val="21"/>
        </w:rPr>
        <w:t xml:space="preserve"> </w:t>
      </w:r>
    </w:p>
    <w:p>
      <w:pPr>
        <w:pStyle w:val="ListParagraph"/>
        <w:numPr>
          <w:ilvl w:val="3"/>
          <w:numId w:val="12"/>
        </w:numPr>
        <w:tabs>
          <w:tab w:val="left" w:pos="1445"/>
        </w:tabs>
        <w:spacing w:before="11" w:after="0" w:line="240" w:lineRule="auto"/>
        <w:ind w:left="1444" w:right="0" w:hanging="947"/>
        <w:jc w:val="left"/>
        <w:rPr>
          <w:sz w:val="21"/>
        </w:rPr>
      </w:pPr>
      <w:r>
        <w:rPr>
          <w:spacing w:val="-11"/>
          <w:sz w:val="21"/>
        </w:rPr>
        <w:t>室外区域的标志灯具的光源处于应急点亮模式时，标志灯具的应急表面亮度应满足下述要求：</w:t>
      </w:r>
      <w:r>
        <w:rPr>
          <w:sz w:val="21"/>
        </w:rPr>
        <w:t xml:space="preserve"> </w:t>
      </w:r>
    </w:p>
    <w:p>
      <w:pPr>
        <w:pStyle w:val="ListParagraph"/>
        <w:numPr>
          <w:ilvl w:val="4"/>
          <w:numId w:val="12"/>
        </w:numPr>
        <w:tabs>
          <w:tab w:val="left" w:pos="1351"/>
        </w:tabs>
        <w:spacing w:before="33" w:after="0" w:line="268" w:lineRule="auto"/>
        <w:ind w:left="1350" w:right="203" w:hanging="425"/>
        <w:jc w:val="left"/>
        <w:rPr>
          <w:sz w:val="21"/>
        </w:rPr>
      </w:pPr>
      <w:r>
        <w:rPr>
          <w:sz w:val="21"/>
        </w:rPr>
        <w:t>仅用绿色、黄色或红色图形构成标志的标志灯具，其标志表面最小亮度不应小于 900</w:t>
      </w:r>
      <w:r>
        <w:rPr>
          <w:spacing w:val="27"/>
          <w:sz w:val="21"/>
        </w:rPr>
        <w:t xml:space="preserve"> </w:t>
      </w:r>
      <w:r>
        <w:rPr>
          <w:spacing w:val="-4"/>
          <w:sz w:val="21"/>
        </w:rPr>
        <w:t>cd/m</w:t>
      </w:r>
      <w:r>
        <w:rPr>
          <w:spacing w:val="-4"/>
          <w:position w:val="11"/>
          <w:sz w:val="11"/>
        </w:rPr>
        <w:t>2</w:t>
      </w:r>
      <w:r>
        <w:rPr>
          <w:spacing w:val="-4"/>
          <w:sz w:val="21"/>
        </w:rPr>
        <w:t xml:space="preserve">， </w:t>
      </w:r>
      <w:r>
        <w:rPr>
          <w:spacing w:val="-9"/>
          <w:sz w:val="21"/>
        </w:rPr>
        <w:t xml:space="preserve">最大亮度不应大于 </w:t>
      </w:r>
      <w:r>
        <w:rPr>
          <w:sz w:val="21"/>
        </w:rPr>
        <w:t>1500</w:t>
      </w:r>
      <w:r>
        <w:rPr>
          <w:spacing w:val="-3"/>
          <w:sz w:val="21"/>
        </w:rPr>
        <w:t xml:space="preserve"> </w:t>
      </w:r>
      <w:r>
        <w:rPr>
          <w:sz w:val="21"/>
        </w:rPr>
        <w:t>cd/m</w:t>
      </w:r>
      <w:r>
        <w:rPr>
          <w:position w:val="11"/>
          <w:sz w:val="11"/>
        </w:rPr>
        <w:t>2</w:t>
      </w:r>
      <w:r>
        <w:rPr>
          <w:sz w:val="21"/>
        </w:rPr>
        <w:t xml:space="preserve">； </w:t>
      </w:r>
    </w:p>
    <w:p>
      <w:pPr>
        <w:pStyle w:val="ListParagraph"/>
        <w:numPr>
          <w:ilvl w:val="4"/>
          <w:numId w:val="12"/>
        </w:numPr>
        <w:tabs>
          <w:tab w:val="left" w:pos="1351"/>
        </w:tabs>
        <w:spacing w:before="12" w:after="0" w:line="268" w:lineRule="auto"/>
        <w:ind w:left="1350" w:right="315" w:hanging="425"/>
        <w:jc w:val="left"/>
        <w:rPr>
          <w:sz w:val="21"/>
        </w:rPr>
      </w:pPr>
      <w:r>
        <w:rPr>
          <w:spacing w:val="-2"/>
          <w:sz w:val="21"/>
        </w:rPr>
        <w:t>用白色与绿色组合、白色与黄色组合或白色与红色组合构成的图形作为标志的标志灯具表面</w:t>
      </w:r>
      <w:r>
        <w:rPr>
          <w:spacing w:val="-9"/>
          <w:sz w:val="21"/>
        </w:rPr>
        <w:t xml:space="preserve">最小亮度不应小于 </w:t>
      </w:r>
      <w:r>
        <w:rPr>
          <w:sz w:val="21"/>
        </w:rPr>
        <w:t>150 cd/m</w:t>
      </w:r>
      <w:r>
        <w:rPr>
          <w:position w:val="11"/>
          <w:sz w:val="11"/>
        </w:rPr>
        <w:t>2</w:t>
      </w:r>
      <w:r>
        <w:rPr>
          <w:spacing w:val="-8"/>
          <w:sz w:val="21"/>
        </w:rPr>
        <w:t xml:space="preserve">，最大亮度不应大于 </w:t>
      </w:r>
      <w:r>
        <w:rPr>
          <w:sz w:val="21"/>
        </w:rPr>
        <w:t>1500</w:t>
      </w:r>
      <w:r>
        <w:rPr>
          <w:spacing w:val="1"/>
          <w:sz w:val="21"/>
        </w:rPr>
        <w:t xml:space="preserve"> </w:t>
      </w:r>
      <w:r>
        <w:rPr>
          <w:sz w:val="21"/>
        </w:rPr>
        <w:t>cd/m</w:t>
      </w:r>
      <w:r>
        <w:rPr>
          <w:position w:val="11"/>
          <w:sz w:val="11"/>
        </w:rPr>
        <w:t>2</w:t>
      </w:r>
      <w:r>
        <w:rPr>
          <w:sz w:val="21"/>
        </w:rPr>
        <w:t xml:space="preserve">； </w:t>
      </w:r>
    </w:p>
    <w:p>
      <w:pPr>
        <w:pStyle w:val="ListParagraph"/>
        <w:numPr>
          <w:ilvl w:val="4"/>
          <w:numId w:val="12"/>
        </w:numPr>
        <w:tabs>
          <w:tab w:val="left" w:pos="1351"/>
        </w:tabs>
        <w:spacing w:before="11" w:after="0" w:line="278" w:lineRule="auto"/>
        <w:ind w:left="1350" w:right="315" w:hanging="425"/>
        <w:jc w:val="left"/>
        <w:rPr>
          <w:sz w:val="21"/>
        </w:rPr>
      </w:pPr>
      <w:r>
        <w:rPr>
          <w:spacing w:val="-2"/>
          <w:sz w:val="21"/>
        </w:rPr>
        <w:t>标志灯具的光源处于节电点亮模式时，标志灯具的最小表面亮度和最大表面亮度，应分别低</w:t>
      </w:r>
      <w:r>
        <w:rPr>
          <w:spacing w:val="-3"/>
          <w:sz w:val="21"/>
        </w:rPr>
        <w:t>于光源处于应急点亮模式时标志灯具的最小表面亮度和最大表面亮度。</w:t>
      </w:r>
      <w:r>
        <w:rPr>
          <w:sz w:val="21"/>
        </w:rPr>
        <w:t xml:space="preserve"> </w:t>
      </w:r>
    </w:p>
    <w:p>
      <w:pPr>
        <w:pStyle w:val="ListParagraph"/>
        <w:numPr>
          <w:ilvl w:val="3"/>
          <w:numId w:val="12"/>
        </w:numPr>
        <w:tabs>
          <w:tab w:val="left" w:pos="1445"/>
        </w:tabs>
        <w:spacing w:before="0" w:after="0" w:line="240" w:lineRule="auto"/>
        <w:ind w:left="1444" w:right="0" w:hanging="947"/>
        <w:jc w:val="left"/>
        <w:rPr>
          <w:sz w:val="21"/>
        </w:rPr>
      </w:pPr>
      <w:r>
        <w:rPr>
          <w:spacing w:val="-3"/>
          <w:sz w:val="21"/>
        </w:rPr>
        <w:t>标志灯具相同颜色、相邻不同颜色表面亮度比应满足下述要求：</w:t>
      </w:r>
      <w:r>
        <w:rPr>
          <w:sz w:val="21"/>
        </w:rPr>
        <w:t xml:space="preserve"> </w:t>
      </w:r>
    </w:p>
    <w:p>
      <w:pPr>
        <w:pStyle w:val="ListParagraph"/>
        <w:numPr>
          <w:ilvl w:val="4"/>
          <w:numId w:val="12"/>
        </w:numPr>
        <w:tabs>
          <w:tab w:val="left" w:pos="1351"/>
        </w:tabs>
        <w:spacing w:before="43" w:after="0" w:line="240" w:lineRule="auto"/>
        <w:ind w:left="1350" w:right="0" w:hanging="425"/>
        <w:jc w:val="left"/>
        <w:rPr>
          <w:sz w:val="21"/>
        </w:rPr>
      </w:pPr>
      <w:r>
        <w:rPr>
          <w:spacing w:val="-5"/>
          <w:sz w:val="21"/>
        </w:rPr>
        <w:t xml:space="preserve">白色、绿色、黄色或红色本身最大亮度与最小亮度比值不应大于 </w:t>
      </w:r>
      <w:r>
        <w:rPr>
          <w:sz w:val="21"/>
        </w:rPr>
        <w:t xml:space="preserve">10； </w:t>
      </w:r>
    </w:p>
    <w:p>
      <w:pPr>
        <w:pStyle w:val="ListParagraph"/>
        <w:numPr>
          <w:ilvl w:val="4"/>
          <w:numId w:val="12"/>
        </w:numPr>
        <w:tabs>
          <w:tab w:val="left" w:pos="1351"/>
        </w:tabs>
        <w:spacing w:before="43" w:after="0" w:line="240" w:lineRule="auto"/>
        <w:ind w:left="1350" w:right="0" w:hanging="425"/>
        <w:jc w:val="left"/>
        <w:rPr>
          <w:sz w:val="21"/>
        </w:rPr>
      </w:pPr>
      <w:r>
        <w:rPr>
          <w:spacing w:val="-5"/>
          <w:sz w:val="21"/>
        </w:rPr>
        <w:t xml:space="preserve">白色与相邻绿色、黄色或红色交界两边对应点的亮度比不应小于 </w:t>
      </w:r>
      <w:r>
        <w:rPr>
          <w:sz w:val="21"/>
        </w:rPr>
        <w:t>2</w:t>
      </w:r>
      <w:r>
        <w:rPr>
          <w:spacing w:val="-19"/>
          <w:sz w:val="21"/>
        </w:rPr>
        <w:t xml:space="preserve"> 且不大于 </w:t>
      </w:r>
      <w:r>
        <w:rPr>
          <w:sz w:val="21"/>
        </w:rPr>
        <w:t>10</w:t>
      </w:r>
      <w:r>
        <w:rPr>
          <w:spacing w:val="-3"/>
          <w:sz w:val="21"/>
        </w:rPr>
        <w:t>。</w:t>
      </w:r>
      <w:r>
        <w:rPr>
          <w:sz w:val="21"/>
        </w:rPr>
        <w:t xml:space="preserve"> </w:t>
      </w:r>
    </w:p>
    <w:p>
      <w:pPr>
        <w:spacing w:before="106"/>
        <w:ind w:left="0" w:right="446" w:firstLine="0"/>
        <w:jc w:val="right"/>
        <w:rPr>
          <w:sz w:val="18"/>
        </w:rPr>
      </w:pPr>
      <w:r>
        <w:rPr>
          <w:sz w:val="18"/>
        </w:rPr>
        <w:t xml:space="preserve">3 </w:t>
      </w:r>
    </w:p>
    <w:p>
      <w:pPr>
        <w:spacing w:after="0"/>
        <w:jc w:val="right"/>
        <w:rPr>
          <w:sz w:val="18"/>
        </w:rPr>
        <w:sectPr>
          <w:pgSz w:w="11910" w:h="16840"/>
          <w:pgMar w:top="1580" w:right="820" w:bottom="280" w:left="920" w:header="708" w:footer="708"/>
          <w:pgNumType w:start="7"/>
          <w:cols w:space="708"/>
        </w:sectPr>
      </w:pPr>
    </w:p>
    <w:p>
      <w:pPr>
        <w:pStyle w:val="BodyText"/>
        <w:spacing w:before="11"/>
      </w:pPr>
    </w:p>
    <w:p>
      <w:pPr>
        <w:pStyle w:val="ListParagraph"/>
        <w:numPr>
          <w:ilvl w:val="2"/>
          <w:numId w:val="12"/>
        </w:numPr>
        <w:tabs>
          <w:tab w:val="left" w:pos="948"/>
        </w:tabs>
        <w:spacing w:before="72" w:after="0" w:line="240" w:lineRule="auto"/>
        <w:ind w:left="947" w:right="0" w:hanging="736"/>
        <w:jc w:val="left"/>
        <w:rPr>
          <w:rFonts w:ascii="黑体" w:eastAsia="黑体" w:hint="eastAsia"/>
          <w:sz w:val="21"/>
        </w:rPr>
      </w:pPr>
      <w:r>
        <w:rPr>
          <w:rFonts w:ascii="黑体" w:eastAsia="黑体" w:hint="eastAsia"/>
          <w:spacing w:val="-3"/>
          <w:sz w:val="21"/>
        </w:rPr>
        <w:t>消防应急照明灯具光通量</w:t>
      </w:r>
    </w:p>
    <w:p>
      <w:pPr>
        <w:pStyle w:val="BodyText"/>
        <w:spacing w:before="12"/>
        <w:rPr>
          <w:rFonts w:ascii="黑体"/>
          <w:sz w:val="9"/>
        </w:rPr>
      </w:pPr>
    </w:p>
    <w:p>
      <w:pPr>
        <w:pStyle w:val="ListParagraph"/>
        <w:numPr>
          <w:ilvl w:val="3"/>
          <w:numId w:val="12"/>
        </w:numPr>
        <w:tabs>
          <w:tab w:val="left" w:pos="1159"/>
        </w:tabs>
        <w:spacing w:before="71" w:after="0" w:line="240" w:lineRule="auto"/>
        <w:ind w:left="1158" w:right="0" w:hanging="947"/>
        <w:jc w:val="left"/>
        <w:rPr>
          <w:sz w:val="21"/>
        </w:rPr>
      </w:pPr>
      <w:r>
        <w:rPr>
          <w:spacing w:val="-3"/>
          <w:sz w:val="21"/>
        </w:rPr>
        <w:t>室内区域的消防应急照明灯具（以下简称照明灯具</w:t>
      </w:r>
      <w:r>
        <w:rPr>
          <w:sz w:val="21"/>
        </w:rPr>
        <w:t>）</w:t>
      </w:r>
      <w:r>
        <w:rPr>
          <w:spacing w:val="-3"/>
          <w:sz w:val="21"/>
        </w:rPr>
        <w:t xml:space="preserve">光通量应满足下述要求： </w:t>
      </w:r>
    </w:p>
    <w:p>
      <w:pPr>
        <w:pStyle w:val="ListParagraph"/>
        <w:numPr>
          <w:ilvl w:val="4"/>
          <w:numId w:val="12"/>
        </w:numPr>
        <w:tabs>
          <w:tab w:val="left" w:pos="1066"/>
        </w:tabs>
        <w:spacing w:before="43" w:after="0" w:line="278" w:lineRule="auto"/>
        <w:ind w:left="1065" w:right="600" w:hanging="425"/>
        <w:jc w:val="left"/>
        <w:rPr>
          <w:sz w:val="21"/>
        </w:rPr>
      </w:pPr>
      <w:r>
        <w:rPr>
          <w:spacing w:val="-2"/>
          <w:sz w:val="21"/>
        </w:rPr>
        <w:t>持续型照明灯具的光源节电点亮时，照明灯具的光通量不应低于其标称的节电光通量，且不</w:t>
      </w:r>
      <w:r>
        <w:rPr>
          <w:spacing w:val="-18"/>
          <w:sz w:val="21"/>
        </w:rPr>
        <w:t xml:space="preserve">小于 </w:t>
      </w:r>
      <w:r>
        <w:rPr>
          <w:sz w:val="21"/>
        </w:rPr>
        <w:t>30</w:t>
      </w:r>
      <w:r>
        <w:rPr>
          <w:spacing w:val="1"/>
          <w:sz w:val="21"/>
        </w:rPr>
        <w:t xml:space="preserve"> </w:t>
      </w:r>
      <w:r>
        <w:rPr>
          <w:sz w:val="21"/>
        </w:rPr>
        <w:t xml:space="preserve">lm； </w:t>
      </w:r>
    </w:p>
    <w:p>
      <w:pPr>
        <w:pStyle w:val="ListParagraph"/>
        <w:numPr>
          <w:ilvl w:val="4"/>
          <w:numId w:val="12"/>
        </w:numPr>
        <w:tabs>
          <w:tab w:val="left" w:pos="1066"/>
        </w:tabs>
        <w:spacing w:before="0" w:after="0" w:line="278" w:lineRule="auto"/>
        <w:ind w:left="1065" w:right="491" w:hanging="425"/>
        <w:jc w:val="left"/>
        <w:rPr>
          <w:sz w:val="21"/>
        </w:rPr>
      </w:pPr>
      <w:r>
        <w:rPr>
          <w:spacing w:val="-7"/>
          <w:sz w:val="21"/>
        </w:rPr>
        <w:t xml:space="preserve">照明灯具的光源应急点亮后，照明灯具的光通量不应低于其标称的应急光通量，且不小于 </w:t>
      </w:r>
      <w:r>
        <w:rPr>
          <w:spacing w:val="-3"/>
          <w:sz w:val="21"/>
        </w:rPr>
        <w:t xml:space="preserve">100 </w:t>
      </w:r>
      <w:r>
        <w:rPr>
          <w:sz w:val="21"/>
        </w:rPr>
        <w:t>lm</w:t>
      </w:r>
      <w:r>
        <w:rPr>
          <w:spacing w:val="-3"/>
          <w:sz w:val="21"/>
        </w:rPr>
        <w:t>。</w:t>
      </w:r>
      <w:r>
        <w:rPr>
          <w:sz w:val="21"/>
        </w:rPr>
        <w:t xml:space="preserve"> </w:t>
      </w:r>
    </w:p>
    <w:p>
      <w:pPr>
        <w:pStyle w:val="ListParagraph"/>
        <w:numPr>
          <w:ilvl w:val="3"/>
          <w:numId w:val="12"/>
        </w:numPr>
        <w:tabs>
          <w:tab w:val="left" w:pos="1159"/>
        </w:tabs>
        <w:spacing w:before="0" w:after="0" w:line="269" w:lineRule="exact"/>
        <w:ind w:left="1158" w:right="0" w:hanging="947"/>
        <w:jc w:val="left"/>
        <w:rPr>
          <w:sz w:val="21"/>
        </w:rPr>
      </w:pPr>
      <w:r>
        <w:rPr>
          <w:spacing w:val="-3"/>
          <w:sz w:val="21"/>
        </w:rPr>
        <w:t>室外区域的照明灯具光通量应满足下述要求：</w:t>
      </w:r>
      <w:r>
        <w:rPr>
          <w:sz w:val="21"/>
        </w:rPr>
        <w:t xml:space="preserve"> </w:t>
      </w:r>
    </w:p>
    <w:p>
      <w:pPr>
        <w:pStyle w:val="ListParagraph"/>
        <w:numPr>
          <w:ilvl w:val="4"/>
          <w:numId w:val="12"/>
        </w:numPr>
        <w:tabs>
          <w:tab w:val="left" w:pos="1066"/>
        </w:tabs>
        <w:spacing w:before="43" w:after="0" w:line="278" w:lineRule="auto"/>
        <w:ind w:left="1065" w:right="600" w:hanging="425"/>
        <w:jc w:val="left"/>
        <w:rPr>
          <w:sz w:val="21"/>
        </w:rPr>
      </w:pPr>
      <w:r>
        <w:rPr>
          <w:spacing w:val="-2"/>
          <w:sz w:val="21"/>
        </w:rPr>
        <w:t>持续型照明灯具的光源节电点亮时，照明灯具的光通量不应低于其标称的节电光通量，且不</w:t>
      </w:r>
      <w:r>
        <w:rPr>
          <w:spacing w:val="-18"/>
          <w:sz w:val="21"/>
        </w:rPr>
        <w:t xml:space="preserve">小于 </w:t>
      </w:r>
      <w:r>
        <w:rPr>
          <w:sz w:val="21"/>
        </w:rPr>
        <w:t xml:space="preserve">300 </w:t>
      </w:r>
      <w:r>
        <w:rPr>
          <w:spacing w:val="-3"/>
          <w:sz w:val="21"/>
        </w:rPr>
        <w:t>lm；</w:t>
      </w:r>
      <w:r>
        <w:rPr>
          <w:sz w:val="21"/>
        </w:rPr>
        <w:t xml:space="preserve"> </w:t>
      </w:r>
    </w:p>
    <w:p>
      <w:pPr>
        <w:pStyle w:val="ListParagraph"/>
        <w:numPr>
          <w:ilvl w:val="4"/>
          <w:numId w:val="12"/>
        </w:numPr>
        <w:tabs>
          <w:tab w:val="left" w:pos="1066"/>
        </w:tabs>
        <w:spacing w:before="0" w:after="0" w:line="278" w:lineRule="auto"/>
        <w:ind w:left="1065" w:right="493" w:hanging="425"/>
        <w:jc w:val="left"/>
        <w:rPr>
          <w:sz w:val="21"/>
        </w:rPr>
      </w:pPr>
      <w:r>
        <w:rPr>
          <w:spacing w:val="-14"/>
          <w:sz w:val="21"/>
        </w:rPr>
        <w:t xml:space="preserve">照明灯具的光源应急点亮后，照明灯具的光通量不应低于其标称的应急光通量，且不小于 </w:t>
      </w:r>
      <w:r>
        <w:rPr>
          <w:spacing w:val="-3"/>
          <w:sz w:val="21"/>
        </w:rPr>
        <w:t xml:space="preserve">1000 </w:t>
      </w:r>
      <w:r>
        <w:rPr>
          <w:sz w:val="21"/>
        </w:rPr>
        <w:t>lm</w:t>
      </w:r>
      <w:r>
        <w:rPr>
          <w:spacing w:val="-3"/>
          <w:sz w:val="21"/>
        </w:rPr>
        <w:t>。</w:t>
      </w:r>
      <w:r>
        <w:rPr>
          <w:sz w:val="21"/>
        </w:rPr>
        <w:t xml:space="preserve"> </w:t>
      </w:r>
    </w:p>
    <w:p>
      <w:pPr>
        <w:pStyle w:val="ListParagraph"/>
        <w:numPr>
          <w:ilvl w:val="1"/>
          <w:numId w:val="12"/>
        </w:numPr>
        <w:tabs>
          <w:tab w:val="left" w:pos="739"/>
        </w:tabs>
        <w:spacing w:before="156" w:after="0" w:line="240" w:lineRule="auto"/>
        <w:ind w:left="738" w:right="0" w:hanging="527"/>
        <w:jc w:val="left"/>
        <w:rPr>
          <w:rFonts w:ascii="黑体" w:eastAsia="黑体" w:hint="eastAsia"/>
          <w:sz w:val="21"/>
        </w:rPr>
      </w:pPr>
      <w:bookmarkStart w:id="8" w:name="_bookmark8"/>
      <w:bookmarkEnd w:id="8"/>
      <w:r>
        <w:rPr>
          <w:rFonts w:ascii="黑体" w:eastAsia="黑体" w:hint="eastAsia"/>
          <w:spacing w:val="-3"/>
          <w:sz w:val="21"/>
        </w:rPr>
        <w:t>应急照明控制器的功能和性能要求</w:t>
      </w:r>
    </w:p>
    <w:p>
      <w:pPr>
        <w:pStyle w:val="BodyText"/>
        <w:spacing w:before="7"/>
        <w:rPr>
          <w:rFonts w:ascii="黑体"/>
          <w:sz w:val="15"/>
        </w:rPr>
      </w:pPr>
    </w:p>
    <w:p>
      <w:pPr>
        <w:pStyle w:val="ListParagraph"/>
        <w:numPr>
          <w:ilvl w:val="2"/>
          <w:numId w:val="12"/>
        </w:numPr>
        <w:tabs>
          <w:tab w:val="left" w:pos="948"/>
        </w:tabs>
        <w:spacing w:before="0" w:after="0" w:line="240" w:lineRule="auto"/>
        <w:ind w:left="947" w:right="0" w:hanging="736"/>
        <w:jc w:val="left"/>
        <w:rPr>
          <w:rFonts w:ascii="黑体" w:eastAsia="黑体" w:hint="eastAsia"/>
          <w:sz w:val="21"/>
        </w:rPr>
      </w:pPr>
      <w:r>
        <w:rPr>
          <w:rFonts w:ascii="黑体" w:eastAsia="黑体" w:hint="eastAsia"/>
          <w:spacing w:val="-2"/>
          <w:sz w:val="21"/>
        </w:rPr>
        <w:t>预案设定功能</w:t>
      </w:r>
    </w:p>
    <w:p>
      <w:pPr>
        <w:pStyle w:val="BodyText"/>
        <w:spacing w:before="6"/>
        <w:rPr>
          <w:rFonts w:ascii="黑体"/>
          <w:sz w:val="15"/>
        </w:rPr>
      </w:pPr>
    </w:p>
    <w:p>
      <w:pPr>
        <w:pStyle w:val="BodyText"/>
        <w:spacing w:before="1"/>
        <w:ind w:left="633"/>
      </w:pPr>
      <w:r>
        <w:t xml:space="preserve">应急照明控制器应能设定多个应急疏散预案，并根据以下因素选择最适合的应急疏散预案： </w:t>
      </w:r>
    </w:p>
    <w:p>
      <w:pPr>
        <w:pStyle w:val="ListParagraph"/>
        <w:numPr>
          <w:ilvl w:val="0"/>
          <w:numId w:val="10"/>
        </w:numPr>
        <w:tabs>
          <w:tab w:val="left" w:pos="1066"/>
        </w:tabs>
        <w:spacing w:before="42" w:after="0" w:line="240" w:lineRule="auto"/>
        <w:ind w:left="1065" w:right="0" w:hanging="426"/>
        <w:jc w:val="left"/>
        <w:rPr>
          <w:sz w:val="21"/>
        </w:rPr>
      </w:pPr>
      <w:r>
        <w:rPr>
          <w:spacing w:val="-3"/>
          <w:sz w:val="21"/>
        </w:rPr>
        <w:t>火灾发生地点；</w:t>
      </w:r>
      <w:r>
        <w:rPr>
          <w:sz w:val="21"/>
        </w:rPr>
        <w:t xml:space="preserve"> </w:t>
      </w:r>
    </w:p>
    <w:p>
      <w:pPr>
        <w:pStyle w:val="ListParagraph"/>
        <w:numPr>
          <w:ilvl w:val="0"/>
          <w:numId w:val="10"/>
        </w:numPr>
        <w:tabs>
          <w:tab w:val="left" w:pos="1066"/>
        </w:tabs>
        <w:spacing w:before="43" w:after="0" w:line="240" w:lineRule="auto"/>
        <w:ind w:left="1065" w:right="0" w:hanging="426"/>
        <w:jc w:val="left"/>
        <w:rPr>
          <w:sz w:val="21"/>
        </w:rPr>
      </w:pPr>
      <w:r>
        <w:rPr>
          <w:spacing w:val="-3"/>
          <w:sz w:val="21"/>
        </w:rPr>
        <w:t>最近逃生出口位置；</w:t>
      </w:r>
      <w:r>
        <w:rPr>
          <w:sz w:val="21"/>
        </w:rPr>
        <w:t xml:space="preserve"> </w:t>
      </w:r>
    </w:p>
    <w:p>
      <w:pPr>
        <w:pStyle w:val="ListParagraph"/>
        <w:numPr>
          <w:ilvl w:val="0"/>
          <w:numId w:val="10"/>
        </w:numPr>
        <w:tabs>
          <w:tab w:val="left" w:pos="1066"/>
        </w:tabs>
        <w:spacing w:before="43" w:after="0" w:line="240" w:lineRule="auto"/>
        <w:ind w:left="1065" w:right="0" w:hanging="426"/>
        <w:jc w:val="left"/>
        <w:rPr>
          <w:sz w:val="21"/>
        </w:rPr>
      </w:pPr>
      <w:r>
        <w:rPr>
          <w:spacing w:val="-2"/>
          <w:sz w:val="21"/>
        </w:rPr>
        <w:t>环境数据信息</w:t>
      </w:r>
      <w:r>
        <w:rPr>
          <w:spacing w:val="-3"/>
          <w:sz w:val="21"/>
        </w:rPr>
        <w:t>（</w:t>
      </w:r>
      <w:r>
        <w:rPr>
          <w:spacing w:val="-2"/>
          <w:sz w:val="21"/>
        </w:rPr>
        <w:t>适用时</w:t>
      </w:r>
      <w:r>
        <w:rPr>
          <w:spacing w:val="-3"/>
          <w:sz w:val="21"/>
        </w:rPr>
        <w:t>）</w:t>
      </w:r>
      <w:r>
        <w:rPr>
          <w:sz w:val="21"/>
        </w:rPr>
        <w:t xml:space="preserve">。 </w:t>
      </w:r>
    </w:p>
    <w:p>
      <w:pPr>
        <w:pStyle w:val="BodyText"/>
        <w:spacing w:before="7"/>
        <w:rPr>
          <w:sz w:val="15"/>
        </w:rPr>
      </w:pPr>
    </w:p>
    <w:p>
      <w:pPr>
        <w:pStyle w:val="ListParagraph"/>
        <w:numPr>
          <w:ilvl w:val="2"/>
          <w:numId w:val="12"/>
        </w:numPr>
        <w:tabs>
          <w:tab w:val="left" w:pos="948"/>
        </w:tabs>
        <w:spacing w:before="1" w:after="0" w:line="240" w:lineRule="auto"/>
        <w:ind w:left="947" w:right="0" w:hanging="736"/>
        <w:jc w:val="left"/>
        <w:rPr>
          <w:rFonts w:ascii="黑体" w:eastAsia="黑体" w:hint="eastAsia"/>
          <w:sz w:val="21"/>
        </w:rPr>
      </w:pPr>
      <w:r>
        <w:rPr>
          <w:rFonts w:ascii="黑体" w:eastAsia="黑体" w:hint="eastAsia"/>
          <w:spacing w:val="-3"/>
          <w:sz w:val="21"/>
        </w:rPr>
        <w:t>模拟启动预案功能</w:t>
      </w:r>
    </w:p>
    <w:p>
      <w:pPr>
        <w:pStyle w:val="BodyText"/>
        <w:spacing w:before="6"/>
        <w:rPr>
          <w:rFonts w:ascii="黑体"/>
          <w:sz w:val="15"/>
        </w:rPr>
      </w:pPr>
    </w:p>
    <w:p>
      <w:pPr>
        <w:pStyle w:val="BodyText"/>
        <w:ind w:left="633"/>
      </w:pPr>
      <w:r>
        <w:t xml:space="preserve">应急照明控制器应能模拟任意火灾发生地点，并模拟显示对应的应急疏散预案。 </w:t>
      </w:r>
    </w:p>
    <w:p>
      <w:pPr>
        <w:pStyle w:val="BodyText"/>
        <w:spacing w:before="7"/>
        <w:rPr>
          <w:sz w:val="15"/>
        </w:rPr>
      </w:pPr>
    </w:p>
    <w:p>
      <w:pPr>
        <w:pStyle w:val="ListParagraph"/>
        <w:numPr>
          <w:ilvl w:val="2"/>
          <w:numId w:val="12"/>
        </w:numPr>
        <w:tabs>
          <w:tab w:val="left" w:pos="948"/>
        </w:tabs>
        <w:spacing w:before="0" w:after="0" w:line="240" w:lineRule="auto"/>
        <w:ind w:left="947" w:right="0" w:hanging="736"/>
        <w:jc w:val="left"/>
        <w:rPr>
          <w:rFonts w:ascii="黑体" w:eastAsia="黑体" w:hint="eastAsia"/>
          <w:sz w:val="21"/>
        </w:rPr>
      </w:pPr>
      <w:r>
        <w:rPr>
          <w:rFonts w:ascii="黑体" w:eastAsia="黑体" w:hint="eastAsia"/>
          <w:spacing w:val="-2"/>
          <w:sz w:val="21"/>
        </w:rPr>
        <w:t>数据显示功能</w:t>
      </w:r>
    </w:p>
    <w:p>
      <w:pPr>
        <w:pStyle w:val="BodyText"/>
        <w:spacing w:before="7"/>
        <w:rPr>
          <w:rFonts w:ascii="黑体"/>
          <w:sz w:val="15"/>
        </w:rPr>
      </w:pPr>
    </w:p>
    <w:p>
      <w:pPr>
        <w:pStyle w:val="BodyText"/>
        <w:spacing w:line="278" w:lineRule="auto"/>
        <w:ind w:left="212" w:right="592" w:firstLine="420"/>
      </w:pPr>
      <w:r>
        <w:rPr>
          <w:spacing w:val="-9"/>
        </w:rPr>
        <w:t>应急照明控制器应能动态显示温度、湿度、风向、风速、空气质量指数等环境数据信息，环境数据</w:t>
      </w:r>
      <w:r>
        <w:rPr>
          <w:spacing w:val="-5"/>
        </w:rPr>
        <w:t xml:space="preserve">信息不应影响应急疏散信息显示。 </w:t>
      </w:r>
    </w:p>
    <w:p>
      <w:pPr>
        <w:pStyle w:val="ListParagraph"/>
        <w:numPr>
          <w:ilvl w:val="1"/>
          <w:numId w:val="12"/>
        </w:numPr>
        <w:tabs>
          <w:tab w:val="left" w:pos="739"/>
        </w:tabs>
        <w:spacing w:before="156" w:after="0" w:line="240" w:lineRule="auto"/>
        <w:ind w:left="738" w:right="0" w:hanging="527"/>
        <w:jc w:val="left"/>
        <w:rPr>
          <w:rFonts w:ascii="黑体" w:eastAsia="黑体" w:hint="eastAsia"/>
          <w:sz w:val="21"/>
        </w:rPr>
      </w:pPr>
      <w:bookmarkStart w:id="9" w:name="_bookmark9"/>
      <w:bookmarkEnd w:id="9"/>
      <w:r>
        <w:rPr>
          <w:rFonts w:ascii="黑体" w:eastAsia="黑体" w:hint="eastAsia"/>
          <w:spacing w:val="-3"/>
          <w:sz w:val="21"/>
        </w:rPr>
        <w:t>应急照明集中电源的功能和性能要求</w:t>
      </w:r>
    </w:p>
    <w:p>
      <w:pPr>
        <w:pStyle w:val="BodyText"/>
        <w:spacing w:before="6"/>
        <w:rPr>
          <w:rFonts w:ascii="黑体"/>
          <w:sz w:val="15"/>
        </w:rPr>
      </w:pPr>
    </w:p>
    <w:p>
      <w:pPr>
        <w:pStyle w:val="ListParagraph"/>
        <w:numPr>
          <w:ilvl w:val="2"/>
          <w:numId w:val="12"/>
        </w:numPr>
        <w:tabs>
          <w:tab w:val="left" w:pos="948"/>
        </w:tabs>
        <w:spacing w:before="0" w:after="0" w:line="240" w:lineRule="auto"/>
        <w:ind w:left="947" w:right="0" w:hanging="736"/>
        <w:jc w:val="left"/>
        <w:rPr>
          <w:rFonts w:ascii="黑体" w:eastAsia="黑体" w:hint="eastAsia"/>
          <w:sz w:val="21"/>
        </w:rPr>
      </w:pPr>
      <w:r>
        <w:rPr>
          <w:rFonts w:ascii="黑体" w:eastAsia="黑体" w:hint="eastAsia"/>
          <w:spacing w:val="-3"/>
          <w:sz w:val="21"/>
        </w:rPr>
        <w:t>最小初装持续应急工作时间</w:t>
      </w:r>
    </w:p>
    <w:p>
      <w:pPr>
        <w:pStyle w:val="BodyText"/>
        <w:spacing w:before="7"/>
        <w:rPr>
          <w:rFonts w:ascii="黑体"/>
          <w:sz w:val="15"/>
        </w:rPr>
      </w:pPr>
    </w:p>
    <w:p>
      <w:pPr>
        <w:pStyle w:val="BodyText"/>
        <w:spacing w:before="1" w:line="278" w:lineRule="auto"/>
        <w:ind w:left="212" w:right="496" w:firstLine="420"/>
      </w:pPr>
      <w:r>
        <w:rPr>
          <w:spacing w:val="-8"/>
        </w:rPr>
        <w:t>生产者应根据适用场所所需的持续应急工作时间，标称应急照明集中电源按额定输出功率放电输出</w:t>
      </w:r>
      <w:r>
        <w:rPr>
          <w:spacing w:val="-5"/>
        </w:rPr>
        <w:t>时的最小初装持续应急工作时间。应急照明集中电源的最小初装持续应急工作时间应满足表</w:t>
      </w:r>
      <w:r>
        <w:t>2</w:t>
      </w:r>
      <w:r>
        <w:rPr>
          <w:spacing w:val="-3"/>
        </w:rPr>
        <w:t>的要求。</w:t>
      </w:r>
      <w:r>
        <w:t xml:space="preserve"> </w:t>
      </w:r>
    </w:p>
    <w:p>
      <w:pPr>
        <w:pStyle w:val="BodyText"/>
        <w:spacing w:before="155"/>
        <w:ind w:left="2248" w:right="2632"/>
        <w:jc w:val="center"/>
        <w:rPr>
          <w:rFonts w:ascii="黑体" w:eastAsia="黑体" w:hint="eastAsia"/>
        </w:rPr>
      </w:pPr>
      <w:r>
        <w:rPr>
          <w:rFonts w:ascii="黑体" w:eastAsia="黑体" w:hint="eastAsia"/>
        </w:rPr>
        <w:t>表2 应急照明集中电源的最小初装持续应急工作时间要求</w:t>
      </w:r>
    </w:p>
    <w:p>
      <w:pPr>
        <w:pStyle w:val="BodyText"/>
        <w:spacing w:before="10"/>
        <w:rPr>
          <w:rFonts w:ascii="黑体"/>
          <w:sz w:val="13"/>
        </w:rPr>
      </w:pPr>
    </w:p>
    <w:tbl>
      <w:tblPr>
        <w:tblStyle w:val="TableNormal1"/>
        <w:tblW w:w="0" w:type="auto"/>
        <w:jc w:val="left"/>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900"/>
        <w:gridCol w:w="6673"/>
      </w:tblGrid>
      <w:tr>
        <w:tblPrEx>
          <w:tblW w:w="0" w:type="auto"/>
          <w:jc w:val="left"/>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11"/>
          <w:jc w:val="left"/>
        </w:trPr>
        <w:tc>
          <w:tcPr>
            <w:tcW w:w="2900" w:type="dxa"/>
            <w:vMerge w:val="restart"/>
          </w:tcPr>
          <w:p>
            <w:pPr>
              <w:pStyle w:val="TableParagraph"/>
              <w:spacing w:before="47"/>
              <w:ind w:left="394" w:right="295"/>
              <w:rPr>
                <w:sz w:val="18"/>
              </w:rPr>
            </w:pPr>
            <w:r>
              <w:rPr>
                <w:sz w:val="18"/>
              </w:rPr>
              <w:t xml:space="preserve">适用场所所需持续应急工作 </w:t>
            </w:r>
          </w:p>
          <w:p>
            <w:pPr>
              <w:pStyle w:val="TableParagraph"/>
              <w:spacing w:before="82"/>
              <w:ind w:left="392" w:right="295"/>
              <w:rPr>
                <w:sz w:val="18"/>
              </w:rPr>
            </w:pPr>
            <w:r>
              <w:rPr>
                <w:sz w:val="18"/>
              </w:rPr>
              <w:t xml:space="preserve">时间（min） </w:t>
            </w:r>
          </w:p>
        </w:tc>
        <w:tc>
          <w:tcPr>
            <w:tcW w:w="6673" w:type="dxa"/>
          </w:tcPr>
          <w:p>
            <w:pPr>
              <w:pStyle w:val="TableParagraph"/>
              <w:spacing w:before="40"/>
              <w:ind w:left="1245" w:right="1148"/>
              <w:rPr>
                <w:sz w:val="18"/>
              </w:rPr>
            </w:pPr>
            <w:r>
              <w:rPr>
                <w:sz w:val="18"/>
              </w:rPr>
              <w:t xml:space="preserve">应急照明集中电源最小初装持续应急工作时间（min） </w:t>
            </w:r>
          </w:p>
        </w:tc>
      </w:tr>
      <w:tr>
        <w:tblPrEx>
          <w:tblW w:w="0" w:type="auto"/>
          <w:jc w:val="left"/>
          <w:tblInd w:w="110" w:type="dxa"/>
          <w:tblLayout w:type="fixed"/>
          <w:tblCellMar>
            <w:top w:w="0" w:type="dxa"/>
            <w:left w:w="0" w:type="dxa"/>
            <w:bottom w:w="0" w:type="dxa"/>
            <w:right w:w="0" w:type="dxa"/>
          </w:tblCellMar>
          <w:tblLook w:val="01E0"/>
        </w:tblPrEx>
        <w:trPr>
          <w:trHeight w:val="314"/>
          <w:jc w:val="left"/>
        </w:trPr>
        <w:tc>
          <w:tcPr>
            <w:tcW w:w="2900" w:type="dxa"/>
            <w:vMerge/>
            <w:tcBorders>
              <w:top w:val="nil"/>
            </w:tcBorders>
          </w:tcPr>
          <w:p>
            <w:pPr>
              <w:rPr>
                <w:sz w:val="2"/>
                <w:szCs w:val="2"/>
              </w:rPr>
            </w:pPr>
          </w:p>
        </w:tc>
        <w:tc>
          <w:tcPr>
            <w:tcW w:w="6673" w:type="dxa"/>
          </w:tcPr>
          <w:p>
            <w:pPr>
              <w:pStyle w:val="TableParagraph"/>
              <w:spacing w:before="43"/>
              <w:ind w:left="1245" w:right="1148"/>
              <w:rPr>
                <w:sz w:val="18"/>
              </w:rPr>
            </w:pPr>
            <w:r>
              <w:rPr>
                <w:sz w:val="18"/>
              </w:rPr>
              <w:t xml:space="preserve">采用铅酸、镉镍、氢镍蓄电池 </w:t>
            </w:r>
          </w:p>
        </w:tc>
      </w:tr>
      <w:tr>
        <w:tblPrEx>
          <w:tblW w:w="0" w:type="auto"/>
          <w:jc w:val="left"/>
          <w:tblInd w:w="110" w:type="dxa"/>
          <w:tblLayout w:type="fixed"/>
          <w:tblCellMar>
            <w:top w:w="0" w:type="dxa"/>
            <w:left w:w="0" w:type="dxa"/>
            <w:bottom w:w="0" w:type="dxa"/>
            <w:right w:w="0" w:type="dxa"/>
          </w:tblCellMar>
          <w:tblLook w:val="01E0"/>
        </w:tblPrEx>
        <w:trPr>
          <w:trHeight w:val="311"/>
          <w:jc w:val="left"/>
        </w:trPr>
        <w:tc>
          <w:tcPr>
            <w:tcW w:w="2900" w:type="dxa"/>
          </w:tcPr>
          <w:p>
            <w:pPr>
              <w:pStyle w:val="TableParagraph"/>
              <w:spacing w:before="40"/>
              <w:ind w:left="394" w:right="295"/>
              <w:rPr>
                <w:sz w:val="18"/>
              </w:rPr>
            </w:pPr>
            <w:r>
              <w:rPr>
                <w:sz w:val="18"/>
              </w:rPr>
              <w:t xml:space="preserve">t </w:t>
            </w:r>
          </w:p>
        </w:tc>
        <w:tc>
          <w:tcPr>
            <w:tcW w:w="6673" w:type="dxa"/>
          </w:tcPr>
          <w:p>
            <w:pPr>
              <w:pStyle w:val="TableParagraph"/>
              <w:spacing w:before="40"/>
              <w:ind w:left="1245" w:right="1146"/>
              <w:rPr>
                <w:sz w:val="18"/>
              </w:rPr>
            </w:pPr>
            <w:r>
              <w:rPr>
                <w:sz w:val="18"/>
              </w:rPr>
              <w:t xml:space="preserve">t×3 </w:t>
            </w:r>
          </w:p>
        </w:tc>
      </w:tr>
    </w:tbl>
    <w:p>
      <w:pPr>
        <w:pStyle w:val="ListParagraph"/>
        <w:numPr>
          <w:ilvl w:val="2"/>
          <w:numId w:val="12"/>
        </w:numPr>
        <w:tabs>
          <w:tab w:val="left" w:pos="948"/>
        </w:tabs>
        <w:spacing w:before="178" w:after="0" w:line="240" w:lineRule="auto"/>
        <w:ind w:left="947" w:right="0" w:hanging="736"/>
        <w:jc w:val="left"/>
        <w:rPr>
          <w:rFonts w:ascii="黑体" w:eastAsia="黑体" w:hint="eastAsia"/>
          <w:sz w:val="21"/>
        </w:rPr>
      </w:pPr>
      <w:r>
        <w:rPr>
          <w:rFonts w:ascii="黑体" w:eastAsia="黑体" w:hint="eastAsia"/>
          <w:spacing w:val="-3"/>
          <w:sz w:val="21"/>
        </w:rPr>
        <w:t>高温断电保护功能</w:t>
      </w:r>
    </w:p>
    <w:p>
      <w:pPr>
        <w:pStyle w:val="BodyText"/>
        <w:spacing w:before="7"/>
        <w:rPr>
          <w:rFonts w:ascii="黑体"/>
          <w:sz w:val="15"/>
        </w:rPr>
      </w:pPr>
    </w:p>
    <w:p>
      <w:pPr>
        <w:pStyle w:val="ListParagraph"/>
        <w:numPr>
          <w:ilvl w:val="3"/>
          <w:numId w:val="12"/>
        </w:numPr>
        <w:tabs>
          <w:tab w:val="left" w:pos="1159"/>
        </w:tabs>
        <w:spacing w:before="0" w:after="0" w:line="278" w:lineRule="auto"/>
        <w:ind w:left="212" w:right="592" w:firstLine="0"/>
        <w:jc w:val="left"/>
        <w:rPr>
          <w:sz w:val="21"/>
        </w:rPr>
      </w:pPr>
      <w:r>
        <w:rPr>
          <w:spacing w:val="-4"/>
          <w:sz w:val="21"/>
        </w:rPr>
        <w:t>应急照明集中电源的蓄电池温度大于设定的断电保护温度时，应急照明集中电源应自动关断</w:t>
      </w:r>
      <w:r>
        <w:rPr>
          <w:spacing w:val="-3"/>
          <w:sz w:val="21"/>
        </w:rPr>
        <w:t xml:space="preserve">蓄电池的充电回路和放电输出回路。 </w:t>
      </w:r>
    </w:p>
    <w:p>
      <w:pPr>
        <w:pStyle w:val="ListParagraph"/>
        <w:numPr>
          <w:ilvl w:val="3"/>
          <w:numId w:val="12"/>
        </w:numPr>
        <w:tabs>
          <w:tab w:val="left" w:pos="1159"/>
        </w:tabs>
        <w:spacing w:before="0" w:after="0" w:line="278" w:lineRule="auto"/>
        <w:ind w:left="212" w:right="592" w:firstLine="0"/>
        <w:jc w:val="left"/>
        <w:rPr>
          <w:sz w:val="21"/>
        </w:rPr>
      </w:pPr>
      <w:r>
        <w:rPr>
          <w:spacing w:val="-4"/>
          <w:sz w:val="21"/>
        </w:rPr>
        <w:t>在主电源正常工作情况下，已经切断蓄电池放电输出回路的应急照明集中电源应能继续保持</w:t>
      </w:r>
      <w:r>
        <w:rPr>
          <w:spacing w:val="-3"/>
          <w:sz w:val="21"/>
        </w:rPr>
        <w:t>主电源输出。</w:t>
      </w:r>
      <w:r>
        <w:rPr>
          <w:sz w:val="21"/>
        </w:rPr>
        <w:t xml:space="preserve"> </w:t>
      </w:r>
    </w:p>
    <w:p>
      <w:pPr>
        <w:pStyle w:val="BodyText"/>
        <w:spacing w:before="4"/>
        <w:rPr>
          <w:sz w:val="11"/>
        </w:rPr>
      </w:pPr>
    </w:p>
    <w:p>
      <w:pPr>
        <w:spacing w:before="75"/>
        <w:ind w:left="410" w:right="0" w:firstLine="0"/>
        <w:jc w:val="left"/>
        <w:rPr>
          <w:sz w:val="18"/>
        </w:rPr>
      </w:pPr>
      <w:r>
        <w:rPr>
          <w:sz w:val="18"/>
        </w:rPr>
        <w:t xml:space="preserve">4 </w:t>
      </w:r>
    </w:p>
    <w:p>
      <w:pPr>
        <w:spacing w:after="0"/>
        <w:jc w:val="left"/>
        <w:rPr>
          <w:sz w:val="18"/>
        </w:rPr>
      </w:pPr>
      <w:r>
        <w:rPr>
          <w:sz w:val="18"/>
        </w:rPr>
        <w:br/>
      </w:r>
      <w:r>
        <w:rPr>
          <w:sz w:val="18"/>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6" w:history="1">
        <w:r>
          <w:rPr>
            <w:rFonts w:ascii="SimSun" w:eastAsia="SimSun" w:hAnsi="SimSun" w:cs="SimSun"/>
            <w:b/>
            <w:bCs/>
            <w:color w:val="0000EE"/>
            <w:sz w:val="30"/>
            <w:szCs w:val="30"/>
            <w:u w:val="single" w:color="0000EE"/>
          </w:rPr>
          <w:t>https://d.book118.com/925041033240011123</w:t>
        </w:r>
      </w:hyperlink>
    </w:p>
    <w:p>
      <w:pPr>
        <w:spacing w:after="0"/>
        <w:jc w:val="left"/>
        <w:rPr>
          <w:sz w:val="18"/>
        </w:rPr>
      </w:pPr>
    </w:p>
    <w:sectPr>
      <w:pgSz w:w="11910" w:h="16840"/>
      <w:pgMar w:top="1580" w:right="820" w:bottom="280" w:left="920" w:header="708" w:footer="708"/>
      <w:pgNumType w:start="8"/>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黑体">
    <w:altName w:val="黑体"/>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Calibri">
    <w:altName w:val="Calibri"/>
    <w:charset w:val="00"/>
    <w:family w:val="swiss"/>
    <w:pitch w:val="variable"/>
    <w:sig w:usb0="00000000"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C615C6"/>
    <w:multiLevelType w:val="hybridMultilevel"/>
    <w:tmpl w:val="00000000"/>
    <w:lvl w:ilvl="0">
      <w:start w:val="1"/>
      <w:numFmt w:val="upperLetter"/>
      <w:lvlText w:val="%1"/>
      <w:lvlJc w:val="left"/>
      <w:pPr>
        <w:ind w:left="1444" w:hanging="946"/>
        <w:jc w:val="left"/>
      </w:pPr>
      <w:rPr>
        <w:rFonts w:hint="default"/>
        <w:lang w:val="en-US" w:eastAsia="zh-CN" w:bidi="ar-SA"/>
      </w:rPr>
    </w:lvl>
    <w:lvl w:ilvl="1">
      <w:start w:val="2"/>
      <w:numFmt w:val="decimal"/>
      <w:lvlText w:val="%1.%2"/>
      <w:lvlJc w:val="left"/>
      <w:pPr>
        <w:ind w:left="1444" w:hanging="946"/>
        <w:jc w:val="left"/>
      </w:pPr>
      <w:rPr>
        <w:rFonts w:hint="default"/>
        <w:lang w:val="en-US" w:eastAsia="zh-CN" w:bidi="ar-SA"/>
      </w:rPr>
    </w:lvl>
    <w:lvl w:ilvl="2">
      <w:start w:val="2"/>
      <w:numFmt w:val="decimal"/>
      <w:lvlText w:val="%1.%2.%3"/>
      <w:lvlJc w:val="left"/>
      <w:pPr>
        <w:ind w:left="1444" w:hanging="946"/>
        <w:jc w:val="left"/>
      </w:pPr>
      <w:rPr>
        <w:rFonts w:hint="default"/>
        <w:lang w:val="en-US" w:eastAsia="zh-CN" w:bidi="ar-SA"/>
      </w:rPr>
    </w:lvl>
    <w:lvl w:ilvl="3">
      <w:start w:val="1"/>
      <w:numFmt w:val="decimal"/>
      <w:lvlText w:val="%1.%2.%3.%4"/>
      <w:lvlJc w:val="left"/>
      <w:pPr>
        <w:ind w:left="1444" w:hanging="946"/>
        <w:jc w:val="left"/>
      </w:pPr>
      <w:rPr>
        <w:rFonts w:ascii="黑体" w:eastAsia="黑体" w:hAnsi="黑体" w:cs="黑体" w:hint="default"/>
        <w:spacing w:val="-3"/>
        <w:w w:val="100"/>
        <w:sz w:val="21"/>
        <w:szCs w:val="21"/>
        <w:lang w:val="en-US" w:eastAsia="zh-CN" w:bidi="ar-SA"/>
      </w:rPr>
    </w:lvl>
    <w:lvl w:ilvl="4">
      <w:start w:val="0"/>
      <w:numFmt w:val="bullet"/>
      <w:lvlText w:val="•"/>
      <w:lvlJc w:val="left"/>
      <w:pPr>
        <w:ind w:left="4930" w:hanging="946"/>
      </w:pPr>
      <w:rPr>
        <w:rFonts w:hint="default"/>
        <w:lang w:val="en-US" w:eastAsia="zh-CN" w:bidi="ar-SA"/>
      </w:rPr>
    </w:lvl>
    <w:lvl w:ilvl="5">
      <w:start w:val="0"/>
      <w:numFmt w:val="bullet"/>
      <w:lvlText w:val="•"/>
      <w:lvlJc w:val="left"/>
      <w:pPr>
        <w:ind w:left="5803" w:hanging="946"/>
      </w:pPr>
      <w:rPr>
        <w:rFonts w:hint="default"/>
        <w:lang w:val="en-US" w:eastAsia="zh-CN" w:bidi="ar-SA"/>
      </w:rPr>
    </w:lvl>
    <w:lvl w:ilvl="6">
      <w:start w:val="0"/>
      <w:numFmt w:val="bullet"/>
      <w:lvlText w:val="•"/>
      <w:lvlJc w:val="left"/>
      <w:pPr>
        <w:ind w:left="6675" w:hanging="946"/>
      </w:pPr>
      <w:rPr>
        <w:rFonts w:hint="default"/>
        <w:lang w:val="en-US" w:eastAsia="zh-CN" w:bidi="ar-SA"/>
      </w:rPr>
    </w:lvl>
    <w:lvl w:ilvl="7">
      <w:start w:val="0"/>
      <w:numFmt w:val="bullet"/>
      <w:lvlText w:val="•"/>
      <w:lvlJc w:val="left"/>
      <w:pPr>
        <w:ind w:left="7548" w:hanging="946"/>
      </w:pPr>
      <w:rPr>
        <w:rFonts w:hint="default"/>
        <w:lang w:val="en-US" w:eastAsia="zh-CN" w:bidi="ar-SA"/>
      </w:rPr>
    </w:lvl>
    <w:lvl w:ilvl="8">
      <w:start w:val="0"/>
      <w:numFmt w:val="bullet"/>
      <w:lvlText w:val="•"/>
      <w:lvlJc w:val="left"/>
      <w:pPr>
        <w:ind w:left="8421" w:hanging="946"/>
      </w:pPr>
      <w:rPr>
        <w:rFonts w:hint="default"/>
        <w:lang w:val="en-US" w:eastAsia="zh-CN" w:bidi="ar-SA"/>
      </w:rPr>
    </w:lvl>
  </w:abstractNum>
  <w:abstractNum w:abstractNumId="1">
    <w:nsid w:val="1173DCF3"/>
    <w:multiLevelType w:val="hybridMultilevel"/>
    <w:tmpl w:val="00000000"/>
    <w:lvl w:ilvl="0">
      <w:start w:val="1"/>
      <w:numFmt w:val="upperLetter"/>
      <w:lvlText w:val="%1"/>
      <w:lvlJc w:val="left"/>
      <w:pPr>
        <w:ind w:left="1024" w:hanging="526"/>
        <w:jc w:val="left"/>
      </w:pPr>
      <w:rPr>
        <w:rFonts w:hint="default"/>
        <w:lang w:val="en-US" w:eastAsia="zh-CN" w:bidi="ar-SA"/>
      </w:rPr>
    </w:lvl>
    <w:lvl w:ilvl="1">
      <w:start w:val="1"/>
      <w:numFmt w:val="decimal"/>
      <w:lvlText w:val="%1.%2"/>
      <w:lvlJc w:val="left"/>
      <w:pPr>
        <w:ind w:left="1024" w:hanging="526"/>
        <w:jc w:val="right"/>
      </w:pPr>
      <w:rPr>
        <w:rFonts w:ascii="黑体" w:eastAsia="黑体" w:hAnsi="黑体" w:cs="黑体" w:hint="default"/>
        <w:w w:val="100"/>
        <w:sz w:val="21"/>
        <w:szCs w:val="21"/>
        <w:lang w:val="en-US" w:eastAsia="zh-CN" w:bidi="ar-SA"/>
      </w:rPr>
    </w:lvl>
    <w:lvl w:ilvl="2">
      <w:start w:val="1"/>
      <w:numFmt w:val="decimal"/>
      <w:lvlText w:val="%1.%2.%3"/>
      <w:lvlJc w:val="left"/>
      <w:pPr>
        <w:ind w:left="1233" w:hanging="735"/>
        <w:jc w:val="right"/>
      </w:pPr>
      <w:rPr>
        <w:rFonts w:ascii="黑体" w:eastAsia="黑体" w:hAnsi="黑体" w:cs="黑体" w:hint="default"/>
        <w:w w:val="100"/>
        <w:sz w:val="21"/>
        <w:szCs w:val="21"/>
        <w:lang w:val="en-US" w:eastAsia="zh-CN" w:bidi="ar-SA"/>
      </w:rPr>
    </w:lvl>
    <w:lvl w:ilvl="3">
      <w:start w:val="1"/>
      <w:numFmt w:val="lowerLetter"/>
      <w:lvlText w:val="%4)"/>
      <w:lvlJc w:val="left"/>
      <w:pPr>
        <w:ind w:left="1350" w:hanging="425"/>
        <w:jc w:val="left"/>
      </w:pPr>
      <w:rPr>
        <w:rFonts w:ascii="宋体" w:eastAsia="宋体" w:hAnsi="宋体" w:cs="宋体" w:hint="default"/>
        <w:w w:val="100"/>
        <w:sz w:val="21"/>
        <w:szCs w:val="21"/>
        <w:lang w:val="en-US" w:eastAsia="zh-CN" w:bidi="ar-SA"/>
      </w:rPr>
    </w:lvl>
    <w:lvl w:ilvl="4">
      <w:start w:val="0"/>
      <w:numFmt w:val="bullet"/>
      <w:lvlText w:val="•"/>
      <w:lvlJc w:val="left"/>
      <w:pPr>
        <w:ind w:left="1360" w:hanging="425"/>
      </w:pPr>
      <w:rPr>
        <w:rFonts w:hint="default"/>
        <w:lang w:val="en-US" w:eastAsia="zh-CN" w:bidi="ar-SA"/>
      </w:rPr>
    </w:lvl>
    <w:lvl w:ilvl="5">
      <w:start w:val="0"/>
      <w:numFmt w:val="bullet"/>
      <w:lvlText w:val="•"/>
      <w:lvlJc w:val="left"/>
      <w:pPr>
        <w:ind w:left="2827" w:hanging="425"/>
      </w:pPr>
      <w:rPr>
        <w:rFonts w:hint="default"/>
        <w:lang w:val="en-US" w:eastAsia="zh-CN" w:bidi="ar-SA"/>
      </w:rPr>
    </w:lvl>
    <w:lvl w:ilvl="6">
      <w:start w:val="0"/>
      <w:numFmt w:val="bullet"/>
      <w:lvlText w:val="•"/>
      <w:lvlJc w:val="left"/>
      <w:pPr>
        <w:ind w:left="4295" w:hanging="425"/>
      </w:pPr>
      <w:rPr>
        <w:rFonts w:hint="default"/>
        <w:lang w:val="en-US" w:eastAsia="zh-CN" w:bidi="ar-SA"/>
      </w:rPr>
    </w:lvl>
    <w:lvl w:ilvl="7">
      <w:start w:val="0"/>
      <w:numFmt w:val="bullet"/>
      <w:lvlText w:val="•"/>
      <w:lvlJc w:val="left"/>
      <w:pPr>
        <w:ind w:left="5763" w:hanging="425"/>
      </w:pPr>
      <w:rPr>
        <w:rFonts w:hint="default"/>
        <w:lang w:val="en-US" w:eastAsia="zh-CN" w:bidi="ar-SA"/>
      </w:rPr>
    </w:lvl>
    <w:lvl w:ilvl="8">
      <w:start w:val="0"/>
      <w:numFmt w:val="bullet"/>
      <w:lvlText w:val="•"/>
      <w:lvlJc w:val="left"/>
      <w:pPr>
        <w:ind w:left="7230" w:hanging="425"/>
      </w:pPr>
      <w:rPr>
        <w:rFonts w:hint="default"/>
        <w:lang w:val="en-US" w:eastAsia="zh-CN" w:bidi="ar-SA"/>
      </w:rPr>
    </w:lvl>
  </w:abstractNum>
  <w:abstractNum w:abstractNumId="2">
    <w:nsid w:val="160921F6"/>
    <w:multiLevelType w:val="hybridMultilevel"/>
    <w:tmpl w:val="00000000"/>
    <w:lvl w:ilvl="0">
      <w:start w:val="1"/>
      <w:numFmt w:val="lowerLetter"/>
      <w:lvlText w:val="%1)"/>
      <w:lvlJc w:val="left"/>
      <w:pPr>
        <w:ind w:left="1350" w:hanging="425"/>
        <w:jc w:val="left"/>
      </w:pPr>
      <w:rPr>
        <w:rFonts w:ascii="宋体" w:eastAsia="宋体" w:hAnsi="宋体" w:cs="宋体" w:hint="default"/>
        <w:w w:val="100"/>
        <w:sz w:val="21"/>
        <w:szCs w:val="21"/>
        <w:lang w:val="en-US" w:eastAsia="zh-CN" w:bidi="ar-SA"/>
      </w:rPr>
    </w:lvl>
    <w:lvl w:ilvl="1">
      <w:start w:val="0"/>
      <w:numFmt w:val="bullet"/>
      <w:lvlText w:val="•"/>
      <w:lvlJc w:val="left"/>
      <w:pPr>
        <w:ind w:left="2240" w:hanging="425"/>
      </w:pPr>
      <w:rPr>
        <w:rFonts w:hint="default"/>
        <w:lang w:val="en-US" w:eastAsia="zh-CN" w:bidi="ar-SA"/>
      </w:rPr>
    </w:lvl>
    <w:lvl w:ilvl="2">
      <w:start w:val="0"/>
      <w:numFmt w:val="bullet"/>
      <w:lvlText w:val="•"/>
      <w:lvlJc w:val="left"/>
      <w:pPr>
        <w:ind w:left="3121" w:hanging="425"/>
      </w:pPr>
      <w:rPr>
        <w:rFonts w:hint="default"/>
        <w:lang w:val="en-US" w:eastAsia="zh-CN" w:bidi="ar-SA"/>
      </w:rPr>
    </w:lvl>
    <w:lvl w:ilvl="3">
      <w:start w:val="0"/>
      <w:numFmt w:val="bullet"/>
      <w:lvlText w:val="•"/>
      <w:lvlJc w:val="left"/>
      <w:pPr>
        <w:ind w:left="4001" w:hanging="425"/>
      </w:pPr>
      <w:rPr>
        <w:rFonts w:hint="default"/>
        <w:lang w:val="en-US" w:eastAsia="zh-CN" w:bidi="ar-SA"/>
      </w:rPr>
    </w:lvl>
    <w:lvl w:ilvl="4">
      <w:start w:val="0"/>
      <w:numFmt w:val="bullet"/>
      <w:lvlText w:val="•"/>
      <w:lvlJc w:val="left"/>
      <w:pPr>
        <w:ind w:left="4882" w:hanging="425"/>
      </w:pPr>
      <w:rPr>
        <w:rFonts w:hint="default"/>
        <w:lang w:val="en-US" w:eastAsia="zh-CN" w:bidi="ar-SA"/>
      </w:rPr>
    </w:lvl>
    <w:lvl w:ilvl="5">
      <w:start w:val="0"/>
      <w:numFmt w:val="bullet"/>
      <w:lvlText w:val="•"/>
      <w:lvlJc w:val="left"/>
      <w:pPr>
        <w:ind w:left="5763" w:hanging="425"/>
      </w:pPr>
      <w:rPr>
        <w:rFonts w:hint="default"/>
        <w:lang w:val="en-US" w:eastAsia="zh-CN" w:bidi="ar-SA"/>
      </w:rPr>
    </w:lvl>
    <w:lvl w:ilvl="6">
      <w:start w:val="0"/>
      <w:numFmt w:val="bullet"/>
      <w:lvlText w:val="•"/>
      <w:lvlJc w:val="left"/>
      <w:pPr>
        <w:ind w:left="6643" w:hanging="425"/>
      </w:pPr>
      <w:rPr>
        <w:rFonts w:hint="default"/>
        <w:lang w:val="en-US" w:eastAsia="zh-CN" w:bidi="ar-SA"/>
      </w:rPr>
    </w:lvl>
    <w:lvl w:ilvl="7">
      <w:start w:val="0"/>
      <w:numFmt w:val="bullet"/>
      <w:lvlText w:val="•"/>
      <w:lvlJc w:val="left"/>
      <w:pPr>
        <w:ind w:left="7524" w:hanging="425"/>
      </w:pPr>
      <w:rPr>
        <w:rFonts w:hint="default"/>
        <w:lang w:val="en-US" w:eastAsia="zh-CN" w:bidi="ar-SA"/>
      </w:rPr>
    </w:lvl>
    <w:lvl w:ilvl="8">
      <w:start w:val="0"/>
      <w:numFmt w:val="bullet"/>
      <w:lvlText w:val="•"/>
      <w:lvlJc w:val="left"/>
      <w:pPr>
        <w:ind w:left="8405" w:hanging="425"/>
      </w:pPr>
      <w:rPr>
        <w:rFonts w:hint="default"/>
        <w:lang w:val="en-US" w:eastAsia="zh-CN" w:bidi="ar-SA"/>
      </w:rPr>
    </w:lvl>
  </w:abstractNum>
  <w:abstractNum w:abstractNumId="3">
    <w:nsid w:val="1B310CAF"/>
    <w:multiLevelType w:val="hybridMultilevel"/>
    <w:tmpl w:val="00000000"/>
    <w:lvl w:ilvl="0">
      <w:start w:val="1"/>
      <w:numFmt w:val="lowerLetter"/>
      <w:lvlText w:val="%1)"/>
      <w:lvlJc w:val="left"/>
      <w:pPr>
        <w:ind w:left="1065" w:hanging="425"/>
        <w:jc w:val="left"/>
      </w:pPr>
      <w:rPr>
        <w:rFonts w:ascii="宋体" w:eastAsia="宋体" w:hAnsi="宋体" w:cs="宋体" w:hint="default"/>
        <w:w w:val="100"/>
        <w:sz w:val="21"/>
        <w:szCs w:val="21"/>
        <w:lang w:val="en-US" w:eastAsia="zh-CN" w:bidi="ar-SA"/>
      </w:rPr>
    </w:lvl>
    <w:lvl w:ilvl="1">
      <w:start w:val="0"/>
      <w:numFmt w:val="bullet"/>
      <w:lvlText w:val="•"/>
      <w:lvlJc w:val="left"/>
      <w:pPr>
        <w:ind w:left="1970" w:hanging="425"/>
      </w:pPr>
      <w:rPr>
        <w:rFonts w:hint="default"/>
        <w:lang w:val="en-US" w:eastAsia="zh-CN" w:bidi="ar-SA"/>
      </w:rPr>
    </w:lvl>
    <w:lvl w:ilvl="2">
      <w:start w:val="0"/>
      <w:numFmt w:val="bullet"/>
      <w:lvlText w:val="•"/>
      <w:lvlJc w:val="left"/>
      <w:pPr>
        <w:ind w:left="2881" w:hanging="425"/>
      </w:pPr>
      <w:rPr>
        <w:rFonts w:hint="default"/>
        <w:lang w:val="en-US" w:eastAsia="zh-CN" w:bidi="ar-SA"/>
      </w:rPr>
    </w:lvl>
    <w:lvl w:ilvl="3">
      <w:start w:val="0"/>
      <w:numFmt w:val="bullet"/>
      <w:lvlText w:val="•"/>
      <w:lvlJc w:val="left"/>
      <w:pPr>
        <w:ind w:left="3791" w:hanging="425"/>
      </w:pPr>
      <w:rPr>
        <w:rFonts w:hint="default"/>
        <w:lang w:val="en-US" w:eastAsia="zh-CN" w:bidi="ar-SA"/>
      </w:rPr>
    </w:lvl>
    <w:lvl w:ilvl="4">
      <w:start w:val="0"/>
      <w:numFmt w:val="bullet"/>
      <w:lvlText w:val="•"/>
      <w:lvlJc w:val="left"/>
      <w:pPr>
        <w:ind w:left="4702" w:hanging="425"/>
      </w:pPr>
      <w:rPr>
        <w:rFonts w:hint="default"/>
        <w:lang w:val="en-US" w:eastAsia="zh-CN" w:bidi="ar-SA"/>
      </w:rPr>
    </w:lvl>
    <w:lvl w:ilvl="5">
      <w:start w:val="0"/>
      <w:numFmt w:val="bullet"/>
      <w:lvlText w:val="•"/>
      <w:lvlJc w:val="left"/>
      <w:pPr>
        <w:ind w:left="5613" w:hanging="425"/>
      </w:pPr>
      <w:rPr>
        <w:rFonts w:hint="default"/>
        <w:lang w:val="en-US" w:eastAsia="zh-CN" w:bidi="ar-SA"/>
      </w:rPr>
    </w:lvl>
    <w:lvl w:ilvl="6">
      <w:start w:val="0"/>
      <w:numFmt w:val="bullet"/>
      <w:lvlText w:val="•"/>
      <w:lvlJc w:val="left"/>
      <w:pPr>
        <w:ind w:left="6523" w:hanging="425"/>
      </w:pPr>
      <w:rPr>
        <w:rFonts w:hint="default"/>
        <w:lang w:val="en-US" w:eastAsia="zh-CN" w:bidi="ar-SA"/>
      </w:rPr>
    </w:lvl>
    <w:lvl w:ilvl="7">
      <w:start w:val="0"/>
      <w:numFmt w:val="bullet"/>
      <w:lvlText w:val="•"/>
      <w:lvlJc w:val="left"/>
      <w:pPr>
        <w:ind w:left="7434" w:hanging="425"/>
      </w:pPr>
      <w:rPr>
        <w:rFonts w:hint="default"/>
        <w:lang w:val="en-US" w:eastAsia="zh-CN" w:bidi="ar-SA"/>
      </w:rPr>
    </w:lvl>
    <w:lvl w:ilvl="8">
      <w:start w:val="0"/>
      <w:numFmt w:val="bullet"/>
      <w:lvlText w:val="•"/>
      <w:lvlJc w:val="left"/>
      <w:pPr>
        <w:ind w:left="8345" w:hanging="425"/>
      </w:pPr>
      <w:rPr>
        <w:rFonts w:hint="default"/>
        <w:lang w:val="en-US" w:eastAsia="zh-CN" w:bidi="ar-SA"/>
      </w:rPr>
    </w:lvl>
  </w:abstractNum>
  <w:abstractNum w:abstractNumId="4">
    <w:nsid w:val="1FAE7E5D"/>
    <w:multiLevelType w:val="hybridMultilevel"/>
    <w:tmpl w:val="00000000"/>
    <w:lvl w:ilvl="0">
      <w:start w:val="4"/>
      <w:numFmt w:val="decimal"/>
      <w:lvlText w:val="%1"/>
      <w:lvlJc w:val="left"/>
      <w:pPr>
        <w:ind w:left="212" w:hanging="946"/>
        <w:jc w:val="left"/>
      </w:pPr>
      <w:rPr>
        <w:rFonts w:hint="default"/>
        <w:lang w:val="en-US" w:eastAsia="zh-CN" w:bidi="ar-SA"/>
      </w:rPr>
    </w:lvl>
    <w:lvl w:ilvl="1">
      <w:start w:val="8"/>
      <w:numFmt w:val="decimal"/>
      <w:lvlText w:val="%1.%2"/>
      <w:lvlJc w:val="left"/>
      <w:pPr>
        <w:ind w:left="212" w:hanging="946"/>
        <w:jc w:val="left"/>
      </w:pPr>
      <w:rPr>
        <w:rFonts w:hint="default"/>
        <w:lang w:val="en-US" w:eastAsia="zh-CN" w:bidi="ar-SA"/>
      </w:rPr>
    </w:lvl>
    <w:lvl w:ilvl="2">
      <w:start w:val="2"/>
      <w:numFmt w:val="decimal"/>
      <w:lvlText w:val="%1.%2.%3"/>
      <w:lvlJc w:val="left"/>
      <w:pPr>
        <w:ind w:left="212" w:hanging="946"/>
        <w:jc w:val="left"/>
      </w:pPr>
      <w:rPr>
        <w:rFonts w:hint="default"/>
        <w:lang w:val="en-US" w:eastAsia="zh-CN" w:bidi="ar-SA"/>
      </w:rPr>
    </w:lvl>
    <w:lvl w:ilvl="3">
      <w:start w:val="1"/>
      <w:numFmt w:val="decimal"/>
      <w:lvlText w:val="%1.%2.%3.%4"/>
      <w:lvlJc w:val="left"/>
      <w:pPr>
        <w:ind w:left="212" w:hanging="946"/>
        <w:jc w:val="left"/>
      </w:pPr>
      <w:rPr>
        <w:rFonts w:ascii="黑体" w:eastAsia="黑体" w:hAnsi="黑体" w:cs="黑体" w:hint="default"/>
        <w:spacing w:val="-3"/>
        <w:w w:val="100"/>
        <w:sz w:val="21"/>
        <w:szCs w:val="21"/>
        <w:lang w:val="en-US" w:eastAsia="zh-CN" w:bidi="ar-SA"/>
      </w:rPr>
    </w:lvl>
    <w:lvl w:ilvl="4">
      <w:start w:val="0"/>
      <w:numFmt w:val="bullet"/>
      <w:lvlText w:val="•"/>
      <w:lvlJc w:val="left"/>
      <w:pPr>
        <w:ind w:left="4198" w:hanging="946"/>
      </w:pPr>
      <w:rPr>
        <w:rFonts w:hint="default"/>
        <w:lang w:val="en-US" w:eastAsia="zh-CN" w:bidi="ar-SA"/>
      </w:rPr>
    </w:lvl>
    <w:lvl w:ilvl="5">
      <w:start w:val="0"/>
      <w:numFmt w:val="bullet"/>
      <w:lvlText w:val="•"/>
      <w:lvlJc w:val="left"/>
      <w:pPr>
        <w:ind w:left="5193" w:hanging="946"/>
      </w:pPr>
      <w:rPr>
        <w:rFonts w:hint="default"/>
        <w:lang w:val="en-US" w:eastAsia="zh-CN" w:bidi="ar-SA"/>
      </w:rPr>
    </w:lvl>
    <w:lvl w:ilvl="6">
      <w:start w:val="0"/>
      <w:numFmt w:val="bullet"/>
      <w:lvlText w:val="•"/>
      <w:lvlJc w:val="left"/>
      <w:pPr>
        <w:ind w:left="6187" w:hanging="946"/>
      </w:pPr>
      <w:rPr>
        <w:rFonts w:hint="default"/>
        <w:lang w:val="en-US" w:eastAsia="zh-CN" w:bidi="ar-SA"/>
      </w:rPr>
    </w:lvl>
    <w:lvl w:ilvl="7">
      <w:start w:val="0"/>
      <w:numFmt w:val="bullet"/>
      <w:lvlText w:val="•"/>
      <w:lvlJc w:val="left"/>
      <w:pPr>
        <w:ind w:left="7182" w:hanging="946"/>
      </w:pPr>
      <w:rPr>
        <w:rFonts w:hint="default"/>
        <w:lang w:val="en-US" w:eastAsia="zh-CN" w:bidi="ar-SA"/>
      </w:rPr>
    </w:lvl>
    <w:lvl w:ilvl="8">
      <w:start w:val="0"/>
      <w:numFmt w:val="bullet"/>
      <w:lvlText w:val="•"/>
      <w:lvlJc w:val="left"/>
      <w:pPr>
        <w:ind w:left="8177" w:hanging="946"/>
      </w:pPr>
      <w:rPr>
        <w:rFonts w:hint="default"/>
        <w:lang w:val="en-US" w:eastAsia="zh-CN" w:bidi="ar-SA"/>
      </w:rPr>
    </w:lvl>
  </w:abstractNum>
  <w:abstractNum w:abstractNumId="5">
    <w:nsid w:val="261DA513"/>
    <w:multiLevelType w:val="hybridMultilevel"/>
    <w:tmpl w:val="00000000"/>
    <w:lvl w:ilvl="0">
      <w:start w:val="1"/>
      <w:numFmt w:val="lowerLetter"/>
      <w:lvlText w:val="%1)"/>
      <w:lvlJc w:val="left"/>
      <w:pPr>
        <w:ind w:left="1065" w:hanging="425"/>
        <w:jc w:val="left"/>
      </w:pPr>
      <w:rPr>
        <w:rFonts w:ascii="宋体" w:eastAsia="宋体" w:hAnsi="宋体" w:cs="宋体" w:hint="default"/>
        <w:w w:val="100"/>
        <w:sz w:val="21"/>
        <w:szCs w:val="21"/>
        <w:lang w:val="en-US" w:eastAsia="zh-CN" w:bidi="ar-SA"/>
      </w:rPr>
    </w:lvl>
    <w:lvl w:ilvl="1">
      <w:start w:val="0"/>
      <w:numFmt w:val="bullet"/>
      <w:lvlText w:val="•"/>
      <w:lvlJc w:val="left"/>
      <w:pPr>
        <w:ind w:left="1970" w:hanging="425"/>
      </w:pPr>
      <w:rPr>
        <w:rFonts w:hint="default"/>
        <w:lang w:val="en-US" w:eastAsia="zh-CN" w:bidi="ar-SA"/>
      </w:rPr>
    </w:lvl>
    <w:lvl w:ilvl="2">
      <w:start w:val="0"/>
      <w:numFmt w:val="bullet"/>
      <w:lvlText w:val="•"/>
      <w:lvlJc w:val="left"/>
      <w:pPr>
        <w:ind w:left="2881" w:hanging="425"/>
      </w:pPr>
      <w:rPr>
        <w:rFonts w:hint="default"/>
        <w:lang w:val="en-US" w:eastAsia="zh-CN" w:bidi="ar-SA"/>
      </w:rPr>
    </w:lvl>
    <w:lvl w:ilvl="3">
      <w:start w:val="0"/>
      <w:numFmt w:val="bullet"/>
      <w:lvlText w:val="•"/>
      <w:lvlJc w:val="left"/>
      <w:pPr>
        <w:ind w:left="3791" w:hanging="425"/>
      </w:pPr>
      <w:rPr>
        <w:rFonts w:hint="default"/>
        <w:lang w:val="en-US" w:eastAsia="zh-CN" w:bidi="ar-SA"/>
      </w:rPr>
    </w:lvl>
    <w:lvl w:ilvl="4">
      <w:start w:val="0"/>
      <w:numFmt w:val="bullet"/>
      <w:lvlText w:val="•"/>
      <w:lvlJc w:val="left"/>
      <w:pPr>
        <w:ind w:left="4702" w:hanging="425"/>
      </w:pPr>
      <w:rPr>
        <w:rFonts w:hint="default"/>
        <w:lang w:val="en-US" w:eastAsia="zh-CN" w:bidi="ar-SA"/>
      </w:rPr>
    </w:lvl>
    <w:lvl w:ilvl="5">
      <w:start w:val="0"/>
      <w:numFmt w:val="bullet"/>
      <w:lvlText w:val="•"/>
      <w:lvlJc w:val="left"/>
      <w:pPr>
        <w:ind w:left="5613" w:hanging="425"/>
      </w:pPr>
      <w:rPr>
        <w:rFonts w:hint="default"/>
        <w:lang w:val="en-US" w:eastAsia="zh-CN" w:bidi="ar-SA"/>
      </w:rPr>
    </w:lvl>
    <w:lvl w:ilvl="6">
      <w:start w:val="0"/>
      <w:numFmt w:val="bullet"/>
      <w:lvlText w:val="•"/>
      <w:lvlJc w:val="left"/>
      <w:pPr>
        <w:ind w:left="6523" w:hanging="425"/>
      </w:pPr>
      <w:rPr>
        <w:rFonts w:hint="default"/>
        <w:lang w:val="en-US" w:eastAsia="zh-CN" w:bidi="ar-SA"/>
      </w:rPr>
    </w:lvl>
    <w:lvl w:ilvl="7">
      <w:start w:val="0"/>
      <w:numFmt w:val="bullet"/>
      <w:lvlText w:val="•"/>
      <w:lvlJc w:val="left"/>
      <w:pPr>
        <w:ind w:left="7434" w:hanging="425"/>
      </w:pPr>
      <w:rPr>
        <w:rFonts w:hint="default"/>
        <w:lang w:val="en-US" w:eastAsia="zh-CN" w:bidi="ar-SA"/>
      </w:rPr>
    </w:lvl>
    <w:lvl w:ilvl="8">
      <w:start w:val="0"/>
      <w:numFmt w:val="bullet"/>
      <w:lvlText w:val="•"/>
      <w:lvlJc w:val="left"/>
      <w:pPr>
        <w:ind w:left="8345" w:hanging="425"/>
      </w:pPr>
      <w:rPr>
        <w:rFonts w:hint="default"/>
        <w:lang w:val="en-US" w:eastAsia="zh-CN" w:bidi="ar-SA"/>
      </w:rPr>
    </w:lvl>
  </w:abstractNum>
  <w:abstractNum w:abstractNumId="6">
    <w:nsid w:val="2C68F492"/>
    <w:multiLevelType w:val="hybridMultilevel"/>
    <w:tmpl w:val="00000000"/>
    <w:lvl w:ilvl="0">
      <w:start w:val="1"/>
      <w:numFmt w:val="lowerLetter"/>
      <w:lvlText w:val="%1)"/>
      <w:lvlJc w:val="left"/>
      <w:pPr>
        <w:ind w:left="1065" w:hanging="425"/>
        <w:jc w:val="left"/>
      </w:pPr>
      <w:rPr>
        <w:rFonts w:ascii="宋体" w:eastAsia="宋体" w:hAnsi="宋体" w:cs="宋体" w:hint="default"/>
        <w:w w:val="100"/>
        <w:sz w:val="21"/>
        <w:szCs w:val="21"/>
        <w:lang w:val="en-US" w:eastAsia="zh-CN" w:bidi="ar-SA"/>
      </w:rPr>
    </w:lvl>
    <w:lvl w:ilvl="1">
      <w:start w:val="0"/>
      <w:numFmt w:val="bullet"/>
      <w:lvlText w:val="•"/>
      <w:lvlJc w:val="left"/>
      <w:pPr>
        <w:ind w:left="1970" w:hanging="425"/>
      </w:pPr>
      <w:rPr>
        <w:rFonts w:hint="default"/>
        <w:lang w:val="en-US" w:eastAsia="zh-CN" w:bidi="ar-SA"/>
      </w:rPr>
    </w:lvl>
    <w:lvl w:ilvl="2">
      <w:start w:val="0"/>
      <w:numFmt w:val="bullet"/>
      <w:lvlText w:val="•"/>
      <w:lvlJc w:val="left"/>
      <w:pPr>
        <w:ind w:left="2881" w:hanging="425"/>
      </w:pPr>
      <w:rPr>
        <w:rFonts w:hint="default"/>
        <w:lang w:val="en-US" w:eastAsia="zh-CN" w:bidi="ar-SA"/>
      </w:rPr>
    </w:lvl>
    <w:lvl w:ilvl="3">
      <w:start w:val="0"/>
      <w:numFmt w:val="bullet"/>
      <w:lvlText w:val="•"/>
      <w:lvlJc w:val="left"/>
      <w:pPr>
        <w:ind w:left="3791" w:hanging="425"/>
      </w:pPr>
      <w:rPr>
        <w:rFonts w:hint="default"/>
        <w:lang w:val="en-US" w:eastAsia="zh-CN" w:bidi="ar-SA"/>
      </w:rPr>
    </w:lvl>
    <w:lvl w:ilvl="4">
      <w:start w:val="0"/>
      <w:numFmt w:val="bullet"/>
      <w:lvlText w:val="•"/>
      <w:lvlJc w:val="left"/>
      <w:pPr>
        <w:ind w:left="4702" w:hanging="425"/>
      </w:pPr>
      <w:rPr>
        <w:rFonts w:hint="default"/>
        <w:lang w:val="en-US" w:eastAsia="zh-CN" w:bidi="ar-SA"/>
      </w:rPr>
    </w:lvl>
    <w:lvl w:ilvl="5">
      <w:start w:val="0"/>
      <w:numFmt w:val="bullet"/>
      <w:lvlText w:val="•"/>
      <w:lvlJc w:val="left"/>
      <w:pPr>
        <w:ind w:left="5613" w:hanging="425"/>
      </w:pPr>
      <w:rPr>
        <w:rFonts w:hint="default"/>
        <w:lang w:val="en-US" w:eastAsia="zh-CN" w:bidi="ar-SA"/>
      </w:rPr>
    </w:lvl>
    <w:lvl w:ilvl="6">
      <w:start w:val="0"/>
      <w:numFmt w:val="bullet"/>
      <w:lvlText w:val="•"/>
      <w:lvlJc w:val="left"/>
      <w:pPr>
        <w:ind w:left="6523" w:hanging="425"/>
      </w:pPr>
      <w:rPr>
        <w:rFonts w:hint="default"/>
        <w:lang w:val="en-US" w:eastAsia="zh-CN" w:bidi="ar-SA"/>
      </w:rPr>
    </w:lvl>
    <w:lvl w:ilvl="7">
      <w:start w:val="0"/>
      <w:numFmt w:val="bullet"/>
      <w:lvlText w:val="•"/>
      <w:lvlJc w:val="left"/>
      <w:pPr>
        <w:ind w:left="7434" w:hanging="425"/>
      </w:pPr>
      <w:rPr>
        <w:rFonts w:hint="default"/>
        <w:lang w:val="en-US" w:eastAsia="zh-CN" w:bidi="ar-SA"/>
      </w:rPr>
    </w:lvl>
    <w:lvl w:ilvl="8">
      <w:start w:val="0"/>
      <w:numFmt w:val="bullet"/>
      <w:lvlText w:val="•"/>
      <w:lvlJc w:val="left"/>
      <w:pPr>
        <w:ind w:left="8345" w:hanging="425"/>
      </w:pPr>
      <w:rPr>
        <w:rFonts w:hint="default"/>
        <w:lang w:val="en-US" w:eastAsia="zh-CN" w:bidi="ar-SA"/>
      </w:rPr>
    </w:lvl>
  </w:abstractNum>
  <w:abstractNum w:abstractNumId="7">
    <w:nsid w:val="2D14D719"/>
    <w:multiLevelType w:val="hybridMultilevel"/>
    <w:tmpl w:val="00000000"/>
    <w:lvl w:ilvl="0">
      <w:start w:val="4"/>
      <w:numFmt w:val="decimal"/>
      <w:lvlText w:val="%1"/>
      <w:lvlJc w:val="left"/>
      <w:pPr>
        <w:ind w:left="527" w:hanging="315"/>
        <w:jc w:val="right"/>
      </w:pPr>
      <w:rPr>
        <w:rFonts w:ascii="黑体" w:eastAsia="黑体" w:hAnsi="黑体" w:cs="黑体" w:hint="default"/>
        <w:w w:val="100"/>
        <w:sz w:val="21"/>
        <w:szCs w:val="21"/>
        <w:lang w:val="en-US" w:eastAsia="zh-CN" w:bidi="ar-SA"/>
      </w:rPr>
    </w:lvl>
    <w:lvl w:ilvl="1">
      <w:start w:val="1"/>
      <w:numFmt w:val="decimal"/>
      <w:lvlText w:val="%1.%2"/>
      <w:lvlJc w:val="left"/>
      <w:pPr>
        <w:ind w:left="738" w:hanging="527"/>
        <w:jc w:val="right"/>
      </w:pPr>
      <w:rPr>
        <w:rFonts w:ascii="黑体" w:eastAsia="黑体" w:hAnsi="黑体" w:cs="黑体" w:hint="default"/>
        <w:w w:val="100"/>
        <w:sz w:val="21"/>
        <w:szCs w:val="21"/>
        <w:lang w:val="en-US" w:eastAsia="zh-CN" w:bidi="ar-SA"/>
      </w:rPr>
    </w:lvl>
    <w:lvl w:ilvl="2">
      <w:start w:val="1"/>
      <w:numFmt w:val="decimal"/>
      <w:lvlText w:val="%1.%2.%3"/>
      <w:lvlJc w:val="left"/>
      <w:pPr>
        <w:ind w:left="947" w:hanging="735"/>
        <w:jc w:val="left"/>
      </w:pPr>
      <w:rPr>
        <w:rFonts w:ascii="黑体" w:eastAsia="黑体" w:hAnsi="黑体" w:cs="黑体" w:hint="default"/>
        <w:w w:val="100"/>
        <w:sz w:val="21"/>
        <w:szCs w:val="21"/>
        <w:lang w:val="en-US" w:eastAsia="zh-CN" w:bidi="ar-SA"/>
      </w:rPr>
    </w:lvl>
    <w:lvl w:ilvl="3">
      <w:start w:val="1"/>
      <w:numFmt w:val="decimal"/>
      <w:lvlText w:val="%1.%2.%3.%4"/>
      <w:lvlJc w:val="left"/>
      <w:pPr>
        <w:ind w:left="212" w:hanging="946"/>
        <w:jc w:val="left"/>
      </w:pPr>
      <w:rPr>
        <w:rFonts w:ascii="黑体" w:eastAsia="黑体" w:hAnsi="黑体" w:cs="黑体" w:hint="default"/>
        <w:spacing w:val="-3"/>
        <w:w w:val="100"/>
        <w:sz w:val="21"/>
        <w:szCs w:val="21"/>
        <w:lang w:val="en-US" w:eastAsia="zh-CN" w:bidi="ar-SA"/>
      </w:rPr>
    </w:lvl>
    <w:lvl w:ilvl="4">
      <w:start w:val="1"/>
      <w:numFmt w:val="lowerLetter"/>
      <w:lvlText w:val="%5)"/>
      <w:lvlJc w:val="left"/>
      <w:pPr>
        <w:ind w:left="1065" w:hanging="425"/>
        <w:jc w:val="left"/>
      </w:pPr>
      <w:rPr>
        <w:rFonts w:ascii="宋体" w:eastAsia="宋体" w:hAnsi="宋体" w:cs="宋体" w:hint="default"/>
        <w:w w:val="100"/>
        <w:sz w:val="21"/>
        <w:szCs w:val="21"/>
        <w:lang w:val="en-US" w:eastAsia="zh-CN" w:bidi="ar-SA"/>
      </w:rPr>
    </w:lvl>
    <w:lvl w:ilvl="5">
      <w:start w:val="0"/>
      <w:numFmt w:val="bullet"/>
      <w:lvlText w:val="•"/>
      <w:lvlJc w:val="left"/>
      <w:pPr>
        <w:ind w:left="1020" w:hanging="425"/>
      </w:pPr>
      <w:rPr>
        <w:rFonts w:hint="default"/>
        <w:lang w:val="en-US" w:eastAsia="zh-CN" w:bidi="ar-SA"/>
      </w:rPr>
    </w:lvl>
    <w:lvl w:ilvl="6">
      <w:start w:val="0"/>
      <w:numFmt w:val="bullet"/>
      <w:lvlText w:val="•"/>
      <w:lvlJc w:val="left"/>
      <w:pPr>
        <w:ind w:left="1060" w:hanging="425"/>
      </w:pPr>
      <w:rPr>
        <w:rFonts w:hint="default"/>
        <w:lang w:val="en-US" w:eastAsia="zh-CN" w:bidi="ar-SA"/>
      </w:rPr>
    </w:lvl>
    <w:lvl w:ilvl="7">
      <w:start w:val="0"/>
      <w:numFmt w:val="bullet"/>
      <w:lvlText w:val="•"/>
      <w:lvlJc w:val="left"/>
      <w:pPr>
        <w:ind w:left="1160" w:hanging="425"/>
      </w:pPr>
      <w:rPr>
        <w:rFonts w:hint="default"/>
        <w:lang w:val="en-US" w:eastAsia="zh-CN" w:bidi="ar-SA"/>
      </w:rPr>
    </w:lvl>
    <w:lvl w:ilvl="8">
      <w:start w:val="0"/>
      <w:numFmt w:val="bullet"/>
      <w:lvlText w:val="•"/>
      <w:lvlJc w:val="left"/>
      <w:pPr>
        <w:ind w:left="1240" w:hanging="425"/>
      </w:pPr>
      <w:rPr>
        <w:rFonts w:hint="default"/>
        <w:lang w:val="en-US" w:eastAsia="zh-CN" w:bidi="ar-SA"/>
      </w:rPr>
    </w:lvl>
  </w:abstractNum>
  <w:abstractNum w:abstractNumId="8">
    <w:nsid w:val="354B03FC"/>
    <w:multiLevelType w:val="hybridMultilevel"/>
    <w:tmpl w:val="00000000"/>
    <w:lvl w:ilvl="0">
      <w:start w:val="1"/>
      <w:numFmt w:val="upperLetter"/>
      <w:lvlText w:val="%1"/>
      <w:lvlJc w:val="left"/>
      <w:pPr>
        <w:ind w:left="1158" w:hanging="946"/>
        <w:jc w:val="left"/>
      </w:pPr>
      <w:rPr>
        <w:rFonts w:hint="default"/>
        <w:lang w:val="en-US" w:eastAsia="zh-CN" w:bidi="ar-SA"/>
      </w:rPr>
    </w:lvl>
    <w:lvl w:ilvl="1">
      <w:start w:val="2"/>
      <w:numFmt w:val="decimal"/>
      <w:lvlText w:val="%1.%2"/>
      <w:lvlJc w:val="left"/>
      <w:pPr>
        <w:ind w:left="1158" w:hanging="946"/>
        <w:jc w:val="left"/>
      </w:pPr>
      <w:rPr>
        <w:rFonts w:hint="default"/>
        <w:lang w:val="en-US" w:eastAsia="zh-CN" w:bidi="ar-SA"/>
      </w:rPr>
    </w:lvl>
    <w:lvl w:ilvl="2">
      <w:start w:val="1"/>
      <w:numFmt w:val="decimal"/>
      <w:lvlText w:val="%1.%2.%3"/>
      <w:lvlJc w:val="left"/>
      <w:pPr>
        <w:ind w:left="1158" w:hanging="946"/>
        <w:jc w:val="left"/>
      </w:pPr>
      <w:rPr>
        <w:rFonts w:hint="default"/>
        <w:lang w:val="en-US" w:eastAsia="zh-CN" w:bidi="ar-SA"/>
      </w:rPr>
    </w:lvl>
    <w:lvl w:ilvl="3">
      <w:start w:val="1"/>
      <w:numFmt w:val="decimal"/>
      <w:lvlText w:val="%1.%2.%3.%4"/>
      <w:lvlJc w:val="left"/>
      <w:pPr>
        <w:ind w:left="1158" w:hanging="946"/>
        <w:jc w:val="right"/>
      </w:pPr>
      <w:rPr>
        <w:rFonts w:ascii="黑体" w:eastAsia="黑体" w:hAnsi="黑体" w:cs="黑体" w:hint="default"/>
        <w:spacing w:val="-3"/>
        <w:w w:val="100"/>
        <w:sz w:val="21"/>
        <w:szCs w:val="21"/>
        <w:lang w:val="en-US" w:eastAsia="zh-CN" w:bidi="ar-SA"/>
      </w:rPr>
    </w:lvl>
    <w:lvl w:ilvl="4">
      <w:start w:val="0"/>
      <w:numFmt w:val="bullet"/>
      <w:lvlText w:val="•"/>
      <w:lvlJc w:val="left"/>
      <w:pPr>
        <w:ind w:left="4762" w:hanging="946"/>
      </w:pPr>
      <w:rPr>
        <w:rFonts w:hint="default"/>
        <w:lang w:val="en-US" w:eastAsia="zh-CN" w:bidi="ar-SA"/>
      </w:rPr>
    </w:lvl>
    <w:lvl w:ilvl="5">
      <w:start w:val="0"/>
      <w:numFmt w:val="bullet"/>
      <w:lvlText w:val="•"/>
      <w:lvlJc w:val="left"/>
      <w:pPr>
        <w:ind w:left="5663" w:hanging="946"/>
      </w:pPr>
      <w:rPr>
        <w:rFonts w:hint="default"/>
        <w:lang w:val="en-US" w:eastAsia="zh-CN" w:bidi="ar-SA"/>
      </w:rPr>
    </w:lvl>
    <w:lvl w:ilvl="6">
      <w:start w:val="0"/>
      <w:numFmt w:val="bullet"/>
      <w:lvlText w:val="•"/>
      <w:lvlJc w:val="left"/>
      <w:pPr>
        <w:ind w:left="6563" w:hanging="946"/>
      </w:pPr>
      <w:rPr>
        <w:rFonts w:hint="default"/>
        <w:lang w:val="en-US" w:eastAsia="zh-CN" w:bidi="ar-SA"/>
      </w:rPr>
    </w:lvl>
    <w:lvl w:ilvl="7">
      <w:start w:val="0"/>
      <w:numFmt w:val="bullet"/>
      <w:lvlText w:val="•"/>
      <w:lvlJc w:val="left"/>
      <w:pPr>
        <w:ind w:left="7464" w:hanging="946"/>
      </w:pPr>
      <w:rPr>
        <w:rFonts w:hint="default"/>
        <w:lang w:val="en-US" w:eastAsia="zh-CN" w:bidi="ar-SA"/>
      </w:rPr>
    </w:lvl>
    <w:lvl w:ilvl="8">
      <w:start w:val="0"/>
      <w:numFmt w:val="bullet"/>
      <w:lvlText w:val="•"/>
      <w:lvlJc w:val="left"/>
      <w:pPr>
        <w:ind w:left="8365" w:hanging="946"/>
      </w:pPr>
      <w:rPr>
        <w:rFonts w:hint="default"/>
        <w:lang w:val="en-US" w:eastAsia="zh-CN" w:bidi="ar-SA"/>
      </w:rPr>
    </w:lvl>
  </w:abstractNum>
  <w:abstractNum w:abstractNumId="9">
    <w:nsid w:val="3B5ECE2C"/>
    <w:multiLevelType w:val="hybridMultilevel"/>
    <w:tmpl w:val="00000000"/>
    <w:lvl w:ilvl="0">
      <w:start w:val="1"/>
      <w:numFmt w:val="decimal"/>
      <w:lvlText w:val="%1"/>
      <w:lvlJc w:val="left"/>
      <w:pPr>
        <w:ind w:left="813" w:hanging="315"/>
        <w:jc w:val="left"/>
      </w:pPr>
      <w:rPr>
        <w:rFonts w:ascii="黑体" w:eastAsia="黑体" w:hAnsi="黑体" w:cs="黑体" w:hint="default"/>
        <w:w w:val="100"/>
        <w:sz w:val="21"/>
        <w:szCs w:val="21"/>
        <w:lang w:val="en-US" w:eastAsia="zh-CN" w:bidi="ar-SA"/>
      </w:rPr>
    </w:lvl>
    <w:lvl w:ilvl="1">
      <w:start w:val="0"/>
      <w:numFmt w:val="bullet"/>
      <w:lvlText w:val="•"/>
      <w:lvlJc w:val="left"/>
      <w:pPr>
        <w:ind w:left="1754" w:hanging="315"/>
      </w:pPr>
      <w:rPr>
        <w:rFonts w:hint="default"/>
        <w:lang w:val="en-US" w:eastAsia="zh-CN" w:bidi="ar-SA"/>
      </w:rPr>
    </w:lvl>
    <w:lvl w:ilvl="2">
      <w:start w:val="0"/>
      <w:numFmt w:val="bullet"/>
      <w:lvlText w:val="•"/>
      <w:lvlJc w:val="left"/>
      <w:pPr>
        <w:ind w:left="2689" w:hanging="315"/>
      </w:pPr>
      <w:rPr>
        <w:rFonts w:hint="default"/>
        <w:lang w:val="en-US" w:eastAsia="zh-CN" w:bidi="ar-SA"/>
      </w:rPr>
    </w:lvl>
    <w:lvl w:ilvl="3">
      <w:start w:val="0"/>
      <w:numFmt w:val="bullet"/>
      <w:lvlText w:val="•"/>
      <w:lvlJc w:val="left"/>
      <w:pPr>
        <w:ind w:left="3623" w:hanging="315"/>
      </w:pPr>
      <w:rPr>
        <w:rFonts w:hint="default"/>
        <w:lang w:val="en-US" w:eastAsia="zh-CN" w:bidi="ar-SA"/>
      </w:rPr>
    </w:lvl>
    <w:lvl w:ilvl="4">
      <w:start w:val="0"/>
      <w:numFmt w:val="bullet"/>
      <w:lvlText w:val="•"/>
      <w:lvlJc w:val="left"/>
      <w:pPr>
        <w:ind w:left="4558" w:hanging="315"/>
      </w:pPr>
      <w:rPr>
        <w:rFonts w:hint="default"/>
        <w:lang w:val="en-US" w:eastAsia="zh-CN" w:bidi="ar-SA"/>
      </w:rPr>
    </w:lvl>
    <w:lvl w:ilvl="5">
      <w:start w:val="0"/>
      <w:numFmt w:val="bullet"/>
      <w:lvlText w:val="•"/>
      <w:lvlJc w:val="left"/>
      <w:pPr>
        <w:ind w:left="5493" w:hanging="315"/>
      </w:pPr>
      <w:rPr>
        <w:rFonts w:hint="default"/>
        <w:lang w:val="en-US" w:eastAsia="zh-CN" w:bidi="ar-SA"/>
      </w:rPr>
    </w:lvl>
    <w:lvl w:ilvl="6">
      <w:start w:val="0"/>
      <w:numFmt w:val="bullet"/>
      <w:lvlText w:val="•"/>
      <w:lvlJc w:val="left"/>
      <w:pPr>
        <w:ind w:left="6427" w:hanging="315"/>
      </w:pPr>
      <w:rPr>
        <w:rFonts w:hint="default"/>
        <w:lang w:val="en-US" w:eastAsia="zh-CN" w:bidi="ar-SA"/>
      </w:rPr>
    </w:lvl>
    <w:lvl w:ilvl="7">
      <w:start w:val="0"/>
      <w:numFmt w:val="bullet"/>
      <w:lvlText w:val="•"/>
      <w:lvlJc w:val="left"/>
      <w:pPr>
        <w:ind w:left="7362" w:hanging="315"/>
      </w:pPr>
      <w:rPr>
        <w:rFonts w:hint="default"/>
        <w:lang w:val="en-US" w:eastAsia="zh-CN" w:bidi="ar-SA"/>
      </w:rPr>
    </w:lvl>
    <w:lvl w:ilvl="8">
      <w:start w:val="0"/>
      <w:numFmt w:val="bullet"/>
      <w:lvlText w:val="•"/>
      <w:lvlJc w:val="left"/>
      <w:pPr>
        <w:ind w:left="8297" w:hanging="315"/>
      </w:pPr>
      <w:rPr>
        <w:rFonts w:hint="default"/>
        <w:lang w:val="en-US" w:eastAsia="zh-CN" w:bidi="ar-SA"/>
      </w:rPr>
    </w:lvl>
  </w:abstractNum>
  <w:abstractNum w:abstractNumId="10">
    <w:nsid w:val="47A63F08"/>
    <w:multiLevelType w:val="hybridMultilevel"/>
    <w:tmpl w:val="00000000"/>
    <w:lvl w:ilvl="0">
      <w:start w:val="5"/>
      <w:numFmt w:val="decimal"/>
      <w:lvlText w:val="%1"/>
      <w:lvlJc w:val="left"/>
      <w:pPr>
        <w:ind w:left="1133" w:hanging="424"/>
        <w:jc w:val="left"/>
      </w:pPr>
      <w:rPr>
        <w:rFonts w:hint="default"/>
        <w:lang w:val="en-US" w:eastAsia="zh-CN" w:bidi="ar-SA"/>
      </w:rPr>
    </w:lvl>
    <w:lvl w:ilvl="1">
      <w:start w:val="13"/>
      <w:numFmt w:val="decimal"/>
      <w:lvlText w:val="%1.%2"/>
      <w:lvlJc w:val="left"/>
      <w:pPr>
        <w:ind w:left="1133" w:hanging="424"/>
        <w:jc w:val="left"/>
      </w:pPr>
      <w:rPr>
        <w:rFonts w:ascii="宋体" w:eastAsia="宋体" w:hAnsi="宋体" w:cs="宋体" w:hint="default"/>
        <w:w w:val="100"/>
        <w:sz w:val="19"/>
        <w:szCs w:val="19"/>
        <w:lang w:val="en-US" w:eastAsia="zh-CN" w:bidi="ar-SA"/>
      </w:rPr>
    </w:lvl>
    <w:lvl w:ilvl="2">
      <w:start w:val="0"/>
      <w:numFmt w:val="bullet"/>
      <w:lvlText w:val="•"/>
      <w:lvlJc w:val="left"/>
      <w:pPr>
        <w:ind w:left="2945" w:hanging="424"/>
      </w:pPr>
      <w:rPr>
        <w:rFonts w:hint="default"/>
        <w:lang w:val="en-US" w:eastAsia="zh-CN" w:bidi="ar-SA"/>
      </w:rPr>
    </w:lvl>
    <w:lvl w:ilvl="3">
      <w:start w:val="0"/>
      <w:numFmt w:val="bullet"/>
      <w:lvlText w:val="•"/>
      <w:lvlJc w:val="left"/>
      <w:pPr>
        <w:ind w:left="3847" w:hanging="424"/>
      </w:pPr>
      <w:rPr>
        <w:rFonts w:hint="default"/>
        <w:lang w:val="en-US" w:eastAsia="zh-CN" w:bidi="ar-SA"/>
      </w:rPr>
    </w:lvl>
    <w:lvl w:ilvl="4">
      <w:start w:val="0"/>
      <w:numFmt w:val="bullet"/>
      <w:lvlText w:val="•"/>
      <w:lvlJc w:val="left"/>
      <w:pPr>
        <w:ind w:left="4750" w:hanging="424"/>
      </w:pPr>
      <w:rPr>
        <w:rFonts w:hint="default"/>
        <w:lang w:val="en-US" w:eastAsia="zh-CN" w:bidi="ar-SA"/>
      </w:rPr>
    </w:lvl>
    <w:lvl w:ilvl="5">
      <w:start w:val="0"/>
      <w:numFmt w:val="bullet"/>
      <w:lvlText w:val="•"/>
      <w:lvlJc w:val="left"/>
      <w:pPr>
        <w:ind w:left="5653" w:hanging="424"/>
      </w:pPr>
      <w:rPr>
        <w:rFonts w:hint="default"/>
        <w:lang w:val="en-US" w:eastAsia="zh-CN" w:bidi="ar-SA"/>
      </w:rPr>
    </w:lvl>
    <w:lvl w:ilvl="6">
      <w:start w:val="0"/>
      <w:numFmt w:val="bullet"/>
      <w:lvlText w:val="•"/>
      <w:lvlJc w:val="left"/>
      <w:pPr>
        <w:ind w:left="6555" w:hanging="424"/>
      </w:pPr>
      <w:rPr>
        <w:rFonts w:hint="default"/>
        <w:lang w:val="en-US" w:eastAsia="zh-CN" w:bidi="ar-SA"/>
      </w:rPr>
    </w:lvl>
    <w:lvl w:ilvl="7">
      <w:start w:val="0"/>
      <w:numFmt w:val="bullet"/>
      <w:lvlText w:val="•"/>
      <w:lvlJc w:val="left"/>
      <w:pPr>
        <w:ind w:left="7458" w:hanging="424"/>
      </w:pPr>
      <w:rPr>
        <w:rFonts w:hint="default"/>
        <w:lang w:val="en-US" w:eastAsia="zh-CN" w:bidi="ar-SA"/>
      </w:rPr>
    </w:lvl>
    <w:lvl w:ilvl="8">
      <w:start w:val="0"/>
      <w:numFmt w:val="bullet"/>
      <w:lvlText w:val="•"/>
      <w:lvlJc w:val="left"/>
      <w:pPr>
        <w:ind w:left="8361" w:hanging="424"/>
      </w:pPr>
      <w:rPr>
        <w:rFonts w:hint="default"/>
        <w:lang w:val="en-US" w:eastAsia="zh-CN" w:bidi="ar-SA"/>
      </w:rPr>
    </w:lvl>
  </w:abstractNum>
  <w:abstractNum w:abstractNumId="11">
    <w:nsid w:val="4DB3F39C"/>
    <w:multiLevelType w:val="hybridMultilevel"/>
    <w:tmpl w:val="00000000"/>
    <w:lvl w:ilvl="0">
      <w:start w:val="1"/>
      <w:numFmt w:val="lowerLetter"/>
      <w:lvlText w:val="%1)"/>
      <w:lvlJc w:val="left"/>
      <w:pPr>
        <w:ind w:left="1065" w:hanging="425"/>
        <w:jc w:val="left"/>
      </w:pPr>
      <w:rPr>
        <w:rFonts w:ascii="宋体" w:eastAsia="宋体" w:hAnsi="宋体" w:cs="宋体" w:hint="default"/>
        <w:w w:val="100"/>
        <w:sz w:val="21"/>
        <w:szCs w:val="21"/>
        <w:lang w:val="en-US" w:eastAsia="zh-CN" w:bidi="ar-SA"/>
      </w:rPr>
    </w:lvl>
    <w:lvl w:ilvl="1">
      <w:start w:val="0"/>
      <w:numFmt w:val="bullet"/>
      <w:lvlText w:val="•"/>
      <w:lvlJc w:val="left"/>
      <w:pPr>
        <w:ind w:left="1970" w:hanging="425"/>
      </w:pPr>
      <w:rPr>
        <w:rFonts w:hint="default"/>
        <w:lang w:val="en-US" w:eastAsia="zh-CN" w:bidi="ar-SA"/>
      </w:rPr>
    </w:lvl>
    <w:lvl w:ilvl="2">
      <w:start w:val="0"/>
      <w:numFmt w:val="bullet"/>
      <w:lvlText w:val="•"/>
      <w:lvlJc w:val="left"/>
      <w:pPr>
        <w:ind w:left="2881" w:hanging="425"/>
      </w:pPr>
      <w:rPr>
        <w:rFonts w:hint="default"/>
        <w:lang w:val="en-US" w:eastAsia="zh-CN" w:bidi="ar-SA"/>
      </w:rPr>
    </w:lvl>
    <w:lvl w:ilvl="3">
      <w:start w:val="0"/>
      <w:numFmt w:val="bullet"/>
      <w:lvlText w:val="•"/>
      <w:lvlJc w:val="left"/>
      <w:pPr>
        <w:ind w:left="3791" w:hanging="425"/>
      </w:pPr>
      <w:rPr>
        <w:rFonts w:hint="default"/>
        <w:lang w:val="en-US" w:eastAsia="zh-CN" w:bidi="ar-SA"/>
      </w:rPr>
    </w:lvl>
    <w:lvl w:ilvl="4">
      <w:start w:val="0"/>
      <w:numFmt w:val="bullet"/>
      <w:lvlText w:val="•"/>
      <w:lvlJc w:val="left"/>
      <w:pPr>
        <w:ind w:left="4702" w:hanging="425"/>
      </w:pPr>
      <w:rPr>
        <w:rFonts w:hint="default"/>
        <w:lang w:val="en-US" w:eastAsia="zh-CN" w:bidi="ar-SA"/>
      </w:rPr>
    </w:lvl>
    <w:lvl w:ilvl="5">
      <w:start w:val="0"/>
      <w:numFmt w:val="bullet"/>
      <w:lvlText w:val="•"/>
      <w:lvlJc w:val="left"/>
      <w:pPr>
        <w:ind w:left="5613" w:hanging="425"/>
      </w:pPr>
      <w:rPr>
        <w:rFonts w:hint="default"/>
        <w:lang w:val="en-US" w:eastAsia="zh-CN" w:bidi="ar-SA"/>
      </w:rPr>
    </w:lvl>
    <w:lvl w:ilvl="6">
      <w:start w:val="0"/>
      <w:numFmt w:val="bullet"/>
      <w:lvlText w:val="•"/>
      <w:lvlJc w:val="left"/>
      <w:pPr>
        <w:ind w:left="6523" w:hanging="425"/>
      </w:pPr>
      <w:rPr>
        <w:rFonts w:hint="default"/>
        <w:lang w:val="en-US" w:eastAsia="zh-CN" w:bidi="ar-SA"/>
      </w:rPr>
    </w:lvl>
    <w:lvl w:ilvl="7">
      <w:start w:val="0"/>
      <w:numFmt w:val="bullet"/>
      <w:lvlText w:val="•"/>
      <w:lvlJc w:val="left"/>
      <w:pPr>
        <w:ind w:left="7434" w:hanging="425"/>
      </w:pPr>
      <w:rPr>
        <w:rFonts w:hint="default"/>
        <w:lang w:val="en-US" w:eastAsia="zh-CN" w:bidi="ar-SA"/>
      </w:rPr>
    </w:lvl>
    <w:lvl w:ilvl="8">
      <w:start w:val="0"/>
      <w:numFmt w:val="bullet"/>
      <w:lvlText w:val="•"/>
      <w:lvlJc w:val="left"/>
      <w:pPr>
        <w:ind w:left="8345" w:hanging="425"/>
      </w:pPr>
      <w:rPr>
        <w:rFonts w:hint="default"/>
        <w:lang w:val="en-US" w:eastAsia="zh-CN" w:bidi="ar-SA"/>
      </w:rPr>
    </w:lvl>
  </w:abstractNum>
  <w:abstractNum w:abstractNumId="12">
    <w:nsid w:val="5E2A1E2C"/>
    <w:multiLevelType w:val="hybridMultilevel"/>
    <w:tmpl w:val="00000000"/>
    <w:lvl w:ilvl="0">
      <w:start w:val="5"/>
      <w:numFmt w:val="decimal"/>
      <w:lvlText w:val="%1"/>
      <w:lvlJc w:val="left"/>
      <w:pPr>
        <w:ind w:left="212" w:hanging="946"/>
        <w:jc w:val="left"/>
      </w:pPr>
      <w:rPr>
        <w:rFonts w:hint="default"/>
        <w:lang w:val="en-US" w:eastAsia="zh-CN" w:bidi="ar-SA"/>
      </w:rPr>
    </w:lvl>
    <w:lvl w:ilvl="1">
      <w:start w:val="1"/>
      <w:numFmt w:val="decimal"/>
      <w:lvlText w:val="%1.%2"/>
      <w:lvlJc w:val="left"/>
      <w:pPr>
        <w:ind w:left="212" w:hanging="946"/>
        <w:jc w:val="left"/>
      </w:pPr>
      <w:rPr>
        <w:rFonts w:hint="default"/>
        <w:lang w:val="en-US" w:eastAsia="zh-CN" w:bidi="ar-SA"/>
      </w:rPr>
    </w:lvl>
    <w:lvl w:ilvl="2">
      <w:start w:val="4"/>
      <w:numFmt w:val="decimal"/>
      <w:lvlText w:val="%1.%2.%3"/>
      <w:lvlJc w:val="left"/>
      <w:pPr>
        <w:ind w:left="212" w:hanging="946"/>
        <w:jc w:val="left"/>
      </w:pPr>
      <w:rPr>
        <w:rFonts w:hint="default"/>
        <w:lang w:val="en-US" w:eastAsia="zh-CN" w:bidi="ar-SA"/>
      </w:rPr>
    </w:lvl>
    <w:lvl w:ilvl="3">
      <w:start w:val="1"/>
      <w:numFmt w:val="decimal"/>
      <w:lvlText w:val="%1.%2.%3.%4"/>
      <w:lvlJc w:val="left"/>
      <w:pPr>
        <w:ind w:left="212" w:hanging="946"/>
        <w:jc w:val="left"/>
      </w:pPr>
      <w:rPr>
        <w:rFonts w:ascii="黑体" w:eastAsia="黑体" w:hAnsi="黑体" w:cs="黑体" w:hint="default"/>
        <w:spacing w:val="-3"/>
        <w:w w:val="100"/>
        <w:sz w:val="21"/>
        <w:szCs w:val="21"/>
        <w:lang w:val="en-US" w:eastAsia="zh-CN" w:bidi="ar-SA"/>
      </w:rPr>
    </w:lvl>
    <w:lvl w:ilvl="4">
      <w:start w:val="1"/>
      <w:numFmt w:val="lowerLetter"/>
      <w:lvlText w:val="%5)"/>
      <w:lvlJc w:val="left"/>
      <w:pPr>
        <w:ind w:left="1053" w:hanging="420"/>
        <w:jc w:val="left"/>
      </w:pPr>
      <w:rPr>
        <w:rFonts w:ascii="宋体" w:eastAsia="宋体" w:hAnsi="宋体" w:cs="宋体" w:hint="default"/>
        <w:w w:val="100"/>
        <w:sz w:val="21"/>
        <w:szCs w:val="21"/>
        <w:lang w:val="en-US" w:eastAsia="zh-CN" w:bidi="ar-SA"/>
      </w:rPr>
    </w:lvl>
    <w:lvl w:ilvl="5">
      <w:start w:val="0"/>
      <w:numFmt w:val="bullet"/>
      <w:lvlText w:val="•"/>
      <w:lvlJc w:val="left"/>
      <w:pPr>
        <w:ind w:left="5107" w:hanging="420"/>
      </w:pPr>
      <w:rPr>
        <w:rFonts w:hint="default"/>
        <w:lang w:val="en-US" w:eastAsia="zh-CN" w:bidi="ar-SA"/>
      </w:rPr>
    </w:lvl>
    <w:lvl w:ilvl="6">
      <w:start w:val="0"/>
      <w:numFmt w:val="bullet"/>
      <w:lvlText w:val="•"/>
      <w:lvlJc w:val="left"/>
      <w:pPr>
        <w:ind w:left="6119" w:hanging="420"/>
      </w:pPr>
      <w:rPr>
        <w:rFonts w:hint="default"/>
        <w:lang w:val="en-US" w:eastAsia="zh-CN" w:bidi="ar-SA"/>
      </w:rPr>
    </w:lvl>
    <w:lvl w:ilvl="7">
      <w:start w:val="0"/>
      <w:numFmt w:val="bullet"/>
      <w:lvlText w:val="•"/>
      <w:lvlJc w:val="left"/>
      <w:pPr>
        <w:ind w:left="7130" w:hanging="420"/>
      </w:pPr>
      <w:rPr>
        <w:rFonts w:hint="default"/>
        <w:lang w:val="en-US" w:eastAsia="zh-CN" w:bidi="ar-SA"/>
      </w:rPr>
    </w:lvl>
    <w:lvl w:ilvl="8">
      <w:start w:val="0"/>
      <w:numFmt w:val="bullet"/>
      <w:lvlText w:val="•"/>
      <w:lvlJc w:val="left"/>
      <w:pPr>
        <w:ind w:left="8142" w:hanging="420"/>
      </w:pPr>
      <w:rPr>
        <w:rFonts w:hint="default"/>
        <w:lang w:val="en-US" w:eastAsia="zh-CN" w:bidi="ar-SA"/>
      </w:rPr>
    </w:lvl>
  </w:abstractNum>
  <w:abstractNum w:abstractNumId="13">
    <w:nsid w:val="6FDDCA3A"/>
    <w:multiLevelType w:val="hybridMultilevel"/>
    <w:tmpl w:val="00000000"/>
    <w:lvl w:ilvl="0">
      <w:start w:val="1"/>
      <w:numFmt w:val="lowerLetter"/>
      <w:lvlText w:val="%1)"/>
      <w:lvlJc w:val="left"/>
      <w:pPr>
        <w:ind w:left="1053" w:hanging="420"/>
        <w:jc w:val="left"/>
      </w:pPr>
      <w:rPr>
        <w:rFonts w:ascii="宋体" w:eastAsia="宋体" w:hAnsi="宋体" w:cs="宋体" w:hint="default"/>
        <w:w w:val="100"/>
        <w:sz w:val="21"/>
        <w:szCs w:val="21"/>
        <w:lang w:val="en-US" w:eastAsia="zh-CN" w:bidi="ar-SA"/>
      </w:rPr>
    </w:lvl>
    <w:lvl w:ilvl="1">
      <w:start w:val="0"/>
      <w:numFmt w:val="bullet"/>
      <w:lvlText w:val="•"/>
      <w:lvlJc w:val="left"/>
      <w:pPr>
        <w:ind w:left="1970" w:hanging="420"/>
      </w:pPr>
      <w:rPr>
        <w:rFonts w:hint="default"/>
        <w:lang w:val="en-US" w:eastAsia="zh-CN" w:bidi="ar-SA"/>
      </w:rPr>
    </w:lvl>
    <w:lvl w:ilvl="2">
      <w:start w:val="0"/>
      <w:numFmt w:val="bullet"/>
      <w:lvlText w:val="•"/>
      <w:lvlJc w:val="left"/>
      <w:pPr>
        <w:ind w:left="2881" w:hanging="420"/>
      </w:pPr>
      <w:rPr>
        <w:rFonts w:hint="default"/>
        <w:lang w:val="en-US" w:eastAsia="zh-CN" w:bidi="ar-SA"/>
      </w:rPr>
    </w:lvl>
    <w:lvl w:ilvl="3">
      <w:start w:val="0"/>
      <w:numFmt w:val="bullet"/>
      <w:lvlText w:val="•"/>
      <w:lvlJc w:val="left"/>
      <w:pPr>
        <w:ind w:left="3791" w:hanging="420"/>
      </w:pPr>
      <w:rPr>
        <w:rFonts w:hint="default"/>
        <w:lang w:val="en-US" w:eastAsia="zh-CN" w:bidi="ar-SA"/>
      </w:rPr>
    </w:lvl>
    <w:lvl w:ilvl="4">
      <w:start w:val="0"/>
      <w:numFmt w:val="bullet"/>
      <w:lvlText w:val="•"/>
      <w:lvlJc w:val="left"/>
      <w:pPr>
        <w:ind w:left="4702" w:hanging="420"/>
      </w:pPr>
      <w:rPr>
        <w:rFonts w:hint="default"/>
        <w:lang w:val="en-US" w:eastAsia="zh-CN" w:bidi="ar-SA"/>
      </w:rPr>
    </w:lvl>
    <w:lvl w:ilvl="5">
      <w:start w:val="0"/>
      <w:numFmt w:val="bullet"/>
      <w:lvlText w:val="•"/>
      <w:lvlJc w:val="left"/>
      <w:pPr>
        <w:ind w:left="5613" w:hanging="420"/>
      </w:pPr>
      <w:rPr>
        <w:rFonts w:hint="default"/>
        <w:lang w:val="en-US" w:eastAsia="zh-CN" w:bidi="ar-SA"/>
      </w:rPr>
    </w:lvl>
    <w:lvl w:ilvl="6">
      <w:start w:val="0"/>
      <w:numFmt w:val="bullet"/>
      <w:lvlText w:val="•"/>
      <w:lvlJc w:val="left"/>
      <w:pPr>
        <w:ind w:left="6523" w:hanging="420"/>
      </w:pPr>
      <w:rPr>
        <w:rFonts w:hint="default"/>
        <w:lang w:val="en-US" w:eastAsia="zh-CN" w:bidi="ar-SA"/>
      </w:rPr>
    </w:lvl>
    <w:lvl w:ilvl="7">
      <w:start w:val="0"/>
      <w:numFmt w:val="bullet"/>
      <w:lvlText w:val="•"/>
      <w:lvlJc w:val="left"/>
      <w:pPr>
        <w:ind w:left="7434" w:hanging="420"/>
      </w:pPr>
      <w:rPr>
        <w:rFonts w:hint="default"/>
        <w:lang w:val="en-US" w:eastAsia="zh-CN" w:bidi="ar-SA"/>
      </w:rPr>
    </w:lvl>
    <w:lvl w:ilvl="8">
      <w:start w:val="0"/>
      <w:numFmt w:val="bullet"/>
      <w:lvlText w:val="•"/>
      <w:lvlJc w:val="left"/>
      <w:pPr>
        <w:ind w:left="8345" w:hanging="420"/>
      </w:pPr>
      <w:rPr>
        <w:rFonts w:hint="default"/>
        <w:lang w:val="en-US" w:eastAsia="zh-CN" w:bidi="ar-SA"/>
      </w:rPr>
    </w:lvl>
  </w:abstractNum>
  <w:abstractNum w:abstractNumId="14">
    <w:nsid w:val="70229C17"/>
    <w:multiLevelType w:val="hybridMultilevel"/>
    <w:tmpl w:val="00000000"/>
    <w:lvl w:ilvl="0">
      <w:start w:val="5"/>
      <w:numFmt w:val="decimal"/>
      <w:lvlText w:val="%1"/>
      <w:lvlJc w:val="left"/>
      <w:pPr>
        <w:ind w:left="1027" w:hanging="318"/>
        <w:jc w:val="left"/>
      </w:pPr>
      <w:rPr>
        <w:rFonts w:hint="default"/>
        <w:lang w:val="en-US" w:eastAsia="zh-CN" w:bidi="ar-SA"/>
      </w:rPr>
    </w:lvl>
    <w:lvl w:ilvl="1">
      <w:start w:val="2"/>
      <w:numFmt w:val="decimal"/>
      <w:lvlText w:val="%1.%2"/>
      <w:lvlJc w:val="left"/>
      <w:pPr>
        <w:ind w:left="1027" w:hanging="318"/>
        <w:jc w:val="left"/>
      </w:pPr>
      <w:rPr>
        <w:rFonts w:ascii="宋体" w:eastAsia="宋体" w:hAnsi="宋体" w:cs="宋体" w:hint="default"/>
        <w:w w:val="100"/>
        <w:sz w:val="19"/>
        <w:szCs w:val="19"/>
        <w:lang w:val="en-US" w:eastAsia="zh-CN" w:bidi="ar-SA"/>
      </w:rPr>
    </w:lvl>
    <w:lvl w:ilvl="2">
      <w:start w:val="0"/>
      <w:numFmt w:val="bullet"/>
      <w:lvlText w:val="•"/>
      <w:lvlJc w:val="left"/>
      <w:pPr>
        <w:ind w:left="2849" w:hanging="318"/>
      </w:pPr>
      <w:rPr>
        <w:rFonts w:hint="default"/>
        <w:lang w:val="en-US" w:eastAsia="zh-CN" w:bidi="ar-SA"/>
      </w:rPr>
    </w:lvl>
    <w:lvl w:ilvl="3">
      <w:start w:val="0"/>
      <w:numFmt w:val="bullet"/>
      <w:lvlText w:val="•"/>
      <w:lvlJc w:val="left"/>
      <w:pPr>
        <w:ind w:left="3763" w:hanging="318"/>
      </w:pPr>
      <w:rPr>
        <w:rFonts w:hint="default"/>
        <w:lang w:val="en-US" w:eastAsia="zh-CN" w:bidi="ar-SA"/>
      </w:rPr>
    </w:lvl>
    <w:lvl w:ilvl="4">
      <w:start w:val="0"/>
      <w:numFmt w:val="bullet"/>
      <w:lvlText w:val="•"/>
      <w:lvlJc w:val="left"/>
      <w:pPr>
        <w:ind w:left="4678" w:hanging="318"/>
      </w:pPr>
      <w:rPr>
        <w:rFonts w:hint="default"/>
        <w:lang w:val="en-US" w:eastAsia="zh-CN" w:bidi="ar-SA"/>
      </w:rPr>
    </w:lvl>
    <w:lvl w:ilvl="5">
      <w:start w:val="0"/>
      <w:numFmt w:val="bullet"/>
      <w:lvlText w:val="•"/>
      <w:lvlJc w:val="left"/>
      <w:pPr>
        <w:ind w:left="5593" w:hanging="318"/>
      </w:pPr>
      <w:rPr>
        <w:rFonts w:hint="default"/>
        <w:lang w:val="en-US" w:eastAsia="zh-CN" w:bidi="ar-SA"/>
      </w:rPr>
    </w:lvl>
    <w:lvl w:ilvl="6">
      <w:start w:val="0"/>
      <w:numFmt w:val="bullet"/>
      <w:lvlText w:val="•"/>
      <w:lvlJc w:val="left"/>
      <w:pPr>
        <w:ind w:left="6507" w:hanging="318"/>
      </w:pPr>
      <w:rPr>
        <w:rFonts w:hint="default"/>
        <w:lang w:val="en-US" w:eastAsia="zh-CN" w:bidi="ar-SA"/>
      </w:rPr>
    </w:lvl>
    <w:lvl w:ilvl="7">
      <w:start w:val="0"/>
      <w:numFmt w:val="bullet"/>
      <w:lvlText w:val="•"/>
      <w:lvlJc w:val="left"/>
      <w:pPr>
        <w:ind w:left="7422" w:hanging="318"/>
      </w:pPr>
      <w:rPr>
        <w:rFonts w:hint="default"/>
        <w:lang w:val="en-US" w:eastAsia="zh-CN" w:bidi="ar-SA"/>
      </w:rPr>
    </w:lvl>
    <w:lvl w:ilvl="8">
      <w:start w:val="0"/>
      <w:numFmt w:val="bullet"/>
      <w:lvlText w:val="•"/>
      <w:lvlJc w:val="left"/>
      <w:pPr>
        <w:ind w:left="8337" w:hanging="318"/>
      </w:pPr>
      <w:rPr>
        <w:rFonts w:hint="default"/>
        <w:lang w:val="en-US" w:eastAsia="zh-CN" w:bidi="ar-SA"/>
      </w:rPr>
    </w:lvl>
  </w:abstractNum>
  <w:abstractNum w:abstractNumId="15">
    <w:nsid w:val="7921ED96"/>
    <w:multiLevelType w:val="hybridMultilevel"/>
    <w:tmpl w:val="00000000"/>
    <w:lvl w:ilvl="0">
      <w:start w:val="4"/>
      <w:numFmt w:val="decimal"/>
      <w:lvlText w:val="%1"/>
      <w:lvlJc w:val="left"/>
      <w:pPr>
        <w:ind w:left="1027" w:hanging="318"/>
        <w:jc w:val="left"/>
      </w:pPr>
      <w:rPr>
        <w:rFonts w:hint="default"/>
        <w:lang w:val="en-US" w:eastAsia="zh-CN" w:bidi="ar-SA"/>
      </w:rPr>
    </w:lvl>
    <w:lvl w:ilvl="1">
      <w:start w:val="2"/>
      <w:numFmt w:val="decimal"/>
      <w:lvlText w:val="%1.%2"/>
      <w:lvlJc w:val="left"/>
      <w:pPr>
        <w:ind w:left="1027" w:hanging="318"/>
        <w:jc w:val="left"/>
      </w:pPr>
      <w:rPr>
        <w:rFonts w:ascii="宋体" w:eastAsia="宋体" w:hAnsi="宋体" w:cs="宋体" w:hint="default"/>
        <w:w w:val="100"/>
        <w:sz w:val="19"/>
        <w:szCs w:val="19"/>
        <w:lang w:val="en-US" w:eastAsia="zh-CN" w:bidi="ar-SA"/>
      </w:rPr>
    </w:lvl>
    <w:lvl w:ilvl="2">
      <w:start w:val="0"/>
      <w:numFmt w:val="bullet"/>
      <w:lvlText w:val="•"/>
      <w:lvlJc w:val="left"/>
      <w:pPr>
        <w:ind w:left="2849" w:hanging="318"/>
      </w:pPr>
      <w:rPr>
        <w:rFonts w:hint="default"/>
        <w:lang w:val="en-US" w:eastAsia="zh-CN" w:bidi="ar-SA"/>
      </w:rPr>
    </w:lvl>
    <w:lvl w:ilvl="3">
      <w:start w:val="0"/>
      <w:numFmt w:val="bullet"/>
      <w:lvlText w:val="•"/>
      <w:lvlJc w:val="left"/>
      <w:pPr>
        <w:ind w:left="3763" w:hanging="318"/>
      </w:pPr>
      <w:rPr>
        <w:rFonts w:hint="default"/>
        <w:lang w:val="en-US" w:eastAsia="zh-CN" w:bidi="ar-SA"/>
      </w:rPr>
    </w:lvl>
    <w:lvl w:ilvl="4">
      <w:start w:val="0"/>
      <w:numFmt w:val="bullet"/>
      <w:lvlText w:val="•"/>
      <w:lvlJc w:val="left"/>
      <w:pPr>
        <w:ind w:left="4678" w:hanging="318"/>
      </w:pPr>
      <w:rPr>
        <w:rFonts w:hint="default"/>
        <w:lang w:val="en-US" w:eastAsia="zh-CN" w:bidi="ar-SA"/>
      </w:rPr>
    </w:lvl>
    <w:lvl w:ilvl="5">
      <w:start w:val="0"/>
      <w:numFmt w:val="bullet"/>
      <w:lvlText w:val="•"/>
      <w:lvlJc w:val="left"/>
      <w:pPr>
        <w:ind w:left="5593" w:hanging="318"/>
      </w:pPr>
      <w:rPr>
        <w:rFonts w:hint="default"/>
        <w:lang w:val="en-US" w:eastAsia="zh-CN" w:bidi="ar-SA"/>
      </w:rPr>
    </w:lvl>
    <w:lvl w:ilvl="6">
      <w:start w:val="0"/>
      <w:numFmt w:val="bullet"/>
      <w:lvlText w:val="•"/>
      <w:lvlJc w:val="left"/>
      <w:pPr>
        <w:ind w:left="6507" w:hanging="318"/>
      </w:pPr>
      <w:rPr>
        <w:rFonts w:hint="default"/>
        <w:lang w:val="en-US" w:eastAsia="zh-CN" w:bidi="ar-SA"/>
      </w:rPr>
    </w:lvl>
    <w:lvl w:ilvl="7">
      <w:start w:val="0"/>
      <w:numFmt w:val="bullet"/>
      <w:lvlText w:val="•"/>
      <w:lvlJc w:val="left"/>
      <w:pPr>
        <w:ind w:left="7422" w:hanging="318"/>
      </w:pPr>
      <w:rPr>
        <w:rFonts w:hint="default"/>
        <w:lang w:val="en-US" w:eastAsia="zh-CN" w:bidi="ar-SA"/>
      </w:rPr>
    </w:lvl>
    <w:lvl w:ilvl="8">
      <w:start w:val="0"/>
      <w:numFmt w:val="bullet"/>
      <w:lvlText w:val="•"/>
      <w:lvlJc w:val="left"/>
      <w:pPr>
        <w:ind w:left="8337" w:hanging="318"/>
      </w:pPr>
      <w:rPr>
        <w:rFonts w:hint="default"/>
        <w:lang w:val="en-US" w:eastAsia="zh-CN" w:bidi="ar-SA"/>
      </w:rPr>
    </w:lvl>
  </w:abstractNum>
  <w:num w:numId="1">
    <w:abstractNumId w:val="0"/>
  </w:num>
  <w:num w:numId="2">
    <w:abstractNumId w:val="8"/>
  </w:num>
  <w:num w:numId="3">
    <w:abstractNumId w:val="1"/>
  </w:num>
  <w:num w:numId="4">
    <w:abstractNumId w:val="11"/>
  </w:num>
  <w:num w:numId="5">
    <w:abstractNumId w:val="13"/>
  </w:num>
  <w:num w:numId="6">
    <w:abstractNumId w:val="12"/>
  </w:num>
  <w:num w:numId="7">
    <w:abstractNumId w:val="2"/>
  </w:num>
  <w:num w:numId="8">
    <w:abstractNumId w:val="6"/>
  </w:num>
  <w:num w:numId="9">
    <w:abstractNumId w:val="4"/>
  </w:num>
  <w:num w:numId="10">
    <w:abstractNumId w:val="5"/>
  </w:num>
  <w:num w:numId="11">
    <w:abstractNumId w:val="3"/>
  </w:num>
  <w:num w:numId="12">
    <w:abstractNumId w:val="7"/>
  </w:num>
  <w:num w:numId="13">
    <w:abstractNumId w:val="9"/>
  </w:num>
  <w:num w:numId="14">
    <w:abstractNumId w:val="10"/>
  </w:num>
  <w:num w:numId="15">
    <w:abstractNumId w:val="14"/>
  </w:num>
  <w:num w:numId="16">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lang w:val="en-US" w:eastAsia="zh-CN" w:bidi="ar-SA"/>
    </w:rPr>
  </w:style>
  <w:style w:type="paragraph" w:styleId="Heading1">
    <w:name w:val="heading 1"/>
    <w:basedOn w:val="Normal"/>
    <w:uiPriority w:val="1"/>
    <w:qFormat/>
    <w:pPr>
      <w:spacing w:before="55"/>
      <w:ind w:left="183" w:hanging="480"/>
      <w:outlineLvl w:val="0"/>
    </w:pPr>
    <w:rPr>
      <w:rFonts w:ascii="黑体" w:eastAsia="黑体" w:hAnsi="黑体" w:cs="黑体"/>
      <w:sz w:val="32"/>
      <w:szCs w:val="32"/>
      <w:lang w:val="en-US" w:eastAsia="zh-CN" w:bidi="ar-SA"/>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21"/>
      <w:szCs w:val="21"/>
      <w:lang w:val="en-US" w:eastAsia="zh-CN" w:bidi="ar-SA"/>
    </w:rPr>
  </w:style>
  <w:style w:type="paragraph" w:styleId="Title">
    <w:name w:val="Title"/>
    <w:basedOn w:val="Normal"/>
    <w:uiPriority w:val="1"/>
    <w:qFormat/>
    <w:pPr>
      <w:spacing w:before="3"/>
      <w:ind w:left="550" w:hanging="3383"/>
    </w:pPr>
    <w:rPr>
      <w:rFonts w:ascii="黑体" w:eastAsia="黑体" w:hAnsi="黑体" w:cs="黑体"/>
      <w:sz w:val="52"/>
      <w:szCs w:val="52"/>
      <w:lang w:val="en-US" w:eastAsia="zh-CN" w:bidi="ar-SA"/>
    </w:rPr>
  </w:style>
  <w:style w:type="paragraph" w:styleId="ListParagraph">
    <w:name w:val="List Paragraph"/>
    <w:basedOn w:val="Normal"/>
    <w:uiPriority w:val="1"/>
    <w:qFormat/>
    <w:pPr>
      <w:ind w:left="1065" w:hanging="736"/>
    </w:pPr>
    <w:rPr>
      <w:rFonts w:ascii="宋体" w:eastAsia="宋体" w:hAnsi="宋体" w:cs="宋体"/>
      <w:lang w:val="en-US" w:eastAsia="zh-CN" w:bidi="ar-SA"/>
    </w:rPr>
  </w:style>
  <w:style w:type="paragraph" w:customStyle="1" w:styleId="TableParagraph">
    <w:name w:val="Table Paragraph"/>
    <w:basedOn w:val="Normal"/>
    <w:uiPriority w:val="1"/>
    <w:qFormat/>
    <w:pPr>
      <w:jc w:val="center"/>
    </w:pPr>
    <w:rPr>
      <w:rFonts w:ascii="宋体" w:eastAsia="宋体" w:hAnsi="宋体" w:cs="宋体"/>
      <w:lang w:val="en-US" w:eastAsia="zh-CN" w:bidi="ar-SA"/>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std.samr.gov.cn/gb/search/gbDetailed?id=71F772D82DE6D3A7E05397BE0A0AB82A" TargetMode="External" /><Relationship Id="rId5" Type="http://schemas.openxmlformats.org/officeDocument/2006/relationships/hyperlink" Target="https://std.samr.gov.cn/gb/search/gbDetailed?id=8AA1F5D36ED3A8DBE05397BE0A0AB19B" TargetMode="External" /><Relationship Id="rId6" Type="http://schemas.openxmlformats.org/officeDocument/2006/relationships/hyperlink" Target="https://d.book118.com/925041033240011123" TargetMode="External" /><Relationship Id="rId7" Type="http://schemas.openxmlformats.org/officeDocument/2006/relationships/theme" Target="theme/theme1.xml" /><Relationship Id="rId8" Type="http://schemas.openxmlformats.org/officeDocument/2006/relationships/numbering" Target="numbering.xml" /><Relationship Id="rId9"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国家标准</dc:title>
  <dc:creator>lxb14</dc:creator>
  <cp:revision>0</cp:revision>
  <dcterms:created xsi:type="dcterms:W3CDTF">2024-03-17T13:42:51Z</dcterms:created>
  <dcterms:modified xsi:type="dcterms:W3CDTF">2024-03-17T13:42:51Z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2024-02-06T00:00:00Z</vt:filetime>
  </property>
  <property fmtid="{D5CDD505-2E9C-101B-9397-08002B2CF9AE}" pid="3" name="Creator">
    <vt:lpwstr>Microsoft® Word 适用于 Microsoft 365</vt:lpwstr>
  </property>
  <property fmtid="{D5CDD505-2E9C-101B-9397-08002B2CF9AE}" pid="4" name="LastSaved">
    <vt:filetime>2024-03-17T00:00:00Z</vt:filetime>
  </property>
</Properties>
</file>