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w:themeColor="background1" filled="t"/>
  </w:background>
  <w:body>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p>
    <w:p>
      <w:pPr>
        <w:spacing w:before="120" w:beforeLines="50"/>
        <w:jc w:val="center"/>
        <w:rPr>
          <w:rFonts w:ascii="Arial" w:eastAsia="楷体_GB2312" w:hAnsi="Arial" w:cs="Arial"/>
          <w:b/>
          <w:sz w:val="28"/>
          <w:szCs w:val="28"/>
        </w:rPr>
      </w:pPr>
      <w:r>
        <w:rPr>
          <w:rFonts w:cs="Times New Roman"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ctole0000000000" o:spid="_x0000_i1026" type="#_x0000_t75" style="width:186pt;height:138pt" o:ole="" coordsize="21600,21600" o:preferrelative="t" filled="f" stroked="f">
            <v:imagedata r:id="rId6" o:title=""/>
            <w10:anchorlock/>
          </v:shape>
          <o:OLEObject Type="Embed" ProgID="StaticMetafile" ShapeID="rectole0000000000" DrawAspect="Content" ObjectID="_1468075725" r:id="rId7"/>
        </w:object>
      </w:r>
    </w:p>
    <w:p>
      <w:pPr>
        <w:spacing w:before="120" w:beforeLines="50"/>
        <w:jc w:val="center"/>
        <w:rPr>
          <w:rFonts w:ascii="Arial" w:eastAsia="楷体_GB2312" w:hAnsi="Arial" w:cs="Arial"/>
          <w:b/>
          <w:sz w:val="28"/>
          <w:szCs w:val="28"/>
        </w:rPr>
      </w:pPr>
    </w:p>
    <w:p>
      <w:pPr>
        <w:spacing w:before="120" w:beforeLines="50"/>
        <w:jc w:val="center"/>
        <w:rPr>
          <w:rFonts w:ascii="Arial" w:hAnsi="Arial" w:cs="Arial"/>
          <w:b/>
          <w:bCs/>
          <w:color w:val="000000"/>
          <w:kern w:val="0"/>
          <w:sz w:val="36"/>
          <w:szCs w:val="36"/>
        </w:rPr>
      </w:pPr>
      <w:r>
        <w:rPr>
          <w:rFonts w:ascii="Arial" w:hAnsi="Arial" w:cs="Arial" w:hint="eastAsia"/>
          <w:b/>
          <w:bCs/>
          <w:color w:val="000000"/>
          <w:kern w:val="0"/>
          <w:sz w:val="36"/>
          <w:szCs w:val="36"/>
        </w:rPr>
        <w:t>CNAS-GL</w:t>
      </w:r>
      <w:r>
        <w:rPr>
          <w:rFonts w:ascii="Arial" w:hAnsi="Arial" w:cs="Arial" w:hint="eastAsia"/>
          <w:b/>
          <w:bCs/>
          <w:color w:val="FF0000"/>
          <w:kern w:val="0"/>
          <w:sz w:val="36"/>
          <w:szCs w:val="36"/>
        </w:rPr>
        <w:t>XX</w:t>
      </w:r>
    </w:p>
    <w:p>
      <w:pPr>
        <w:spacing w:before="120" w:beforeLines="50" w:line="300" w:lineRule="auto"/>
        <w:jc w:val="center"/>
        <w:rPr>
          <w:rFonts w:ascii="宋体" w:eastAsia="宋体" w:hAnsi="宋体" w:cs="Times New Roman"/>
          <w:b/>
          <w:color w:val="000000"/>
          <w:kern w:val="0"/>
          <w:sz w:val="44"/>
          <w:szCs w:val="44"/>
        </w:rPr>
      </w:pPr>
      <w:r>
        <w:rPr>
          <w:rFonts w:ascii="宋体" w:eastAsia="宋体" w:hAnsi="宋体" w:cs="Times New Roman" w:hint="eastAsia"/>
          <w:b/>
          <w:color w:val="000000"/>
          <w:kern w:val="0"/>
          <w:sz w:val="44"/>
          <w:szCs w:val="44"/>
        </w:rPr>
        <w:t>电磁兼容实验室场地确认技术指南</w:t>
      </w:r>
    </w:p>
    <w:p>
      <w:pPr>
        <w:spacing w:before="120" w:beforeLines="50" w:after="120" w:afterLines="50" w:line="300" w:lineRule="auto"/>
        <w:jc w:val="center"/>
        <w:rPr>
          <w:rFonts w:ascii="Arial" w:hAnsi="Arial" w:cs="Arial"/>
          <w:b/>
          <w:bCs/>
          <w:color w:val="000000"/>
          <w:kern w:val="0"/>
          <w:sz w:val="36"/>
          <w:szCs w:val="36"/>
        </w:rPr>
      </w:pPr>
      <w:r>
        <w:rPr>
          <w:rFonts w:ascii="Arial" w:hAnsi="Arial" w:cs="Arial" w:hint="eastAsia"/>
          <w:b/>
          <w:bCs/>
          <w:color w:val="000000"/>
          <w:kern w:val="0"/>
          <w:sz w:val="36"/>
          <w:szCs w:val="36"/>
        </w:rPr>
        <w:t>T</w:t>
      </w:r>
      <w:r>
        <w:rPr>
          <w:rFonts w:ascii="Arial" w:hAnsi="Arial" w:cs="Arial"/>
          <w:b/>
          <w:bCs/>
          <w:color w:val="000000"/>
          <w:kern w:val="0"/>
          <w:sz w:val="36"/>
          <w:szCs w:val="36"/>
        </w:rPr>
        <w:t xml:space="preserve">he Guidance </w:t>
      </w:r>
      <w:r>
        <w:rPr>
          <w:rFonts w:ascii="Arial" w:hAnsi="Arial" w:cs="Arial" w:hint="eastAsia"/>
          <w:b/>
          <w:bCs/>
          <w:color w:val="000000"/>
          <w:kern w:val="0"/>
          <w:sz w:val="36"/>
          <w:szCs w:val="36"/>
        </w:rPr>
        <w:t>for</w:t>
      </w:r>
      <w:r>
        <w:rPr>
          <w:rFonts w:ascii="Arial" w:hAnsi="Arial" w:cs="Arial"/>
          <w:b/>
          <w:bCs/>
          <w:color w:val="000000"/>
          <w:kern w:val="0"/>
          <w:sz w:val="36"/>
          <w:szCs w:val="36"/>
        </w:rPr>
        <w:t xml:space="preserve"> </w:t>
      </w:r>
      <w:r>
        <w:rPr>
          <w:rFonts w:ascii="Arial" w:hAnsi="Arial" w:cs="Arial" w:hint="eastAsia"/>
          <w:b/>
          <w:bCs/>
          <w:color w:val="000000"/>
          <w:kern w:val="0"/>
          <w:sz w:val="36"/>
          <w:szCs w:val="36"/>
        </w:rPr>
        <w:t>Site Validation</w:t>
      </w:r>
      <w:r>
        <w:rPr>
          <w:rFonts w:ascii="Arial" w:hAnsi="Arial" w:cs="Arial"/>
          <w:b/>
          <w:bCs/>
          <w:color w:val="000000"/>
          <w:kern w:val="0"/>
          <w:sz w:val="36"/>
          <w:szCs w:val="36"/>
        </w:rPr>
        <w:t xml:space="preserve"> of EMC laboratory</w:t>
      </w:r>
    </w:p>
    <w:p>
      <w:pPr>
        <w:jc w:val="center"/>
        <w:rPr>
          <w:rFonts w:ascii="Arial" w:eastAsia="楷体_GB2312" w:hAnsi="Arial" w:cs="Arial"/>
          <w:b/>
          <w:sz w:val="18"/>
          <w:szCs w:val="18"/>
          <w:highlight w:val="yellow"/>
        </w:rPr>
      </w:pPr>
      <w:r>
        <w:rPr>
          <w:rFonts w:asciiTheme="minorEastAsia" w:hAnsiTheme="minorEastAsia" w:cs="Times New Roman" w:hint="eastAsia"/>
          <w:color w:val="000000"/>
          <w:kern w:val="0"/>
          <w:sz w:val="18"/>
          <w:szCs w:val="18"/>
        </w:rPr>
        <w:t>（征求意见稿）</w:t>
      </w: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p>
    <w:p>
      <w:pPr>
        <w:jc w:val="center"/>
        <w:rPr>
          <w:rFonts w:ascii="Arial" w:eastAsia="楷体_GB2312" w:hAnsi="Arial" w:cs="Arial"/>
          <w:b/>
          <w:sz w:val="18"/>
          <w:szCs w:val="18"/>
          <w:highlight w:val="yellow"/>
        </w:rPr>
      </w:pPr>
      <w:r>
        <w:t xml:space="preserve"> </w:t>
      </w:r>
      <w:r>
        <w:rPr>
          <w:rFonts w:hint="eastAsia"/>
          <w:sz w:val="32"/>
          <w:szCs w:val="32"/>
        </w:rPr>
        <w:t>中国合格评定国家认可委员会</w:t>
      </w:r>
    </w:p>
    <w:p>
      <w:pPr>
        <w:autoSpaceDE w:val="0"/>
        <w:autoSpaceDN w:val="0"/>
        <w:adjustRightInd w:val="0"/>
        <w:spacing w:line="360" w:lineRule="auto"/>
        <w:jc w:val="center"/>
        <w:rPr>
          <w:rFonts w:ascii="黑体铫.籡.." w:eastAsia="黑体铫.籡.." w:cs="黑体铫.籡.."/>
          <w:color w:val="000000"/>
          <w:kern w:val="0"/>
          <w:sz w:val="28"/>
          <w:szCs w:val="28"/>
        </w:rPr>
        <w:sectPr>
          <w:headerReference w:type="default" r:id="rId8"/>
          <w:footerReference w:type="default" r:id="rId9"/>
          <w:headerReference w:type="first" r:id="rId10"/>
          <w:footerReference w:type="first" r:id="rId11"/>
          <w:pgSz w:w="11906" w:h="16838"/>
          <w:pgMar w:top="1418" w:right="1418" w:bottom="1418" w:left="1701" w:header="851" w:footer="992" w:gutter="0"/>
          <w:pgNumType w:start="1"/>
          <w:cols w:num="1" w:space="425"/>
          <w:titlePg/>
          <w:docGrid w:linePitch="312" w:charSpace="0"/>
        </w:sectPr>
      </w:pPr>
    </w:p>
    <w:p>
      <w:pPr>
        <w:widowControl/>
        <w:jc w:val="left"/>
        <w:rPr>
          <w:rFonts w:ascii="Arial" w:eastAsia="楷体_GB2312" w:hAnsi="Arial" w:cs="Arial"/>
          <w:b/>
          <w:szCs w:val="21"/>
        </w:rPr>
      </w:pPr>
    </w:p>
    <w:sdt>
      <w:sdtPr>
        <w:rPr>
          <w:rFonts w:asciiTheme="minorHAnsi" w:eastAsiaTheme="minorEastAsia" w:hAnsiTheme="minorHAnsi" w:cstheme="minorBidi"/>
          <w:b w:val="0"/>
          <w:bCs w:val="0"/>
          <w:color w:val="auto"/>
          <w:kern w:val="2"/>
          <w:sz w:val="21"/>
          <w:szCs w:val="22"/>
          <w:lang w:val="zh-CN"/>
        </w:rPr>
        <w:id w:val="20651851"/>
        <w:showingPlcHdr/>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en-US"/>
        </w:rPr>
      </w:sdtEndPr>
      <w:sdtContent>
        <w:p>
          <w:pPr>
            <w:widowControl/>
            <w:jc w:val="left"/>
            <w:rPr>
              <w:rFonts w:ascii="Arial" w:eastAsia="楷体_GB2312" w:hAnsi="Arial" w:cs="Arial"/>
              <w:b/>
              <w:szCs w:val="21"/>
            </w:rPr>
          </w:pPr>
          <w:bookmarkStart w:id="0" w:name="_GoBack"/>
          <w:bookmarkEnd w:id="0"/>
        </w:p>
      </w:sdtContent>
    </w:sdt>
    <w:p>
      <w:pPr>
        <w:rPr>
          <w:rFonts w:ascii="Arial" w:eastAsia="楷体_GB2312" w:hAnsi="Arial" w:cs="Arial"/>
          <w:b/>
          <w:szCs w:val="21"/>
        </w:rPr>
      </w:pPr>
    </w:p>
    <w:p>
      <w:pPr>
        <w:jc w:val="center"/>
        <w:rPr>
          <w:rFonts w:ascii="黑体" w:eastAsia="黑体" w:hAnsi="黑体" w:cs="黑体铫.籡.."/>
          <w:b/>
          <w:color w:val="000000"/>
          <w:kern w:val="0"/>
          <w:sz w:val="32"/>
          <w:szCs w:val="32"/>
        </w:rPr>
      </w:pPr>
      <w:r>
        <w:rPr>
          <w:rFonts w:ascii="黑体" w:eastAsia="黑体" w:hAnsi="黑体" w:cs="黑体铫.籡.." w:hint="eastAsia"/>
          <w:b/>
          <w:color w:val="000000"/>
          <w:kern w:val="0"/>
          <w:sz w:val="32"/>
          <w:szCs w:val="32"/>
        </w:rPr>
        <w:t>电磁兼容实验室场地确认技术指南</w:t>
      </w:r>
    </w:p>
    <w:p>
      <w:pPr>
        <w:pStyle w:val="Heading1"/>
        <w:numPr>
          <w:ilvl w:val="0"/>
          <w:numId w:val="1"/>
        </w:numPr>
        <w:spacing w:before="240" w:after="240" w:line="240" w:lineRule="auto"/>
        <w:rPr>
          <w:rFonts w:ascii="Times New Roman" w:hAnsi="Times New Roman" w:cs="Times New Roman"/>
          <w:kern w:val="0"/>
          <w:sz w:val="28"/>
          <w:szCs w:val="28"/>
        </w:rPr>
      </w:pPr>
      <w:bookmarkStart w:id="1" w:name="_Toc79135090"/>
      <w:r>
        <w:rPr>
          <w:rFonts w:ascii="Times New Roman" w:hAnsiTheme="minorEastAsia" w:cs="Times New Roman"/>
          <w:kern w:val="0"/>
          <w:sz w:val="28"/>
          <w:szCs w:val="28"/>
        </w:rPr>
        <w:t>适用范围</w:t>
      </w:r>
      <w:bookmarkEnd w:id="1"/>
      <w:r>
        <w:rPr>
          <w:rFonts w:ascii="Times New Roman" w:hAnsi="Times New Roman" w:cs="Times New Roman"/>
          <w:kern w:val="0"/>
          <w:sz w:val="28"/>
          <w:szCs w:val="28"/>
        </w:rPr>
        <w:t xml:space="preserve"> </w:t>
      </w:r>
    </w:p>
    <w:p>
      <w:pPr>
        <w:autoSpaceDE w:val="0"/>
        <w:autoSpaceDN w:val="0"/>
        <w:adjustRightInd w:val="0"/>
        <w:spacing w:line="360" w:lineRule="auto"/>
        <w:ind w:firstLine="480" w:firstLineChars="200"/>
        <w:jc w:val="left"/>
        <w:rPr>
          <w:rFonts w:asciiTheme="minorEastAsia" w:hAnsiTheme="minorEastAsia"/>
          <w:sz w:val="24"/>
          <w:szCs w:val="24"/>
        </w:rPr>
      </w:pPr>
      <w:r>
        <w:rPr>
          <w:rFonts w:asciiTheme="minorEastAsia" w:hAnsiTheme="minorEastAsia" w:cs="Arial"/>
          <w:kern w:val="0"/>
          <w:sz w:val="24"/>
          <w:szCs w:val="24"/>
        </w:rPr>
        <w:t>本文件适用于申请认可和已获认可的实验室</w:t>
      </w:r>
      <w:r>
        <w:rPr>
          <w:rFonts w:asciiTheme="minorEastAsia" w:hAnsiTheme="minorEastAsia" w:cs="Arial" w:hint="eastAsia"/>
          <w:kern w:val="0"/>
          <w:sz w:val="24"/>
          <w:szCs w:val="24"/>
        </w:rPr>
        <w:t>从事电磁兼容EMC测量活动的场地确认要求，也适用于指导评审员对被评审机构EMC场地确认要求的评估和报告。</w:t>
      </w:r>
    </w:p>
    <w:p>
      <w:pPr>
        <w:pStyle w:val="Heading1"/>
        <w:numPr>
          <w:ilvl w:val="0"/>
          <w:numId w:val="1"/>
        </w:numPr>
        <w:spacing w:before="240" w:after="240" w:line="240" w:lineRule="auto"/>
        <w:rPr>
          <w:rFonts w:ascii="Times New Roman" w:hAnsi="Times New Roman" w:cs="Times New Roman"/>
          <w:kern w:val="0"/>
          <w:sz w:val="28"/>
          <w:szCs w:val="28"/>
        </w:rPr>
      </w:pPr>
      <w:bookmarkStart w:id="2" w:name="_Toc79135091"/>
      <w:r>
        <w:rPr>
          <w:rFonts w:ascii="Times New Roman" w:hAnsi="Times New Roman" w:cs="Times New Roman"/>
          <w:kern w:val="0"/>
          <w:sz w:val="28"/>
          <w:szCs w:val="28"/>
        </w:rPr>
        <w:t>引用文件</w:t>
      </w:r>
      <w:bookmarkEnd w:id="2"/>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下列文件中的条款通过引用而成为本文件的条款。请注意使用引用文件的最新版本（包括任何修订）。</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CNAS-CL01《检测和校准实验室能力认可准则》</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CNAS-AL06：2020 实验室认可领域分类</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CNAS-CL01-A008《检测和校准实验室能力认可准则 在电磁兼容检测领域的应用说明》</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GB/T 6113.104-2016</w:t>
      </w:r>
      <w:r>
        <w:rPr>
          <w:rFonts w:ascii="Arial" w:eastAsia="宋体铫.籡.." w:hAnsi="Arial" w:cs="Arial"/>
          <w:kern w:val="0"/>
          <w:sz w:val="23"/>
          <w:szCs w:val="23"/>
        </w:rPr>
        <w:t xml:space="preserve"> </w:t>
      </w:r>
      <w:r>
        <w:rPr>
          <w:rFonts w:ascii="Arial" w:eastAsia="宋体铫.籡.." w:hAnsi="Arial" w:cs="Arial" w:hint="eastAsia"/>
          <w:kern w:val="0"/>
          <w:sz w:val="23"/>
          <w:szCs w:val="23"/>
        </w:rPr>
        <w:t>《无线电骚扰和抗扰度测量设备和测量方法规范 第1-4部分: 无线电骚扰和抗扰度测量设备 辐射骚扰测量用天线和试验场地》</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kern w:val="0"/>
          <w:sz w:val="23"/>
          <w:szCs w:val="23"/>
        </w:rPr>
        <w:t>GB/T 12190-20</w:t>
      </w:r>
      <w:r>
        <w:rPr>
          <w:rFonts w:ascii="Arial" w:eastAsia="宋体铫.籡.." w:hAnsi="Arial" w:cs="Arial" w:hint="eastAsia"/>
          <w:kern w:val="0"/>
          <w:sz w:val="23"/>
          <w:szCs w:val="23"/>
        </w:rPr>
        <w:t>21</w:t>
      </w:r>
      <w:r>
        <w:rPr>
          <w:rFonts w:ascii="Arial" w:eastAsia="宋体铫.籡.." w:hAnsi="Arial" w:cs="Arial"/>
          <w:kern w:val="0"/>
          <w:sz w:val="23"/>
          <w:szCs w:val="23"/>
        </w:rPr>
        <w:t xml:space="preserve"> </w:t>
      </w:r>
      <w:r>
        <w:rPr>
          <w:rFonts w:ascii="Arial" w:eastAsia="宋体铫.籡.." w:hAnsi="Arial" w:cs="Arial" w:hint="eastAsia"/>
          <w:kern w:val="0"/>
          <w:sz w:val="23"/>
          <w:szCs w:val="23"/>
        </w:rPr>
        <w:t>《电磁屏蔽室屏蔽效能的测量方法》</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GB/T 17626.20-2014</w:t>
      </w:r>
      <w:r>
        <w:rPr>
          <w:rFonts w:ascii="Arial" w:eastAsia="宋体铫.籡.." w:hAnsi="Arial" w:cs="Arial"/>
          <w:kern w:val="0"/>
          <w:sz w:val="23"/>
          <w:szCs w:val="23"/>
        </w:rPr>
        <w:t xml:space="preserve"> </w:t>
      </w:r>
      <w:r>
        <w:rPr>
          <w:rFonts w:ascii="Arial" w:eastAsia="宋体铫.籡.." w:hAnsi="Arial" w:cs="Arial" w:hint="eastAsia"/>
          <w:kern w:val="0"/>
          <w:sz w:val="23"/>
          <w:szCs w:val="23"/>
        </w:rPr>
        <w:t>《电磁兼容 试验和测量技术 横电磁波（TEM）波导中的发射和抗扰度试验》</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GB/T 17626.3-2016</w:t>
      </w:r>
      <w:r>
        <w:rPr>
          <w:rFonts w:ascii="Arial" w:eastAsia="宋体铫.籡.." w:hAnsi="Arial" w:cs="Arial"/>
          <w:kern w:val="0"/>
          <w:sz w:val="23"/>
          <w:szCs w:val="23"/>
        </w:rPr>
        <w:t xml:space="preserve"> </w:t>
      </w:r>
      <w:r>
        <w:rPr>
          <w:rFonts w:ascii="Arial" w:eastAsia="宋体铫.籡.." w:hAnsi="Arial" w:cs="Arial" w:hint="eastAsia"/>
          <w:kern w:val="0"/>
          <w:sz w:val="23"/>
          <w:szCs w:val="23"/>
        </w:rPr>
        <w:t>《电磁兼容 试验和测量技术 射频电磁场辐射抗扰度试验》</w:t>
      </w:r>
    </w:p>
    <w:p>
      <w:pPr>
        <w:pStyle w:val="Heading1"/>
        <w:numPr>
          <w:ilvl w:val="0"/>
          <w:numId w:val="1"/>
        </w:numPr>
        <w:spacing w:before="240" w:after="240" w:line="240" w:lineRule="auto"/>
        <w:rPr>
          <w:rFonts w:ascii="Times New Roman" w:hAnsi="Times New Roman" w:cs="Times New Roman"/>
          <w:kern w:val="0"/>
          <w:sz w:val="28"/>
          <w:szCs w:val="28"/>
        </w:rPr>
      </w:pPr>
      <w:bookmarkStart w:id="3" w:name="_Toc79135092"/>
      <w:r>
        <w:rPr>
          <w:rFonts w:ascii="Times New Roman" w:hAnsi="Times New Roman" w:cs="Times New Roman" w:hint="eastAsia"/>
          <w:kern w:val="0"/>
          <w:sz w:val="28"/>
          <w:szCs w:val="28"/>
        </w:rPr>
        <w:t>术语、定义和符号</w:t>
      </w:r>
      <w:bookmarkEnd w:id="3"/>
    </w:p>
    <w:p>
      <w:pPr>
        <w:pStyle w:val="Heading2"/>
        <w:numPr>
          <w:ilvl w:val="1"/>
          <w:numId w:val="1"/>
        </w:numPr>
        <w:spacing w:before="120" w:after="120" w:line="240" w:lineRule="auto"/>
        <w:rPr>
          <w:rFonts w:ascii="Times New Roman" w:eastAsiaTheme="minorEastAsia" w:hAnsiTheme="minorEastAsia" w:cs="Times New Roman"/>
          <w:kern w:val="0"/>
          <w:sz w:val="24"/>
          <w:szCs w:val="24"/>
        </w:rPr>
      </w:pPr>
      <w:bookmarkStart w:id="4" w:name="_Toc79135093"/>
      <w:r>
        <w:rPr>
          <w:rFonts w:ascii="Times New Roman" w:eastAsiaTheme="minorEastAsia" w:hAnsiTheme="minorEastAsia" w:cs="Times New Roman"/>
          <w:kern w:val="0"/>
          <w:sz w:val="24"/>
          <w:szCs w:val="24"/>
        </w:rPr>
        <w:t>术语、定义</w:t>
      </w:r>
      <w:bookmarkEnd w:id="4"/>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为便于理解，给出几个重要的术语定义如下：</w:t>
      </w:r>
    </w:p>
    <w:p>
      <w:pPr>
        <w:pStyle w:val="ListParagraph"/>
        <w:numPr>
          <w:ilvl w:val="0"/>
          <w:numId w:val="2"/>
        </w:numPr>
        <w:autoSpaceDE w:val="0"/>
        <w:autoSpaceDN w:val="0"/>
        <w:adjustRightInd w:val="0"/>
        <w:spacing w:line="360" w:lineRule="auto"/>
        <w:ind w:left="480" w:hanging="480" w:hangingChars="200"/>
        <w:jc w:val="left"/>
        <w:rPr>
          <w:rFonts w:ascii="Arial" w:hAnsi="Arial" w:cs="Arial"/>
          <w:kern w:val="0"/>
          <w:sz w:val="24"/>
          <w:szCs w:val="24"/>
        </w:rPr>
      </w:pPr>
      <w:r>
        <w:rPr>
          <w:rFonts w:ascii="Arial" w:hAnsi="Arial" w:cs="Arial" w:hint="eastAsia"/>
          <w:kern w:val="0"/>
          <w:sz w:val="24"/>
          <w:szCs w:val="24"/>
        </w:rPr>
        <w:t xml:space="preserve">场地衰减 site attenuation </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当一副天线在规定的高度范围内垂直移动，另外一副天线架设在固定高度时，位于试验场地上的这两幅极化匹配的天线之间测得的最小的场地插入损耗。 （场地插入损耗是指当信号发生器的输出与接收机之间的直接电气连接被放在试验场地规定位置上的发射天线和接收天线所代替时，传输信号在该对天线之间的损耗。）</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GB/T 6113.104-2016，术语 3.1.17 ]</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sectPr>
          <w:headerReference w:type="default" r:id="rId12"/>
          <w:footerReference w:type="default" r:id="rId13"/>
          <w:headerReference w:type="first" r:id="rId14"/>
          <w:footerReference w:type="first" r:id="rId15"/>
          <w:type w:val="nextPage"/>
          <w:pgSz w:w="11906" w:h="16838"/>
          <w:pgMar w:top="1418" w:right="1418" w:bottom="1418" w:left="1701" w:header="851" w:footer="992" w:gutter="0"/>
          <w:pgNumType w:start="2"/>
          <w:cols w:num="1" w:space="425"/>
          <w:titlePg w:val="0"/>
          <w:docGrid w:linePitch="312" w:charSpace="0"/>
        </w:sectPr>
      </w:pPr>
      <w:r>
        <w:rPr>
          <w:rFonts w:ascii="Arial" w:eastAsia="宋体铫.籡.." w:hAnsi="Arial" w:cs="Arial" w:hint="eastAsia"/>
          <w:kern w:val="0"/>
          <w:sz w:val="23"/>
          <w:szCs w:val="23"/>
        </w:rPr>
        <w:t xml:space="preserve">全电波暗室 fully anechoic room；FAR </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xml:space="preserve">内表面装有射频吸波材料（也就是RF吸收器）的屏蔽室，该吸波材料能够吸收所关注的频率范围内的电磁能量。 </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GB/T 6113.104-2016，术语 3.1.7 ]</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半电波暗室 semi-anechoic chamber; SAC</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除金属地面外其余内表面装有吸波材料（即射频吸收器）的屏蔽室，该吸波材料能够吸收所关注频率范围内的电磁能量。</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GB/T 6113.104-2016，术语 3.1.15 ]</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开阔试验场 open-area test site； OATS</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用来测量电磁场的设施，意在模拟一个特定频率范围的半自由空间环境，用于产品的辐射发射测试。</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屏蔽室 shielded room；</w:t>
      </w:r>
      <w:r>
        <w:rPr>
          <w:rFonts w:ascii="Arial" w:eastAsia="宋体铫.籡.." w:hAnsi="Arial" w:cs="Arial"/>
          <w:kern w:val="0"/>
          <w:sz w:val="23"/>
          <w:szCs w:val="23"/>
        </w:rPr>
        <w:t>shielding enclosure</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使内部不受外界电场、磁场的影响或使外部不受其内部电场、磁场影响的一种结构。</w:t>
      </w:r>
    </w:p>
    <w:p>
      <w:pPr>
        <w:autoSpaceDE w:val="0"/>
        <w:autoSpaceDN w:val="0"/>
        <w:adjustRightInd w:val="0"/>
        <w:spacing w:line="360" w:lineRule="auto"/>
        <w:ind w:firstLine="440" w:firstLineChars="200"/>
        <w:jc w:val="left"/>
        <w:rPr>
          <w:rFonts w:ascii="Arial" w:eastAsia="宋体铫.籡.." w:hAnsi="Arial" w:cs="Arial"/>
          <w:kern w:val="0"/>
          <w:sz w:val="22"/>
          <w:szCs w:val="23"/>
        </w:rPr>
      </w:pPr>
      <w:r>
        <w:rPr>
          <w:rFonts w:ascii="Arial" w:eastAsia="宋体铫.籡.." w:hAnsi="Arial" w:cs="Arial" w:hint="eastAsia"/>
          <w:kern w:val="0"/>
          <w:sz w:val="22"/>
          <w:szCs w:val="23"/>
        </w:rPr>
        <w:t>注：它通常由金属材料建成，在金属板接缝和门等处采取一定的措施以保证连续的电连接。高性能的屏蔽室在不同频率可以将电场、磁场抑制一到七个数量级。</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w:t>
      </w:r>
      <w:r>
        <w:rPr>
          <w:rFonts w:ascii="Arial" w:eastAsia="宋体铫.籡.." w:hAnsi="Arial" w:cs="Arial"/>
          <w:kern w:val="0"/>
          <w:sz w:val="23"/>
          <w:szCs w:val="23"/>
        </w:rPr>
        <w:t>GB/T 12190-20</w:t>
      </w:r>
      <w:r>
        <w:rPr>
          <w:rFonts w:ascii="Arial" w:eastAsia="宋体铫.籡.." w:hAnsi="Arial" w:cs="Arial" w:hint="eastAsia"/>
          <w:kern w:val="0"/>
          <w:sz w:val="23"/>
          <w:szCs w:val="23"/>
        </w:rPr>
        <w:t>21，术语3.6</w:t>
      </w:r>
      <w:r>
        <w:rPr>
          <w:rFonts w:ascii="Arial" w:eastAsia="宋体铫.籡.." w:hAnsi="Arial" w:cs="Arial"/>
          <w:kern w:val="0"/>
          <w:sz w:val="23"/>
          <w:szCs w:val="23"/>
        </w:rPr>
        <w:t>]</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带状线 stripline</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两个或更多的平行板构成的带终端负载的传输线，电磁波在平行板之间以TEM模传输以产生满足试验要求的特定场。</w:t>
      </w:r>
    </w:p>
    <w:p>
      <w:pPr>
        <w:autoSpaceDE w:val="0"/>
        <w:autoSpaceDN w:val="0"/>
        <w:adjustRightInd w:val="0"/>
        <w:spacing w:line="360" w:lineRule="auto"/>
        <w:ind w:firstLine="400" w:firstLineChars="200"/>
        <w:jc w:val="left"/>
        <w:rPr>
          <w:rFonts w:ascii="Arial" w:eastAsia="宋体铫.籡.." w:hAnsi="Arial" w:cs="Arial"/>
          <w:kern w:val="0"/>
          <w:sz w:val="23"/>
          <w:szCs w:val="23"/>
        </w:rPr>
      </w:pPr>
      <w:r>
        <w:rPr>
          <w:rFonts w:ascii="Arial" w:eastAsia="宋体铫.籡.." w:hAnsi="Arial" w:cs="Arial" w:hint="eastAsia"/>
          <w:kern w:val="0"/>
          <w:sz w:val="20"/>
          <w:szCs w:val="23"/>
        </w:rPr>
        <w:t>注：带状线的侧面通常是开放的，以便EUT进出和监视。</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GB/T 17626.20-2014，术语3.1.6 ]</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横电磁波室 transverse electromagnetic cell; TEM cell</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封闭的TEM波导，通常是一个矩形同轴线。电磁波在其中以TEM模传输以产生满足试验需要的特定场，外导体完全包含内导体。</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 GB/T 17626.20-2014，术语3.1.3 ]</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吉赫兹横电磁波 gigahertz transverse electromagnetic; GTEM</w:t>
      </w:r>
    </w:p>
    <w:p>
      <w:pPr>
        <w:pStyle w:val="ListParagraph"/>
        <w:autoSpaceDE w:val="0"/>
        <w:autoSpaceDN w:val="0"/>
        <w:adjustRightInd w:val="0"/>
        <w:spacing w:line="360" w:lineRule="auto"/>
        <w:ind w:left="46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上限频率范围扩展至G</w:t>
      </w:r>
      <w:r>
        <w:rPr>
          <w:rFonts w:ascii="Arial" w:eastAsia="宋体铫.籡.." w:hAnsi="Arial" w:cs="Arial"/>
          <w:kern w:val="0"/>
          <w:sz w:val="23"/>
          <w:szCs w:val="23"/>
        </w:rPr>
        <w:t>H</w:t>
      </w:r>
      <w:r>
        <w:rPr>
          <w:rFonts w:ascii="Arial" w:eastAsia="宋体铫.籡.." w:hAnsi="Arial" w:cs="Arial" w:hint="eastAsia"/>
          <w:kern w:val="0"/>
          <w:sz w:val="23"/>
          <w:szCs w:val="23"/>
        </w:rPr>
        <w:t>z的T</w:t>
      </w:r>
      <w:r>
        <w:rPr>
          <w:rFonts w:ascii="Arial" w:eastAsia="宋体铫.籡.." w:hAnsi="Arial" w:cs="Arial"/>
          <w:kern w:val="0"/>
          <w:sz w:val="23"/>
          <w:szCs w:val="23"/>
        </w:rPr>
        <w:t>EM</w:t>
      </w:r>
      <w:r>
        <w:rPr>
          <w:rFonts w:ascii="Arial" w:eastAsia="宋体铫.籡.." w:hAnsi="Arial" w:cs="Arial" w:hint="eastAsia"/>
          <w:kern w:val="0"/>
          <w:sz w:val="23"/>
          <w:szCs w:val="23"/>
        </w:rPr>
        <w:t>波导室。</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混波室（混响室） reverberation chamber</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专门设计的具有相当长混波时间的小室。专门设计成具有较长混波时间，以便让场尽量扩散的（混波室）小室。</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sectPr>
          <w:headerReference w:type="default" r:id="rId16"/>
          <w:footerReference w:type="default" r:id="rId17"/>
          <w:headerReference w:type="first" r:id="rId18"/>
          <w:footerReference w:type="first" r:id="rId19"/>
          <w:type w:val="nextPage"/>
          <w:pgSz w:w="11906" w:h="16838"/>
          <w:pgMar w:top="1418" w:right="1418" w:bottom="1418" w:left="1701" w:header="851" w:footer="992" w:gutter="0"/>
          <w:pgNumType w:start="3"/>
          <w:cols w:num="1" w:space="425"/>
          <w:titlePg w:val="0"/>
          <w:docGrid w:linePitch="312" w:charSpace="0"/>
        </w:sectPr>
      </w:pPr>
      <w:r>
        <w:rPr>
          <w:rFonts w:ascii="Arial" w:eastAsia="宋体铫.籡.." w:hAnsi="Arial" w:cs="Arial" w:hint="eastAsia"/>
          <w:kern w:val="0"/>
          <w:sz w:val="23"/>
          <w:szCs w:val="23"/>
        </w:rPr>
        <w:t>（混波室的）品质因数 quality factor；Q</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（品质因数）对于谐振频率下的谐振电路，最大储存能量与一周期内消耗能量之比的2π倍。衡量混波室储能的能力。</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kern w:val="0"/>
          <w:sz w:val="23"/>
          <w:szCs w:val="23"/>
        </w:rPr>
        <w:t>屏蔽效能（SE）shielding effectiveness(SE)</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没有屏蔽体时接收到的信号值与在屏蔽体内接收到的信号值的比值，即发射天线与接收天线之间存在屏蔽体以后所造成的插入损耗。</w:t>
      </w:r>
    </w:p>
    <w:p>
      <w:pPr>
        <w:pStyle w:val="ListParagraph"/>
        <w:numPr>
          <w:ilvl w:val="0"/>
          <w:numId w:val="2"/>
        </w:numPr>
        <w:autoSpaceDE w:val="0"/>
        <w:autoSpaceDN w:val="0"/>
        <w:adjustRightInd w:val="0"/>
        <w:spacing w:line="360" w:lineRule="auto"/>
        <w:ind w:left="460" w:hanging="460" w:hangingChars="200"/>
        <w:jc w:val="left"/>
        <w:rPr>
          <w:rFonts w:ascii="Arial" w:eastAsia="宋体铫.籡.." w:hAnsi="Arial" w:cs="Arial"/>
          <w:kern w:val="0"/>
          <w:sz w:val="23"/>
          <w:szCs w:val="23"/>
        </w:rPr>
      </w:pPr>
      <w:r>
        <w:rPr>
          <w:rFonts w:ascii="Arial" w:eastAsia="宋体铫.籡.." w:hAnsi="Arial" w:cs="Arial" w:hint="eastAsia"/>
          <w:color w:val="000000" w:themeColor="text1"/>
          <w:kern w:val="0"/>
          <w:sz w:val="23"/>
          <w:szCs w:val="23"/>
          <w14:textFill>
            <w14:solidFill>
              <w14:schemeClr w14:val="tx1"/>
            </w14:solidFill>
          </w14:textFill>
        </w:rPr>
        <w:t xml:space="preserve">均匀场域 </w:t>
      </w:r>
      <w:r>
        <w:rPr>
          <w:rFonts w:ascii="Arial" w:eastAsia="宋体铫.籡.." w:hAnsi="Arial" w:cs="Arial" w:hint="eastAsia"/>
          <w:kern w:val="0"/>
          <w:sz w:val="23"/>
          <w:szCs w:val="23"/>
        </w:rPr>
        <w:t>uniform field area; UFA</w:t>
      </w:r>
    </w:p>
    <w:p>
      <w:pPr>
        <w:pStyle w:val="ListParagraph"/>
        <w:autoSpaceDE w:val="0"/>
        <w:autoSpaceDN w:val="0"/>
        <w:adjustRightInd w:val="0"/>
        <w:spacing w:line="360" w:lineRule="auto"/>
        <w:ind w:left="46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场校准的假想垂直平面，在该平面内场强的变化足够小。</w:t>
      </w:r>
    </w:p>
    <w:p>
      <w:pPr>
        <w:pStyle w:val="ListParagraph"/>
        <w:autoSpaceDE w:val="0"/>
        <w:autoSpaceDN w:val="0"/>
        <w:adjustRightInd w:val="0"/>
        <w:spacing w:line="360" w:lineRule="auto"/>
        <w:ind w:left="46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场校准的目的在于确保试验结果的有效性。</w:t>
      </w:r>
    </w:p>
    <w:p>
      <w:pPr>
        <w:pStyle w:val="ListParagraph"/>
        <w:autoSpaceDE w:val="0"/>
        <w:autoSpaceDN w:val="0"/>
        <w:adjustRightInd w:val="0"/>
        <w:spacing w:line="360" w:lineRule="auto"/>
        <w:ind w:left="46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 GB/T 17626.3-2016，术语3.27 ]</w:t>
      </w:r>
    </w:p>
    <w:p>
      <w:pPr>
        <w:pStyle w:val="Heading2"/>
        <w:numPr>
          <w:ilvl w:val="1"/>
          <w:numId w:val="1"/>
        </w:numPr>
        <w:spacing w:before="120" w:after="120" w:line="240" w:lineRule="auto"/>
        <w:rPr>
          <w:rFonts w:ascii="Times New Roman" w:hAnsi="Times New Roman" w:eastAsiaTheme="minorEastAsia" w:cs="Times New Roman"/>
          <w:kern w:val="0"/>
          <w:sz w:val="24"/>
          <w:szCs w:val="24"/>
        </w:rPr>
      </w:pPr>
      <w:bookmarkStart w:id="5" w:name="_Toc79135094"/>
      <w:r>
        <w:rPr>
          <w:rFonts w:ascii="Times New Roman" w:hAnsi="Times New Roman" w:eastAsiaTheme="minorEastAsia" w:cs="Times New Roman" w:hint="eastAsia"/>
          <w:kern w:val="0"/>
          <w:sz w:val="24"/>
          <w:szCs w:val="24"/>
        </w:rPr>
        <w:t>通用符号</w:t>
      </w:r>
      <w:bookmarkEnd w:id="5"/>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SA：场地衰减</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NSA：归一化场地衰减</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AF：天线系数</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S</w:t>
      </w:r>
      <w:r>
        <w:rPr>
          <w:rFonts w:ascii="Arial" w:eastAsia="宋体铫.籡.." w:hAnsi="Arial" w:cs="Arial"/>
          <w:kern w:val="0"/>
          <w:sz w:val="23"/>
          <w:szCs w:val="23"/>
          <w:vertAlign w:val="subscript"/>
        </w:rPr>
        <w:t>VSWR</w:t>
      </w:r>
      <w:r>
        <w:rPr>
          <w:rFonts w:ascii="Arial" w:eastAsia="宋体铫.籡.." w:hAnsi="Arial" w:cs="Arial" w:hint="eastAsia"/>
          <w:kern w:val="0"/>
          <w:sz w:val="23"/>
          <w:szCs w:val="23"/>
        </w:rPr>
        <w:t>：场地电压驻波比</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FU：均匀场域</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AN：环境本底噪声</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SE：屏蔽效能</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SAC：半电波暗室</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FAR：全电波暗室</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SR：屏蔽室</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OATS：开阔试验场</w:t>
      </w:r>
    </w:p>
    <w:p>
      <w:pPr>
        <w:pStyle w:val="Heading1"/>
        <w:numPr>
          <w:ilvl w:val="0"/>
          <w:numId w:val="1"/>
        </w:numPr>
        <w:spacing w:before="240" w:after="240" w:line="240" w:lineRule="auto"/>
        <w:rPr>
          <w:rFonts w:ascii="Times New Roman" w:hAnsi="Times New Roman" w:cs="Times New Roman"/>
          <w:kern w:val="0"/>
          <w:sz w:val="28"/>
          <w:szCs w:val="28"/>
        </w:rPr>
      </w:pPr>
      <w:bookmarkStart w:id="6" w:name="_Toc79135095"/>
      <w:r>
        <w:rPr>
          <w:rFonts w:ascii="Times New Roman" w:hAnsi="Times New Roman" w:cs="Times New Roman" w:hint="eastAsia"/>
          <w:kern w:val="0"/>
          <w:sz w:val="28"/>
          <w:szCs w:val="28"/>
        </w:rPr>
        <w:t>针对不同产品领域的EMC场地确认项目</w:t>
      </w:r>
      <w:bookmarkEnd w:id="6"/>
    </w:p>
    <w:p>
      <w:pPr>
        <w:pStyle w:val="Heading2"/>
        <w:numPr>
          <w:ilvl w:val="0"/>
          <w:numId w:val="3"/>
        </w:numPr>
        <w:spacing w:before="120" w:after="120" w:line="240" w:lineRule="auto"/>
        <w:rPr>
          <w:rFonts w:ascii="Times New Roman" w:hAnsi="Times New Roman" w:eastAsiaTheme="minorEastAsia" w:cs="Times New Roman"/>
          <w:kern w:val="0"/>
          <w:sz w:val="24"/>
          <w:szCs w:val="24"/>
        </w:rPr>
      </w:pPr>
      <w:bookmarkStart w:id="7" w:name="_Toc79135096"/>
      <w:r>
        <w:rPr>
          <w:rFonts w:ascii="Times New Roman" w:hAnsi="Times New Roman" w:eastAsiaTheme="minorEastAsia" w:cs="Times New Roman" w:hint="eastAsia"/>
          <w:kern w:val="0"/>
          <w:sz w:val="24"/>
          <w:szCs w:val="24"/>
        </w:rPr>
        <w:t>概述</w:t>
      </w:r>
      <w:bookmarkEnd w:id="7"/>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参照CNAS-AL06:2020《实验室认可领域分类》及CNAS-CL01-A008《检测和校准实验室能力认可准则 在电磁兼容检测领域的应用说明》文件将电磁兼容领域涉及的产品大类，归类到民标产品、汽车产品、专用电子、电气和机电设备及系统和通信产品四类，对其适用的场地分别进行场地确认要求说明。</w:t>
      </w:r>
    </w:p>
    <w:p>
      <w:pPr>
        <w:autoSpaceDE w:val="0"/>
        <w:autoSpaceDN w:val="0"/>
        <w:adjustRightInd w:val="0"/>
        <w:spacing w:line="360" w:lineRule="auto"/>
        <w:ind w:firstLine="440" w:firstLineChars="200"/>
        <w:jc w:val="left"/>
        <w:rPr>
          <w:rFonts w:ascii="Arial" w:eastAsia="宋体铫.籡.." w:hAnsi="Arial" w:cs="Arial"/>
          <w:kern w:val="0"/>
          <w:sz w:val="22"/>
          <w:szCs w:val="23"/>
        </w:rPr>
        <w:sectPr>
          <w:headerReference w:type="default" r:id="rId20"/>
          <w:footerReference w:type="default" r:id="rId21"/>
          <w:headerReference w:type="first" r:id="rId22"/>
          <w:footerReference w:type="first" r:id="rId23"/>
          <w:type w:val="nextPage"/>
          <w:pgSz w:w="11906" w:h="16838"/>
          <w:pgMar w:top="1418" w:right="1418" w:bottom="1418" w:left="1701" w:header="851" w:footer="992" w:gutter="0"/>
          <w:pgNumType w:start="4"/>
          <w:cols w:num="1" w:space="425"/>
          <w:titlePg w:val="0"/>
          <w:docGrid w:linePitch="312" w:charSpace="0"/>
        </w:sectPr>
      </w:pPr>
      <w:r>
        <w:rPr>
          <w:rFonts w:ascii="Arial" w:eastAsia="宋体铫.籡.." w:hAnsi="Arial" w:cs="Arial" w:hint="eastAsia"/>
          <w:kern w:val="0"/>
          <w:sz w:val="22"/>
          <w:szCs w:val="23"/>
        </w:rPr>
        <w:t>注：特别需要说明的是，表</w:t>
      </w:r>
      <w:r>
        <w:rPr>
          <w:rFonts w:ascii="Arial" w:eastAsia="宋体铫.籡.." w:hAnsi="Arial" w:cs="Arial"/>
          <w:kern w:val="0"/>
          <w:sz w:val="22"/>
          <w:szCs w:val="23"/>
        </w:rPr>
        <w:t>4.1~4.4</w:t>
      </w:r>
      <w:r>
        <w:rPr>
          <w:rFonts w:ascii="Arial" w:eastAsia="宋体铫.籡.." w:hAnsi="Arial" w:cs="Arial" w:hint="eastAsia"/>
          <w:kern w:val="0"/>
          <w:sz w:val="22"/>
          <w:szCs w:val="23"/>
        </w:rPr>
        <w:t>列出了不同产品类别涉及场地的通用场地确认项目，具体项目及项目指标可能因场地测试用途不同而有所调整。如民标产品的全电波暗室，不用于辐射抗扰度测试，则无需进行均匀场域确认。</w:t>
      </w:r>
    </w:p>
    <w:p>
      <w:pPr>
        <w:pStyle w:val="Heading2"/>
        <w:numPr>
          <w:ilvl w:val="0"/>
          <w:numId w:val="3"/>
        </w:numPr>
        <w:spacing w:before="120" w:after="120" w:line="240" w:lineRule="auto"/>
        <w:rPr>
          <w:rFonts w:ascii="Times New Roman" w:hAnsi="Times New Roman" w:eastAsiaTheme="minorEastAsia" w:cs="Times New Roman"/>
          <w:kern w:val="0"/>
          <w:sz w:val="24"/>
          <w:szCs w:val="24"/>
        </w:rPr>
      </w:pPr>
      <w:bookmarkStart w:id="8" w:name="_Toc79135097"/>
      <w:r>
        <w:rPr>
          <w:rFonts w:ascii="Times New Roman" w:hAnsi="Times New Roman" w:eastAsiaTheme="minorEastAsia" w:cs="Times New Roman" w:hint="eastAsia"/>
          <w:kern w:val="0"/>
          <w:sz w:val="24"/>
          <w:szCs w:val="24"/>
        </w:rPr>
        <w:t>民标产品场地确认项目</w:t>
      </w:r>
      <w:bookmarkEnd w:id="8"/>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民标产品的场地确认项目见表4.1。</w:t>
      </w:r>
    </w:p>
    <w:p>
      <w:pPr>
        <w:autoSpaceDE w:val="0"/>
        <w:autoSpaceDN w:val="0"/>
        <w:adjustRightInd w:val="0"/>
        <w:spacing w:line="360" w:lineRule="auto"/>
        <w:ind w:firstLine="460" w:firstLineChars="200"/>
        <w:jc w:val="center"/>
        <w:rPr>
          <w:rFonts w:ascii="Arial" w:eastAsia="宋体铫.籡.." w:hAnsi="Arial" w:cs="Arial"/>
          <w:kern w:val="0"/>
          <w:sz w:val="23"/>
          <w:szCs w:val="23"/>
        </w:rPr>
      </w:pPr>
      <w:r>
        <w:rPr>
          <w:rFonts w:ascii="Arial" w:eastAsia="宋体铫.籡.." w:hAnsi="Arial" w:cs="Arial" w:hint="eastAsia"/>
          <w:kern w:val="0"/>
          <w:sz w:val="23"/>
          <w:szCs w:val="23"/>
        </w:rPr>
        <w:t>表4.1- 民标产品场地确认项目</w:t>
      </w:r>
    </w:p>
    <w:tbl>
      <w:tblPr>
        <w:tblStyle w:val="TableNormal"/>
        <w:tblW w:w="5000" w:type="pct"/>
        <w:tblInd w:w="0" w:type="dxa"/>
        <w:tblCellMar>
          <w:top w:w="0" w:type="dxa"/>
          <w:left w:w="108" w:type="dxa"/>
          <w:bottom w:w="0" w:type="dxa"/>
          <w:right w:w="108" w:type="dxa"/>
        </w:tblCellMar>
      </w:tblPr>
      <w:tblGrid>
        <w:gridCol w:w="1129"/>
        <w:gridCol w:w="1690"/>
        <w:gridCol w:w="1355"/>
        <w:gridCol w:w="4603"/>
      </w:tblGrid>
      <w:tr>
        <w:tblPrEx>
          <w:tblW w:w="5000" w:type="pct"/>
          <w:tblInd w:w="0" w:type="dxa"/>
          <w:tblCellMar>
            <w:top w:w="0" w:type="dxa"/>
            <w:left w:w="108" w:type="dxa"/>
            <w:bottom w:w="0" w:type="dxa"/>
            <w:right w:w="108" w:type="dxa"/>
          </w:tblCellMar>
        </w:tblPrEx>
        <w:trPr>
          <w:trHeight w:val="705"/>
        </w:trPr>
        <w:tc>
          <w:tcPr>
            <w:tcW w:w="643" w:type="pct"/>
            <w:tcBorders>
              <w:top w:val="single" w:sz="4" w:space="0" w:color="auto"/>
              <w:left w:val="single" w:sz="4" w:space="0" w:color="auto"/>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产品类别</w:t>
            </w:r>
          </w:p>
        </w:tc>
        <w:tc>
          <w:tcPr>
            <w:tcW w:w="963"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产品代码</w:t>
            </w:r>
          </w:p>
        </w:tc>
        <w:tc>
          <w:tcPr>
            <w:tcW w:w="772"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涉及场地</w:t>
            </w:r>
          </w:p>
        </w:tc>
        <w:tc>
          <w:tcPr>
            <w:tcW w:w="2623"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场地确认项目</w:t>
            </w:r>
          </w:p>
        </w:tc>
      </w:tr>
      <w:tr>
        <w:tblPrEx>
          <w:tblW w:w="5000" w:type="pct"/>
          <w:tblInd w:w="0" w:type="dxa"/>
          <w:tblCellMar>
            <w:top w:w="0" w:type="dxa"/>
            <w:left w:w="108" w:type="dxa"/>
            <w:bottom w:w="0" w:type="dxa"/>
            <w:right w:w="108" w:type="dxa"/>
          </w:tblCellMar>
        </w:tblPrEx>
        <w:trPr>
          <w:trHeight w:val="660"/>
        </w:trPr>
        <w:tc>
          <w:tcPr>
            <w:tcW w:w="64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民标产品</w:t>
            </w:r>
          </w:p>
        </w:tc>
        <w:tc>
          <w:tcPr>
            <w:tcW w:w="96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信息技术设备（1201&amp;1202）</w:t>
            </w:r>
            <w:r>
              <w:rPr>
                <w:rFonts w:ascii="华文仿宋" w:eastAsia="华文仿宋" w:hAnsi="华文仿宋" w:cs="宋体" w:hint="eastAsia"/>
                <w:color w:val="000000"/>
                <w:kern w:val="0"/>
                <w:sz w:val="22"/>
              </w:rPr>
              <w:br/>
            </w:r>
            <w:r>
              <w:rPr>
                <w:rFonts w:ascii="华文仿宋" w:eastAsia="华文仿宋" w:hAnsi="华文仿宋" w:cs="宋体" w:hint="eastAsia"/>
                <w:color w:val="000000"/>
                <w:kern w:val="0"/>
                <w:sz w:val="22"/>
              </w:rPr>
              <w:t>音视频设备（1203&amp;1204） 家用电器、电动工具、照明电气（1205&amp;1206）医疗设备（1207&amp;1208）工业、科学和医疗设备（1209&amp;1210）一般电子电气产品（1223）轨道交通的车辆、装置和设备（1215）</w:t>
            </w: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屏蔽效能、接地电阻、绝缘电阻、环境噪声电平</w:t>
            </w:r>
          </w:p>
        </w:tc>
      </w:tr>
      <w:tr>
        <w:tblPrEx>
          <w:tblW w:w="5000" w:type="pct"/>
          <w:tblInd w:w="0" w:type="dxa"/>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半电波暗室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屏蔽效能、接地电阻、绝缘电阻、归一化场地衰减、场地电压驻波比、场均匀性、辐射发射测试桌的影响评估、环境噪声电平</w:t>
            </w:r>
          </w:p>
        </w:tc>
      </w:tr>
      <w:tr>
        <w:tblPrEx>
          <w:tblW w:w="5000" w:type="pct"/>
          <w:tblInd w:w="0" w:type="dxa"/>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全电波暗室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屏蔽效能、接地电阻、绝缘电阻、归一化场地衰减、场地电压驻波比、场均匀性、辐射发射测试桌的影响评估、环境噪声电平</w:t>
            </w:r>
          </w:p>
        </w:tc>
      </w:tr>
      <w:tr>
        <w:tblPrEx>
          <w:tblW w:w="5000" w:type="pct"/>
          <w:tblInd w:w="0" w:type="dxa"/>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开阔试验场</w:t>
            </w:r>
          </w:p>
        </w:tc>
        <w:tc>
          <w:tcPr>
            <w:tcW w:w="2623"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归一化场地衰减、环境噪声电平</w:t>
            </w:r>
          </w:p>
        </w:tc>
      </w:tr>
      <w:tr>
        <w:tblPrEx>
          <w:tblW w:w="5000" w:type="pct"/>
          <w:tblInd w:w="0" w:type="dxa"/>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混波室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场均匀性、品质因数（Q值）、时间常数、混波室加载系数（CLF）</w:t>
            </w:r>
          </w:p>
        </w:tc>
      </w:tr>
      <w:tr>
        <w:tblPrEx>
          <w:tblW w:w="5000" w:type="pct"/>
          <w:tblInd w:w="0" w:type="dxa"/>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横电磁波室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模的验证、屏蔽效能</w:t>
            </w:r>
          </w:p>
        </w:tc>
      </w:tr>
      <w:tr>
        <w:tblPrEx>
          <w:tblW w:w="5000" w:type="pct"/>
          <w:tblInd w:w="0" w:type="dxa"/>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GTEM小室</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模的验证、屏蔽效能</w:t>
            </w:r>
          </w:p>
        </w:tc>
      </w:tr>
      <w:tr>
        <w:tblPrEx>
          <w:tblW w:w="5000" w:type="pct"/>
          <w:tblInd w:w="0" w:type="dxa"/>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72"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带状线</w:t>
            </w:r>
          </w:p>
        </w:tc>
        <w:tc>
          <w:tcPr>
            <w:tcW w:w="262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阻抗、场均匀性</w:t>
            </w:r>
          </w:p>
        </w:tc>
      </w:tr>
    </w:tbl>
    <w:p>
      <w:pPr>
        <w:pStyle w:val="Heading2"/>
        <w:numPr>
          <w:ilvl w:val="0"/>
          <w:numId w:val="3"/>
        </w:numPr>
        <w:spacing w:before="120" w:after="120" w:line="240" w:lineRule="auto"/>
        <w:rPr>
          <w:rFonts w:ascii="Times New Roman" w:hAnsi="Times New Roman" w:eastAsiaTheme="minorEastAsia" w:cs="Times New Roman"/>
          <w:kern w:val="0"/>
          <w:sz w:val="24"/>
          <w:szCs w:val="24"/>
        </w:rPr>
      </w:pPr>
      <w:bookmarkStart w:id="9" w:name="_Toc79135098"/>
      <w:r>
        <w:rPr>
          <w:rFonts w:ascii="Times New Roman" w:hAnsi="Times New Roman" w:eastAsiaTheme="minorEastAsia" w:cs="Times New Roman" w:hint="eastAsia"/>
          <w:kern w:val="0"/>
          <w:sz w:val="24"/>
          <w:szCs w:val="24"/>
        </w:rPr>
        <w:t>汽车产品场地确认项目</w:t>
      </w:r>
      <w:bookmarkEnd w:id="9"/>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汽车产品的场地确认项目见表4.2。</w:t>
      </w:r>
    </w:p>
    <w:p>
      <w:pPr>
        <w:spacing w:line="360" w:lineRule="auto"/>
        <w:jc w:val="center"/>
      </w:pPr>
      <w:r>
        <w:rPr>
          <w:rFonts w:ascii="Arial" w:eastAsia="宋体铫.籡.." w:hAnsi="Arial" w:cs="Arial" w:hint="eastAsia"/>
          <w:kern w:val="0"/>
          <w:sz w:val="23"/>
          <w:szCs w:val="23"/>
        </w:rPr>
        <w:t>表4.2- 汽车产品场地确认项目</w:t>
      </w:r>
    </w:p>
    <w:tbl>
      <w:tblPr>
        <w:tblStyle w:val="TableNormal"/>
        <w:tblW w:w="5000" w:type="pct"/>
        <w:tblInd w:w="0" w:type="dxa"/>
        <w:tblLayout w:type="fixed"/>
        <w:tblCellMar>
          <w:top w:w="0" w:type="dxa"/>
          <w:left w:w="108" w:type="dxa"/>
          <w:bottom w:w="0" w:type="dxa"/>
          <w:right w:w="108" w:type="dxa"/>
        </w:tblCellMar>
      </w:tblPr>
      <w:tblGrid>
        <w:gridCol w:w="1129"/>
        <w:gridCol w:w="1690"/>
        <w:gridCol w:w="1376"/>
        <w:gridCol w:w="4582"/>
      </w:tblGrid>
      <w:tr>
        <w:tblPrEx>
          <w:tblW w:w="5000" w:type="pct"/>
          <w:tblInd w:w="0" w:type="dxa"/>
          <w:tblLayout w:type="fixed"/>
          <w:tblCellMar>
            <w:top w:w="0" w:type="dxa"/>
            <w:left w:w="108" w:type="dxa"/>
            <w:bottom w:w="0" w:type="dxa"/>
            <w:right w:w="108" w:type="dxa"/>
          </w:tblCellMar>
        </w:tblPrEx>
        <w:trPr>
          <w:trHeight w:val="645"/>
        </w:trPr>
        <w:tc>
          <w:tcPr>
            <w:tcW w:w="643" w:type="pct"/>
            <w:tcBorders>
              <w:top w:val="single" w:sz="4" w:space="0" w:color="auto"/>
              <w:left w:val="single" w:sz="4" w:space="0" w:color="auto"/>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产品类别</w:t>
            </w:r>
          </w:p>
        </w:tc>
        <w:tc>
          <w:tcPr>
            <w:tcW w:w="963"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产品代码</w:t>
            </w:r>
          </w:p>
        </w:tc>
        <w:tc>
          <w:tcPr>
            <w:tcW w:w="784"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涉及场地</w:t>
            </w:r>
          </w:p>
        </w:tc>
        <w:tc>
          <w:tcPr>
            <w:tcW w:w="2610"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场地确认项目</w:t>
            </w:r>
          </w:p>
        </w:tc>
      </w:tr>
      <w:tr>
        <w:tblPrEx>
          <w:tblW w:w="5000" w:type="pct"/>
          <w:tblInd w:w="0" w:type="dxa"/>
          <w:tblLayout w:type="fixed"/>
          <w:tblCellMar>
            <w:top w:w="0" w:type="dxa"/>
            <w:left w:w="108" w:type="dxa"/>
            <w:bottom w:w="0" w:type="dxa"/>
            <w:right w:w="108" w:type="dxa"/>
          </w:tblCellMar>
        </w:tblPrEx>
        <w:trPr>
          <w:trHeight w:val="330"/>
        </w:trPr>
        <w:tc>
          <w:tcPr>
            <w:tcW w:w="64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汽车产品</w:t>
            </w:r>
          </w:p>
        </w:tc>
        <w:tc>
          <w:tcPr>
            <w:tcW w:w="96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汽车、摩托车（1211&amp;1212）</w:t>
            </w: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屏蔽效能、接地电阻、绝缘电阻、环境噪声电平</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半电波暗室（整车）</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屏蔽效能、接地电阻、绝缘电阻、归一化场地衰减、场地电压驻波比、场均匀性、环境噪声电平</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半电波暗室（汽车零部件）</w:t>
            </w:r>
          </w:p>
        </w:tc>
        <w:tc>
          <w:tcPr>
            <w:tcW w:w="2610"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屏蔽效能、接地电阻、绝缘电阻、环境噪声电平、长天线法或参考测量法ALSE性能确认、测试桌接地电阻、吸波材料的吸波性能</w:t>
            </w:r>
          </w:p>
        </w:tc>
      </w:tr>
      <w:tr>
        <w:tblPrEx>
          <w:tblW w:w="5000" w:type="pct"/>
          <w:tblInd w:w="0" w:type="dxa"/>
          <w:tblLayout w:type="fixed"/>
          <w:tblCellMar>
            <w:top w:w="0" w:type="dxa"/>
            <w:left w:w="108" w:type="dxa"/>
            <w:bottom w:w="0" w:type="dxa"/>
            <w:right w:w="108" w:type="dxa"/>
          </w:tblCellMar>
        </w:tblPrEx>
        <w:trPr>
          <w:trHeight w:val="33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开阔试验场</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归一化场地衰减、环境噪声电平</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混波室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场均匀性、混波室校准系数（CCF）、混波室加载系数（CLF）</w:t>
            </w:r>
          </w:p>
        </w:tc>
      </w:tr>
      <w:tr>
        <w:tblPrEx>
          <w:tblW w:w="5000" w:type="pct"/>
          <w:tblInd w:w="0" w:type="dxa"/>
          <w:tblLayout w:type="fixed"/>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横电磁波室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模的验证、屏蔽效能</w:t>
            </w:r>
          </w:p>
        </w:tc>
      </w:tr>
      <w:tr>
        <w:tblPrEx>
          <w:tblW w:w="5000" w:type="pct"/>
          <w:tblInd w:w="0" w:type="dxa"/>
          <w:tblLayout w:type="fixed"/>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带状线</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阻抗、场均匀性</w:t>
            </w:r>
          </w:p>
        </w:tc>
      </w:tr>
    </w:tbl>
    <w:p>
      <w:pPr>
        <w:sectPr>
          <w:headerReference w:type="default" r:id="rId24"/>
          <w:footerReference w:type="default" r:id="rId25"/>
          <w:headerReference w:type="first" r:id="rId26"/>
          <w:footerReference w:type="first" r:id="rId27"/>
          <w:type w:val="nextPage"/>
          <w:pgSz w:w="11906" w:h="16838"/>
          <w:pgMar w:top="1418" w:right="1418" w:bottom="1418" w:left="1701" w:header="851" w:footer="992" w:gutter="0"/>
          <w:pgNumType w:start="5"/>
          <w:cols w:num="1" w:space="425"/>
          <w:titlePg w:val="0"/>
          <w:docGrid w:linePitch="312" w:charSpace="0"/>
        </w:sectPr>
      </w:pPr>
    </w:p>
    <w:p>
      <w:pPr>
        <w:pStyle w:val="Heading2"/>
        <w:numPr>
          <w:ilvl w:val="0"/>
          <w:numId w:val="3"/>
        </w:numPr>
        <w:spacing w:before="120" w:after="120" w:line="240" w:lineRule="auto"/>
        <w:rPr>
          <w:rFonts w:ascii="Times New Roman" w:hAnsi="Times New Roman" w:eastAsiaTheme="minorEastAsia" w:cs="Times New Roman"/>
          <w:kern w:val="0"/>
          <w:sz w:val="24"/>
          <w:szCs w:val="24"/>
        </w:rPr>
      </w:pPr>
      <w:bookmarkStart w:id="10" w:name="_Toc79135099"/>
      <w:r>
        <w:rPr>
          <w:rFonts w:ascii="Times New Roman" w:hAnsi="Times New Roman" w:eastAsiaTheme="minorEastAsia" w:cs="Times New Roman" w:hint="eastAsia"/>
          <w:kern w:val="0"/>
          <w:sz w:val="24"/>
          <w:szCs w:val="24"/>
        </w:rPr>
        <w:t>专用电子、电气和机电设备及系统场地确认项目</w:t>
      </w:r>
      <w:bookmarkEnd w:id="10"/>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专用电子、电气和机电设备及系统的场地确认项目见表4.3。</w:t>
      </w:r>
    </w:p>
    <w:p>
      <w:pPr>
        <w:spacing w:line="360" w:lineRule="auto"/>
        <w:jc w:val="center"/>
      </w:pPr>
      <w:r>
        <w:rPr>
          <w:rFonts w:ascii="Arial" w:eastAsia="宋体铫.籡.." w:hAnsi="Arial" w:cs="Arial" w:hint="eastAsia"/>
          <w:kern w:val="0"/>
          <w:sz w:val="23"/>
          <w:szCs w:val="23"/>
        </w:rPr>
        <w:t>表4.3- 专用电子、电气和机电设备及系统场地确认项目</w:t>
      </w:r>
    </w:p>
    <w:tbl>
      <w:tblPr>
        <w:tblStyle w:val="TableNormal"/>
        <w:tblW w:w="5000" w:type="pct"/>
        <w:tblInd w:w="0" w:type="dxa"/>
        <w:tblLayout w:type="fixed"/>
        <w:tblCellMar>
          <w:top w:w="0" w:type="dxa"/>
          <w:left w:w="108" w:type="dxa"/>
          <w:bottom w:w="0" w:type="dxa"/>
          <w:right w:w="108" w:type="dxa"/>
        </w:tblCellMar>
      </w:tblPr>
      <w:tblGrid>
        <w:gridCol w:w="1129"/>
        <w:gridCol w:w="1690"/>
        <w:gridCol w:w="1376"/>
        <w:gridCol w:w="4582"/>
      </w:tblGrid>
      <w:tr>
        <w:tblPrEx>
          <w:tblW w:w="5000" w:type="pct"/>
          <w:tblInd w:w="0" w:type="dxa"/>
          <w:tblLayout w:type="fixed"/>
          <w:tblCellMar>
            <w:top w:w="0" w:type="dxa"/>
            <w:left w:w="108" w:type="dxa"/>
            <w:bottom w:w="0" w:type="dxa"/>
            <w:right w:w="108" w:type="dxa"/>
          </w:tblCellMar>
        </w:tblPrEx>
        <w:trPr>
          <w:trHeight w:val="720"/>
        </w:trPr>
        <w:tc>
          <w:tcPr>
            <w:tcW w:w="643" w:type="pct"/>
            <w:tcBorders>
              <w:top w:val="single" w:sz="4" w:space="0" w:color="auto"/>
              <w:left w:val="single" w:sz="4" w:space="0" w:color="auto"/>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产品类别</w:t>
            </w:r>
          </w:p>
        </w:tc>
        <w:tc>
          <w:tcPr>
            <w:tcW w:w="963"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产品代码</w:t>
            </w:r>
          </w:p>
        </w:tc>
        <w:tc>
          <w:tcPr>
            <w:tcW w:w="784"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涉及场地</w:t>
            </w:r>
          </w:p>
        </w:tc>
        <w:tc>
          <w:tcPr>
            <w:tcW w:w="2610"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场地确认项目</w:t>
            </w:r>
          </w:p>
        </w:tc>
      </w:tr>
      <w:tr>
        <w:tblPrEx>
          <w:tblW w:w="5000" w:type="pct"/>
          <w:tblInd w:w="0" w:type="dxa"/>
          <w:tblLayout w:type="fixed"/>
          <w:tblCellMar>
            <w:top w:w="0" w:type="dxa"/>
            <w:left w:w="108" w:type="dxa"/>
            <w:bottom w:w="0" w:type="dxa"/>
            <w:right w:w="108" w:type="dxa"/>
          </w:tblCellMar>
        </w:tblPrEx>
        <w:trPr>
          <w:trHeight w:val="330"/>
        </w:trPr>
        <w:tc>
          <w:tcPr>
            <w:tcW w:w="64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highlight w:val="yellow"/>
              </w:rPr>
            </w:pPr>
            <w:r>
              <w:rPr>
                <w:rFonts w:ascii="华文仿宋" w:eastAsia="华文仿宋" w:hAnsi="华文仿宋" w:cs="宋体" w:hint="eastAsia"/>
                <w:color w:val="000000"/>
                <w:kern w:val="0"/>
                <w:sz w:val="22"/>
              </w:rPr>
              <w:t>专用电子、电气和机电设备及系统</w:t>
            </w:r>
          </w:p>
        </w:tc>
        <w:tc>
          <w:tcPr>
            <w:tcW w:w="963"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军用设备和分系统（1216&amp;1217）</w:t>
            </w: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屏蔽效能、接地电阻、绝缘电阻、电磁环境电平</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single" w:sz="4" w:space="0" w:color="auto"/>
              <w:left w:val="nil"/>
              <w:bottom w:val="single" w:sz="4" w:space="0" w:color="auto"/>
              <w:right w:val="single" w:sz="4" w:space="0" w:color="auto"/>
            </w:tcBorders>
            <w:shd w:val="clear" w:color="000000" w:fill="FFFFFF"/>
            <w:noWrap/>
            <w:vAlign w:val="center"/>
          </w:tcPr>
          <w:p>
            <w:pPr>
              <w:widowControl/>
              <w:jc w:val="left"/>
              <w:rPr>
                <w:rFonts w:ascii="华文仿宋" w:eastAsia="华文仿宋" w:hAnsi="华文仿宋" w:cs="宋体"/>
                <w:color w:val="000000" w:themeColor="text1"/>
                <w:kern w:val="0"/>
                <w:sz w:val="22"/>
                <w14:textFill>
                  <w14:solidFill>
                    <w14:schemeClr w14:val="tx1"/>
                  </w14:solidFill>
                </w14:textFill>
              </w:rPr>
            </w:pPr>
            <w:r>
              <w:rPr>
                <w:rFonts w:ascii="华文仿宋" w:eastAsia="华文仿宋" w:hAnsi="华文仿宋" w:cs="宋体" w:hint="eastAsia"/>
                <w:color w:val="000000" w:themeColor="text1"/>
                <w:kern w:val="0"/>
                <w:sz w:val="22"/>
                <w14:textFill>
                  <w14:solidFill>
                    <w14:schemeClr w14:val="tx1"/>
                  </w14:solidFill>
                </w14:textFill>
              </w:rPr>
              <w:t>半电波暗室</w:t>
            </w:r>
          </w:p>
        </w:tc>
        <w:tc>
          <w:tcPr>
            <w:tcW w:w="2610" w:type="pct"/>
            <w:tcBorders>
              <w:top w:val="single" w:sz="4" w:space="0" w:color="auto"/>
              <w:left w:val="nil"/>
              <w:bottom w:val="single" w:sz="4" w:space="0" w:color="auto"/>
              <w:right w:val="single" w:sz="4" w:space="0" w:color="auto"/>
            </w:tcBorders>
            <w:shd w:val="clear" w:color="000000" w:fill="FFFFFF"/>
            <w:vAlign w:val="bottom"/>
          </w:tcPr>
          <w:p>
            <w:pPr>
              <w:widowControl/>
              <w:jc w:val="left"/>
              <w:rPr>
                <w:rFonts w:ascii="华文仿宋" w:eastAsia="华文仿宋" w:hAnsi="华文仿宋" w:cs="宋体"/>
                <w:color w:val="000000" w:themeColor="text1"/>
                <w:kern w:val="0"/>
                <w:sz w:val="22"/>
                <w14:textFill>
                  <w14:solidFill>
                    <w14:schemeClr w14:val="tx1"/>
                  </w14:solidFill>
                </w14:textFill>
              </w:rPr>
            </w:pPr>
            <w:r>
              <w:rPr>
                <w:rFonts w:ascii="华文仿宋" w:eastAsia="华文仿宋" w:hAnsi="华文仿宋" w:cs="宋体" w:hint="eastAsia"/>
                <w:color w:val="000000" w:themeColor="text1"/>
                <w:kern w:val="0"/>
                <w:sz w:val="22"/>
                <w14:textFill>
                  <w14:solidFill>
                    <w14:schemeClr w14:val="tx1"/>
                  </w14:solidFill>
                </w14:textFill>
              </w:rPr>
              <w:t>屏蔽效能、接地电阻、绝缘电阻、电磁环境电平</w:t>
            </w:r>
            <w:r>
              <w:rPr>
                <w:rFonts w:ascii="华文仿宋" w:eastAsia="华文仿宋" w:hAnsi="华文仿宋" w:cs="宋体"/>
                <w:color w:val="000000" w:themeColor="text1"/>
                <w:kern w:val="0"/>
                <w:sz w:val="22"/>
                <w14:textFill>
                  <w14:solidFill>
                    <w14:schemeClr w14:val="tx1"/>
                  </w14:solidFill>
                </w14:textFill>
              </w:rPr>
              <w:t>、</w:t>
            </w:r>
            <w:r>
              <w:rPr>
                <w:rFonts w:ascii="华文仿宋" w:eastAsia="华文仿宋" w:hAnsi="华文仿宋" w:cs="宋体" w:hint="eastAsia"/>
                <w:color w:val="000000" w:themeColor="text1"/>
                <w:kern w:val="0"/>
                <w:sz w:val="22"/>
                <w14:textFill>
                  <w14:solidFill>
                    <w14:schemeClr w14:val="tx1"/>
                  </w14:solidFill>
                </w14:textFill>
              </w:rPr>
              <w:t>吸波材料的垂直入射角的吸波损耗</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single" w:sz="4" w:space="0" w:color="auto"/>
              <w:left w:val="nil"/>
              <w:bottom w:val="single" w:sz="4" w:space="0" w:color="auto"/>
              <w:right w:val="single" w:sz="4" w:space="0" w:color="auto"/>
            </w:tcBorders>
            <w:shd w:val="clear" w:color="000000" w:fill="FFFFFF"/>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全电波暗室</w:t>
            </w:r>
          </w:p>
        </w:tc>
        <w:tc>
          <w:tcPr>
            <w:tcW w:w="2610" w:type="pct"/>
            <w:tcBorders>
              <w:top w:val="single" w:sz="4" w:space="0" w:color="auto"/>
              <w:left w:val="nil"/>
              <w:bottom w:val="single" w:sz="4" w:space="0" w:color="auto"/>
              <w:right w:val="single" w:sz="4" w:space="0" w:color="auto"/>
            </w:tcBorders>
            <w:shd w:val="clear" w:color="000000" w:fill="FFFFFF"/>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屏蔽效能、接地电阻、绝缘电阻、电磁环境电平</w:t>
            </w:r>
          </w:p>
        </w:tc>
      </w:tr>
      <w:tr>
        <w:tblPrEx>
          <w:tblW w:w="5000" w:type="pct"/>
          <w:tblInd w:w="0" w:type="dxa"/>
          <w:tblLayout w:type="fixed"/>
          <w:tblCellMar>
            <w:top w:w="0" w:type="dxa"/>
            <w:left w:w="108" w:type="dxa"/>
            <w:bottom w:w="0" w:type="dxa"/>
            <w:right w:w="108" w:type="dxa"/>
          </w:tblCellMar>
        </w:tblPrEx>
        <w:trPr>
          <w:trHeight w:val="33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开阔试验场</w:t>
            </w:r>
          </w:p>
        </w:tc>
        <w:tc>
          <w:tcPr>
            <w:tcW w:w="2610"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平坦度、电磁环境电平</w:t>
            </w:r>
          </w:p>
        </w:tc>
      </w:tr>
      <w:tr>
        <w:tblPrEx>
          <w:tblW w:w="5000" w:type="pct"/>
          <w:tblInd w:w="0" w:type="dxa"/>
          <w:tblLayout w:type="fixed"/>
          <w:tblCellMar>
            <w:top w:w="0" w:type="dxa"/>
            <w:left w:w="108" w:type="dxa"/>
            <w:bottom w:w="0" w:type="dxa"/>
            <w:right w:w="108" w:type="dxa"/>
          </w:tblCellMar>
        </w:tblPrEx>
        <w:trPr>
          <w:trHeight w:val="66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混波室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场均匀性、品质因数（Q值）、时间常数、混波室加载系数（CLF）</w:t>
            </w:r>
          </w:p>
        </w:tc>
      </w:tr>
      <w:tr>
        <w:tblPrEx>
          <w:tblW w:w="5000" w:type="pct"/>
          <w:tblInd w:w="0" w:type="dxa"/>
          <w:tblLayout w:type="fixed"/>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横电磁波室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模的验证、传输损耗、屏蔽效能</w:t>
            </w:r>
          </w:p>
        </w:tc>
      </w:tr>
      <w:tr>
        <w:tblPrEx>
          <w:tblW w:w="5000" w:type="pct"/>
          <w:tblInd w:w="0" w:type="dxa"/>
          <w:tblLayout w:type="fixed"/>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GTEM小室</w:t>
            </w:r>
          </w:p>
        </w:tc>
        <w:tc>
          <w:tcPr>
            <w:tcW w:w="2610"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模的验证、屏蔽效能</w:t>
            </w:r>
          </w:p>
        </w:tc>
      </w:tr>
      <w:tr>
        <w:tblPrEx>
          <w:tblW w:w="5000" w:type="pct"/>
          <w:tblInd w:w="0" w:type="dxa"/>
          <w:tblLayout w:type="fixed"/>
          <w:tblCellMar>
            <w:top w:w="0" w:type="dxa"/>
            <w:left w:w="108" w:type="dxa"/>
            <w:bottom w:w="0" w:type="dxa"/>
            <w:right w:w="108" w:type="dxa"/>
          </w:tblCellMar>
        </w:tblPrEx>
        <w:trPr>
          <w:trHeight w:val="420"/>
        </w:trPr>
        <w:tc>
          <w:tcPr>
            <w:tcW w:w="643" w:type="pct"/>
            <w:vMerge/>
            <w:tcBorders>
              <w:top w:val="nil"/>
              <w:left w:val="single" w:sz="4" w:space="0" w:color="auto"/>
              <w:bottom w:val="single" w:sz="4" w:space="0" w:color="auto"/>
              <w:right w:val="single" w:sz="4" w:space="0" w:color="auto"/>
            </w:tcBorders>
            <w:vAlign w:val="center"/>
          </w:tcPr>
          <w:p>
            <w:pPr>
              <w:widowControl/>
              <w:jc w:val="left"/>
              <w:rPr>
                <w:rFonts w:ascii="华文仿宋" w:eastAsia="华文仿宋" w:hAnsi="华文仿宋" w:cs="宋体"/>
                <w:color w:val="000000"/>
                <w:kern w:val="0"/>
                <w:sz w:val="22"/>
              </w:rPr>
            </w:pPr>
          </w:p>
        </w:tc>
        <w:tc>
          <w:tcPr>
            <w:tcW w:w="963" w:type="pct"/>
            <w:vMerge/>
            <w:tcBorders>
              <w:top w:val="nil"/>
              <w:left w:val="single" w:sz="4" w:space="0" w:color="auto"/>
              <w:bottom w:val="single" w:sz="4" w:space="0" w:color="auto"/>
              <w:right w:val="single" w:sz="4" w:space="0" w:color="auto"/>
            </w:tcBorders>
            <w:vAlign w:val="center"/>
          </w:tcPr>
          <w:p>
            <w:pPr>
              <w:widowControl/>
              <w:jc w:val="left"/>
              <w:rPr>
                <w:rFonts w:ascii="华文仿宋" w:eastAsia="华文仿宋" w:hAnsi="华文仿宋" w:cs="宋体"/>
                <w:color w:val="000000"/>
                <w:kern w:val="0"/>
                <w:sz w:val="22"/>
              </w:rPr>
            </w:pPr>
          </w:p>
        </w:tc>
        <w:tc>
          <w:tcPr>
            <w:tcW w:w="784"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平行板传输线</w:t>
            </w:r>
          </w:p>
        </w:tc>
        <w:tc>
          <w:tcPr>
            <w:tcW w:w="2610"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阻抗、场均匀性</w:t>
            </w:r>
          </w:p>
        </w:tc>
      </w:tr>
      <w:tr>
        <w:tblPrEx>
          <w:tblW w:w="5000" w:type="pct"/>
          <w:tblInd w:w="0" w:type="dxa"/>
          <w:tblLayout w:type="fixed"/>
          <w:tblCellMar>
            <w:top w:w="0" w:type="dxa"/>
            <w:left w:w="108" w:type="dxa"/>
            <w:bottom w:w="0" w:type="dxa"/>
            <w:right w:w="108" w:type="dxa"/>
          </w:tblCellMar>
        </w:tblPrEx>
        <w:trPr>
          <w:trHeight w:val="420"/>
        </w:trPr>
        <w:tc>
          <w:tcPr>
            <w:tcW w:w="5000" w:type="pct"/>
            <w:gridSpan w:val="4"/>
            <w:tcBorders>
              <w:top w:val="single" w:sz="4" w:space="0" w:color="auto"/>
              <w:left w:val="single" w:sz="4" w:space="0" w:color="auto"/>
              <w:bottom w:val="single" w:sz="4" w:space="0" w:color="000000"/>
              <w:right w:val="single" w:sz="4" w:space="0" w:color="auto"/>
            </w:tcBorders>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备注：若测量距离按照3</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m、10</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m或30</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m设计的电波暗室，其归一化场地衰减、场地电压驻波比、场均匀性应符合要求。</w:t>
            </w:r>
          </w:p>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若测量距离按照3</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m、10</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m或30</w:t>
            </w:r>
            <w:r>
              <w:rPr>
                <w:rFonts w:ascii="华文仿宋" w:eastAsia="华文仿宋" w:hAnsi="华文仿宋" w:cs="宋体"/>
                <w:color w:val="000000"/>
                <w:kern w:val="0"/>
                <w:sz w:val="22"/>
              </w:rPr>
              <w:t xml:space="preserve"> </w:t>
            </w:r>
            <w:r>
              <w:rPr>
                <w:rFonts w:ascii="华文仿宋" w:eastAsia="华文仿宋" w:hAnsi="华文仿宋" w:cs="宋体" w:hint="eastAsia"/>
                <w:color w:val="000000"/>
                <w:kern w:val="0"/>
                <w:sz w:val="22"/>
              </w:rPr>
              <w:t>m设计的开阔试验场，其归一化场地衰减应符合要求。</w:t>
            </w:r>
          </w:p>
        </w:tc>
      </w:tr>
    </w:tbl>
    <w:p>
      <w:pPr>
        <w:pStyle w:val="Heading2"/>
        <w:numPr>
          <w:ilvl w:val="0"/>
          <w:numId w:val="3"/>
        </w:numPr>
        <w:spacing w:before="120" w:after="120" w:line="360" w:lineRule="auto"/>
        <w:rPr>
          <w:rFonts w:ascii="Times New Roman" w:hAnsi="Times New Roman" w:eastAsiaTheme="minorEastAsia" w:cs="Times New Roman"/>
          <w:kern w:val="0"/>
          <w:sz w:val="24"/>
          <w:szCs w:val="24"/>
        </w:rPr>
      </w:pPr>
      <w:bookmarkStart w:id="11" w:name="_Toc79135100"/>
      <w:r>
        <w:rPr>
          <w:rFonts w:ascii="Times New Roman" w:hAnsi="Times New Roman" w:eastAsiaTheme="minorEastAsia" w:cs="Times New Roman" w:hint="eastAsia"/>
          <w:kern w:val="0"/>
          <w:sz w:val="24"/>
          <w:szCs w:val="24"/>
        </w:rPr>
        <w:t>通信产品场地确认项目</w:t>
      </w:r>
      <w:bookmarkEnd w:id="11"/>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通信产品的场地确认项目见表4.4。</w:t>
      </w:r>
    </w:p>
    <w:p>
      <w:pPr>
        <w:spacing w:line="360" w:lineRule="auto"/>
        <w:jc w:val="center"/>
      </w:pPr>
      <w:r>
        <w:rPr>
          <w:rFonts w:ascii="Arial" w:eastAsia="宋体铫.籡.." w:hAnsi="Arial" w:cs="Arial" w:hint="eastAsia"/>
          <w:kern w:val="0"/>
          <w:sz w:val="23"/>
          <w:szCs w:val="23"/>
        </w:rPr>
        <w:t>表4.4- 通信产品场地确认项目</w:t>
      </w:r>
    </w:p>
    <w:tbl>
      <w:tblPr>
        <w:tblStyle w:val="TableNormal"/>
        <w:tblW w:w="5000" w:type="pct"/>
        <w:tblInd w:w="0" w:type="dxa"/>
        <w:tblLayout w:type="fixed"/>
        <w:tblCellMar>
          <w:top w:w="0" w:type="dxa"/>
          <w:left w:w="108" w:type="dxa"/>
          <w:bottom w:w="0" w:type="dxa"/>
          <w:right w:w="108" w:type="dxa"/>
        </w:tblCellMar>
      </w:tblPr>
      <w:tblGrid>
        <w:gridCol w:w="1161"/>
        <w:gridCol w:w="1736"/>
        <w:gridCol w:w="1295"/>
        <w:gridCol w:w="4585"/>
      </w:tblGrid>
      <w:tr>
        <w:tblPrEx>
          <w:tblW w:w="5000" w:type="pct"/>
          <w:tblInd w:w="0" w:type="dxa"/>
          <w:tblLayout w:type="fixed"/>
          <w:tblCellMar>
            <w:top w:w="0" w:type="dxa"/>
            <w:left w:w="108" w:type="dxa"/>
            <w:bottom w:w="0" w:type="dxa"/>
            <w:right w:w="108" w:type="dxa"/>
          </w:tblCellMar>
        </w:tblPrEx>
        <w:trPr>
          <w:trHeight w:val="780"/>
        </w:trPr>
        <w:tc>
          <w:tcPr>
            <w:tcW w:w="661" w:type="pct"/>
            <w:tcBorders>
              <w:top w:val="single" w:sz="4" w:space="0" w:color="auto"/>
              <w:left w:val="single" w:sz="4" w:space="0" w:color="auto"/>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产品类别</w:t>
            </w:r>
          </w:p>
        </w:tc>
        <w:tc>
          <w:tcPr>
            <w:tcW w:w="989"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产品代码</w:t>
            </w:r>
          </w:p>
        </w:tc>
        <w:tc>
          <w:tcPr>
            <w:tcW w:w="738"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涉及场地</w:t>
            </w:r>
          </w:p>
        </w:tc>
        <w:tc>
          <w:tcPr>
            <w:tcW w:w="2613" w:type="pct"/>
            <w:tcBorders>
              <w:top w:val="single" w:sz="4" w:space="0" w:color="auto"/>
              <w:left w:val="nil"/>
              <w:bottom w:val="single" w:sz="4" w:space="0" w:color="auto"/>
              <w:right w:val="single" w:sz="4" w:space="0" w:color="auto"/>
            </w:tcBorders>
            <w:shd w:val="clear" w:color="000000" w:fill="D9D9D9"/>
            <w:noWrap/>
            <w:vAlign w:val="center"/>
          </w:tcPr>
          <w:p>
            <w:pPr>
              <w:widowControl/>
              <w:jc w:val="center"/>
              <w:rPr>
                <w:rFonts w:ascii="华文仿宋" w:eastAsia="华文仿宋" w:hAnsi="华文仿宋" w:cs="宋体"/>
                <w:b/>
                <w:bCs/>
                <w:color w:val="000000"/>
                <w:kern w:val="0"/>
                <w:sz w:val="22"/>
              </w:rPr>
            </w:pPr>
            <w:r>
              <w:rPr>
                <w:rFonts w:ascii="华文仿宋" w:eastAsia="华文仿宋" w:hAnsi="华文仿宋" w:cs="宋体" w:hint="eastAsia"/>
                <w:b/>
                <w:bCs/>
                <w:color w:val="000000"/>
                <w:kern w:val="0"/>
                <w:sz w:val="22"/>
              </w:rPr>
              <w:t>场地确认项目</w:t>
            </w:r>
          </w:p>
        </w:tc>
      </w:tr>
      <w:tr>
        <w:tblPrEx>
          <w:tblW w:w="5000" w:type="pct"/>
          <w:tblInd w:w="0" w:type="dxa"/>
          <w:tblLayout w:type="fixed"/>
          <w:tblCellMar>
            <w:top w:w="0" w:type="dxa"/>
            <w:left w:w="108" w:type="dxa"/>
            <w:bottom w:w="0" w:type="dxa"/>
            <w:right w:w="108" w:type="dxa"/>
          </w:tblCellMar>
        </w:tblPrEx>
        <w:trPr>
          <w:trHeight w:val="330"/>
        </w:trPr>
        <w:tc>
          <w:tcPr>
            <w:tcW w:w="661"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通信产品</w:t>
            </w:r>
          </w:p>
        </w:tc>
        <w:tc>
          <w:tcPr>
            <w:tcW w:w="989" w:type="pct"/>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通信设备（1213&amp;1214）靠近耳边的移动通信终端电磁辐射（1221）</w:t>
            </w: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屏蔽室</w:t>
            </w:r>
          </w:p>
        </w:tc>
        <w:tc>
          <w:tcPr>
            <w:tcW w:w="261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屏蔽效能、接地电阻、绝缘电阻、环境噪声电平</w:t>
            </w:r>
          </w:p>
        </w:tc>
      </w:tr>
      <w:tr>
        <w:tblPrEx>
          <w:tblW w:w="5000" w:type="pct"/>
          <w:tblInd w:w="0" w:type="dxa"/>
          <w:tblLayout w:type="fixed"/>
          <w:tblCellMar>
            <w:top w:w="0" w:type="dxa"/>
            <w:left w:w="108" w:type="dxa"/>
            <w:bottom w:w="0" w:type="dxa"/>
            <w:right w:w="108" w:type="dxa"/>
          </w:tblCellMar>
        </w:tblPrEx>
        <w:trPr>
          <w:trHeight w:val="660"/>
        </w:trPr>
        <w:tc>
          <w:tcPr>
            <w:tcW w:w="661"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半电波暗室</w:t>
            </w:r>
          </w:p>
        </w:tc>
        <w:tc>
          <w:tcPr>
            <w:tcW w:w="261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屏蔽效能、接地电阻、绝缘电阻、归一化场地衰减、场地电压驻波比、场均匀性、辐射发射测试桌的影响评估、环境噪声电平</w:t>
            </w:r>
          </w:p>
        </w:tc>
      </w:tr>
      <w:tr>
        <w:tblPrEx>
          <w:tblW w:w="5000" w:type="pct"/>
          <w:tblInd w:w="0" w:type="dxa"/>
          <w:tblLayout w:type="fixed"/>
          <w:tblCellMar>
            <w:top w:w="0" w:type="dxa"/>
            <w:left w:w="108" w:type="dxa"/>
            <w:bottom w:w="0" w:type="dxa"/>
            <w:right w:w="108" w:type="dxa"/>
          </w:tblCellMar>
        </w:tblPrEx>
        <w:trPr>
          <w:trHeight w:val="660"/>
        </w:trPr>
        <w:tc>
          <w:tcPr>
            <w:tcW w:w="661"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全电波暗室</w:t>
            </w:r>
          </w:p>
        </w:tc>
        <w:tc>
          <w:tcPr>
            <w:tcW w:w="261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屏蔽效能、接地电阻、绝缘电阻、归一化场地衰减、场地电压驻波比、场均匀性、辐射发射测试桌的影响评估、环境噪声电平</w:t>
            </w:r>
          </w:p>
        </w:tc>
      </w:tr>
      <w:tr>
        <w:tblPrEx>
          <w:tblW w:w="5000" w:type="pct"/>
          <w:tblInd w:w="0" w:type="dxa"/>
          <w:tblLayout w:type="fixed"/>
          <w:tblCellMar>
            <w:top w:w="0" w:type="dxa"/>
            <w:left w:w="108" w:type="dxa"/>
            <w:bottom w:w="0" w:type="dxa"/>
            <w:right w:w="108" w:type="dxa"/>
          </w:tblCellMar>
        </w:tblPrEx>
        <w:trPr>
          <w:trHeight w:val="660"/>
        </w:trPr>
        <w:tc>
          <w:tcPr>
            <w:tcW w:w="661"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开阔试验场</w:t>
            </w:r>
          </w:p>
        </w:tc>
        <w:tc>
          <w:tcPr>
            <w:tcW w:w="2613"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归一化场地衰减、辐射发射环境本底噪声</w:t>
            </w:r>
          </w:p>
        </w:tc>
      </w:tr>
      <w:tr>
        <w:tblPrEx>
          <w:tblW w:w="5000" w:type="pct"/>
          <w:tblInd w:w="0" w:type="dxa"/>
          <w:tblLayout w:type="fixed"/>
          <w:tblCellMar>
            <w:top w:w="0" w:type="dxa"/>
            <w:left w:w="108" w:type="dxa"/>
            <w:bottom w:w="0" w:type="dxa"/>
            <w:right w:w="108" w:type="dxa"/>
          </w:tblCellMar>
        </w:tblPrEx>
        <w:trPr>
          <w:trHeight w:val="660"/>
        </w:trPr>
        <w:tc>
          <w:tcPr>
            <w:tcW w:w="661"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混响室</w:t>
            </w:r>
          </w:p>
        </w:tc>
        <w:tc>
          <w:tcPr>
            <w:tcW w:w="261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场均匀性、品质因数（Q值）、时间常数、混波室加载系数（CLF）</w:t>
            </w:r>
          </w:p>
        </w:tc>
      </w:tr>
    </w:tbl>
    <w:p>
      <w:pPr>
        <w:sectPr>
          <w:headerReference w:type="default" r:id="rId28"/>
          <w:footerReference w:type="default" r:id="rId29"/>
          <w:headerReference w:type="first" r:id="rId30"/>
          <w:footerReference w:type="first" r:id="rId31"/>
          <w:type w:val="nextPage"/>
          <w:pgSz w:w="11906" w:h="16838"/>
          <w:pgMar w:top="1418" w:right="1418" w:bottom="1418" w:left="1701" w:header="851" w:footer="992" w:gutter="0"/>
          <w:pgNumType w:start="6"/>
          <w:cols w:num="1" w:space="425"/>
          <w:titlePg w:val="0"/>
          <w:docGrid w:linePitch="312" w:charSpace="0"/>
        </w:sectPr>
      </w:pPr>
    </w:p>
    <w:tbl>
      <w:tblPr>
        <w:tblStyle w:val="TableNormal"/>
        <w:tblW w:w="5000" w:type="pct"/>
        <w:tblInd w:w="0" w:type="dxa"/>
        <w:tblLayout w:type="fixed"/>
        <w:tblCellMar>
          <w:top w:w="0" w:type="dxa"/>
          <w:left w:w="108" w:type="dxa"/>
          <w:bottom w:w="0" w:type="dxa"/>
          <w:right w:w="108" w:type="dxa"/>
        </w:tblCellMar>
      </w:tblPr>
      <w:tblGrid>
        <w:gridCol w:w="1161"/>
        <w:gridCol w:w="1736"/>
        <w:gridCol w:w="1295"/>
        <w:gridCol w:w="4585"/>
      </w:tblGrid>
      <w:tr>
        <w:tblPrEx>
          <w:tblW w:w="5000" w:type="pct"/>
          <w:tblInd w:w="0" w:type="dxa"/>
          <w:tblLayout w:type="fixed"/>
          <w:tblCellMar>
            <w:top w:w="0" w:type="dxa"/>
            <w:left w:w="108" w:type="dxa"/>
            <w:bottom w:w="0" w:type="dxa"/>
            <w:right w:w="108" w:type="dxa"/>
          </w:tblCellMar>
        </w:tblPrEx>
        <w:trPr>
          <w:trHeight w:val="420"/>
        </w:trPr>
        <w:tc>
          <w:tcPr>
            <w:tcW w:w="661" w:type="pct"/>
            <w:vMerge w:val="restart"/>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val="restart"/>
            <w:tcBorders>
              <w:top w:val="nil"/>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横电磁波室</w:t>
            </w:r>
          </w:p>
        </w:tc>
        <w:tc>
          <w:tcPr>
            <w:tcW w:w="2613" w:type="pct"/>
            <w:tcBorders>
              <w:top w:val="nil"/>
              <w:left w:val="nil"/>
              <w:bottom w:val="single" w:sz="4" w:space="0" w:color="auto"/>
              <w:right w:val="single" w:sz="4" w:space="0" w:color="auto"/>
            </w:tcBorders>
            <w:shd w:val="clear" w:color="auto" w:fill="auto"/>
            <w:vAlign w:val="bottom"/>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阻抗、输入端电压驻波比、场均匀性、T</w:t>
            </w:r>
            <w:r>
              <w:rPr>
                <w:rFonts w:ascii="华文仿宋" w:eastAsia="华文仿宋" w:hAnsi="华文仿宋" w:cs="宋体"/>
                <w:color w:val="000000"/>
                <w:kern w:val="0"/>
                <w:sz w:val="22"/>
              </w:rPr>
              <w:t>EM</w:t>
            </w:r>
            <w:r>
              <w:rPr>
                <w:rFonts w:ascii="华文仿宋" w:eastAsia="华文仿宋" w:hAnsi="华文仿宋" w:cs="宋体" w:hint="eastAsia"/>
                <w:color w:val="000000"/>
                <w:kern w:val="0"/>
                <w:sz w:val="22"/>
              </w:rPr>
              <w:t>模的验证、屏蔽效能</w:t>
            </w:r>
          </w:p>
        </w:tc>
      </w:tr>
      <w:tr>
        <w:tblPrEx>
          <w:tblW w:w="5000" w:type="pct"/>
          <w:tblInd w:w="0" w:type="dxa"/>
          <w:tblLayout w:type="fixed"/>
          <w:tblCellMar>
            <w:top w:w="0" w:type="dxa"/>
            <w:left w:w="108" w:type="dxa"/>
            <w:bottom w:w="0" w:type="dxa"/>
            <w:right w:w="108" w:type="dxa"/>
          </w:tblCellMar>
        </w:tblPrEx>
        <w:trPr>
          <w:trHeight w:val="584"/>
        </w:trPr>
        <w:tc>
          <w:tcPr>
            <w:tcW w:w="661" w:type="pct"/>
            <w:vMerge/>
            <w:tcBorders>
              <w:top w:val="nil"/>
              <w:left w:val="single" w:sz="4" w:space="0" w:color="auto"/>
              <w:bottom w:val="single" w:sz="4" w:space="0" w:color="auto"/>
              <w:right w:val="single" w:sz="4" w:space="0" w:color="auto"/>
            </w:tcBorders>
            <w:vAlign w:val="center"/>
          </w:tcPr>
          <w:p>
            <w:pPr>
              <w:widowControl/>
              <w:jc w:val="left"/>
              <w:rPr>
                <w:rFonts w:ascii="华文仿宋" w:eastAsia="华文仿宋" w:hAnsi="华文仿宋" w:cs="宋体"/>
                <w:color w:val="000000"/>
                <w:kern w:val="0"/>
                <w:sz w:val="22"/>
              </w:rPr>
            </w:pPr>
          </w:p>
        </w:tc>
        <w:tc>
          <w:tcPr>
            <w:tcW w:w="989" w:type="pct"/>
            <w:vMerge/>
            <w:tcBorders>
              <w:top w:val="nil"/>
              <w:left w:val="single" w:sz="4" w:space="0" w:color="auto"/>
              <w:bottom w:val="single" w:sz="4" w:space="0" w:color="auto"/>
              <w:right w:val="single" w:sz="4" w:space="0" w:color="auto"/>
            </w:tcBorders>
            <w:vAlign w:val="center"/>
          </w:tcPr>
          <w:p>
            <w:pPr>
              <w:widowControl/>
              <w:jc w:val="left"/>
              <w:rPr>
                <w:rFonts w:ascii="华文仿宋" w:eastAsia="华文仿宋" w:hAnsi="华文仿宋" w:cs="宋体"/>
                <w:color w:val="000000"/>
                <w:kern w:val="0"/>
                <w:sz w:val="22"/>
              </w:rPr>
            </w:pPr>
          </w:p>
        </w:tc>
        <w:tc>
          <w:tcPr>
            <w:tcW w:w="738" w:type="pct"/>
            <w:tcBorders>
              <w:top w:val="nil"/>
              <w:left w:val="nil"/>
              <w:bottom w:val="single" w:sz="4" w:space="0" w:color="auto"/>
              <w:right w:val="single" w:sz="4" w:space="0" w:color="auto"/>
            </w:tcBorders>
            <w:shd w:val="clear" w:color="auto" w:fill="auto"/>
            <w:noWrap/>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带状线</w:t>
            </w:r>
          </w:p>
        </w:tc>
        <w:tc>
          <w:tcPr>
            <w:tcW w:w="2613" w:type="pct"/>
            <w:tcBorders>
              <w:top w:val="nil"/>
              <w:left w:val="nil"/>
              <w:bottom w:val="single" w:sz="4" w:space="0" w:color="auto"/>
              <w:right w:val="single" w:sz="4" w:space="0" w:color="auto"/>
            </w:tcBorders>
            <w:shd w:val="clear" w:color="auto" w:fill="auto"/>
            <w:vAlign w:val="center"/>
          </w:tcPr>
          <w:p>
            <w:pPr>
              <w:widowControl/>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阻抗、场均匀性</w:t>
            </w:r>
          </w:p>
        </w:tc>
      </w:tr>
      <w:tr>
        <w:tblPrEx>
          <w:tblW w:w="5000" w:type="pct"/>
          <w:tblInd w:w="0" w:type="dxa"/>
          <w:tblLayout w:type="fixed"/>
          <w:tblCellMar>
            <w:top w:w="0" w:type="dxa"/>
            <w:left w:w="108" w:type="dxa"/>
            <w:bottom w:w="0" w:type="dxa"/>
            <w:right w:w="108" w:type="dxa"/>
          </w:tblCellMar>
        </w:tblPrEx>
        <w:trPr>
          <w:trHeight w:val="420"/>
        </w:trPr>
        <w:tc>
          <w:tcPr>
            <w:tcW w:w="5000" w:type="pct"/>
            <w:gridSpan w:val="4"/>
            <w:tcBorders>
              <w:top w:val="single" w:sz="4" w:space="0" w:color="auto"/>
              <w:left w:val="single" w:sz="4" w:space="0" w:color="auto"/>
              <w:bottom w:val="single" w:sz="4" w:space="0" w:color="000000"/>
              <w:right w:val="single" w:sz="4" w:space="0" w:color="auto"/>
            </w:tcBorders>
            <w:vAlign w:val="center"/>
          </w:tcPr>
          <w:p>
            <w:pPr>
              <w:widowControl/>
              <w:jc w:val="left"/>
              <w:rPr>
                <w:rFonts w:ascii="华文仿宋" w:eastAsia="华文仿宋" w:hAnsi="华文仿宋" w:cs="宋体"/>
                <w:color w:val="000000"/>
                <w:kern w:val="0"/>
                <w:sz w:val="22"/>
              </w:rPr>
            </w:pPr>
            <w:r>
              <w:rPr>
                <w:rFonts w:ascii="华文仿宋" w:eastAsia="华文仿宋" w:hAnsi="华文仿宋" w:cs="宋体" w:hint="eastAsia"/>
                <w:color w:val="000000"/>
                <w:kern w:val="0"/>
                <w:sz w:val="22"/>
              </w:rPr>
              <w:t>注：天线测量场地的要求见《移动通信天线场地评审指南》文件。</w:t>
            </w:r>
          </w:p>
        </w:tc>
      </w:tr>
    </w:tbl>
    <w:p>
      <w:pPr>
        <w:pStyle w:val="Heading1"/>
        <w:numPr>
          <w:ilvl w:val="0"/>
          <w:numId w:val="1"/>
        </w:numPr>
        <w:spacing w:before="240" w:after="240" w:line="240" w:lineRule="auto"/>
        <w:rPr>
          <w:rFonts w:ascii="Times New Roman" w:hAnsi="Times New Roman" w:cs="Times New Roman"/>
          <w:kern w:val="0"/>
          <w:sz w:val="28"/>
          <w:szCs w:val="28"/>
        </w:rPr>
      </w:pPr>
      <w:bookmarkStart w:id="12" w:name="_Toc79135101"/>
      <w:r>
        <w:rPr>
          <w:rFonts w:ascii="Times New Roman" w:hAnsi="Times New Roman" w:cs="Times New Roman" w:hint="eastAsia"/>
          <w:kern w:val="0"/>
          <w:sz w:val="28"/>
          <w:szCs w:val="28"/>
        </w:rPr>
        <w:t>民标产品EMC场地确认项目和要求</w:t>
      </w:r>
      <w:bookmarkEnd w:id="12"/>
    </w:p>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13" w:name="_Toc79135102"/>
      <w:r>
        <w:rPr>
          <w:rFonts w:ascii="Times New Roman" w:hAnsi="Times New Roman" w:eastAsiaTheme="minorEastAsia" w:cs="Times New Roman" w:hint="eastAsia"/>
          <w:kern w:val="0"/>
          <w:sz w:val="24"/>
          <w:szCs w:val="24"/>
        </w:rPr>
        <w:t>屏蔽室</w:t>
      </w:r>
      <w:bookmarkEnd w:id="13"/>
    </w:p>
    <w:p>
      <w:pPr>
        <w:pStyle w:val="Heading2"/>
        <w:numPr>
          <w:ilvl w:val="0"/>
          <w:numId w:val="5"/>
        </w:numPr>
        <w:spacing w:before="120" w:after="120" w:line="240" w:lineRule="auto"/>
        <w:rPr>
          <w:rFonts w:ascii="Times New Roman" w:hAnsi="Times New Roman" w:eastAsiaTheme="minorEastAsia" w:cs="Times New Roman"/>
          <w:kern w:val="0"/>
          <w:sz w:val="24"/>
          <w:szCs w:val="24"/>
        </w:rPr>
      </w:pPr>
      <w:bookmarkStart w:id="14" w:name="_Toc79135103"/>
      <w:r>
        <w:rPr>
          <w:rFonts w:ascii="Times New Roman" w:hAnsi="Times New Roman" w:eastAsiaTheme="minorEastAsia" w:cs="Times New Roman" w:hint="eastAsia"/>
          <w:kern w:val="0"/>
          <w:sz w:val="24"/>
          <w:szCs w:val="24"/>
        </w:rPr>
        <w:t>屏蔽效能</w:t>
      </w:r>
      <w:bookmarkEnd w:id="14"/>
    </w:p>
    <w:p>
      <w:pPr>
        <w:pStyle w:val="ListParagraph"/>
        <w:numPr>
          <w:ilvl w:val="0"/>
          <w:numId w:val="6"/>
        </w:numPr>
        <w:autoSpaceDE w:val="0"/>
        <w:autoSpaceDN w:val="0"/>
        <w:adjustRightInd w:val="0"/>
        <w:spacing w:line="360" w:lineRule="auto"/>
        <w:ind w:left="939" w:hanging="624"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7"/>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GB/T 12190</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电磁屏蔽室屏蔽效能的测量方法</w:t>
      </w:r>
    </w:p>
    <w:p>
      <w:pPr>
        <w:pStyle w:val="ListParagraph"/>
        <w:numPr>
          <w:ilvl w:val="0"/>
          <w:numId w:val="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EN 50147-1 Anechoic chambers - Part1.Shield attenuation measurement</w:t>
      </w:r>
    </w:p>
    <w:p>
      <w:pPr>
        <w:pStyle w:val="ListParagraph"/>
        <w:numPr>
          <w:ilvl w:val="0"/>
          <w:numId w:val="6"/>
        </w:numPr>
        <w:autoSpaceDE w:val="0"/>
        <w:autoSpaceDN w:val="0"/>
        <w:adjustRightInd w:val="0"/>
        <w:spacing w:line="360" w:lineRule="auto"/>
        <w:ind w:left="939" w:hanging="624"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autoSpaceDE w:val="0"/>
        <w:autoSpaceDN w:val="0"/>
        <w:adjustRightInd w:val="0"/>
        <w:spacing w:line="360" w:lineRule="auto"/>
        <w:ind w:left="315" w:firstLine="460" w:leftChars="150" w:firstLineChars="200"/>
        <w:jc w:val="left"/>
        <w:rPr>
          <w:rFonts w:ascii="Arial" w:eastAsia="宋体铫.籡.." w:hAnsi="Arial" w:cs="Arial"/>
          <w:kern w:val="0"/>
          <w:sz w:val="23"/>
          <w:szCs w:val="23"/>
        </w:rPr>
      </w:pPr>
      <w:r>
        <w:rPr>
          <w:rFonts w:ascii="Arial" w:eastAsia="宋体铫.籡.." w:hAnsi="Arial" w:cs="Arial" w:hint="eastAsia"/>
          <w:kern w:val="0"/>
          <w:sz w:val="23"/>
          <w:szCs w:val="23"/>
        </w:rPr>
        <w:t>屏蔽室的屏蔽效能至少应满足CNAS-CL01-A008的要求：</w:t>
      </w:r>
    </w:p>
    <w:p>
      <w:pPr>
        <w:pStyle w:val="ListParagraph"/>
        <w:numPr>
          <w:ilvl w:val="3"/>
          <w:numId w:val="8"/>
        </w:numPr>
        <w:autoSpaceDE w:val="0"/>
        <w:autoSpaceDN w:val="0"/>
        <w:adjustRightInd w:val="0"/>
        <w:spacing w:line="360" w:lineRule="auto"/>
        <w:ind w:left="985" w:hanging="460" w:leftChars="250" w:hangingChars="200"/>
        <w:jc w:val="left"/>
        <w:rPr>
          <w:rFonts w:ascii="Arial" w:eastAsia="宋体铫.籡.." w:hAnsi="Arial" w:cs="Arial"/>
          <w:kern w:val="0"/>
          <w:sz w:val="23"/>
          <w:szCs w:val="23"/>
        </w:rPr>
      </w:pPr>
      <w:r>
        <w:rPr>
          <w:rFonts w:ascii="Arial" w:eastAsia="宋体铫.籡.." w:hAnsi="Arial" w:cs="Arial" w:hint="eastAsia"/>
          <w:kern w:val="0"/>
          <w:sz w:val="23"/>
          <w:szCs w:val="23"/>
        </w:rPr>
        <w:t>14</w:t>
      </w:r>
      <w:r>
        <w:rPr>
          <w:rFonts w:ascii="Arial" w:eastAsia="宋体铫.籡.." w:hAnsi="Arial" w:cs="Arial"/>
          <w:kern w:val="0"/>
          <w:sz w:val="23"/>
          <w:szCs w:val="23"/>
        </w:rPr>
        <w:t xml:space="preserve"> </w:t>
      </w:r>
      <w:r>
        <w:rPr>
          <w:rFonts w:ascii="Arial" w:eastAsia="宋体铫.籡.." w:hAnsi="Arial" w:cs="Arial" w:hint="eastAsia"/>
          <w:kern w:val="0"/>
          <w:sz w:val="23"/>
          <w:szCs w:val="23"/>
        </w:rPr>
        <w:t>kHz-1</w:t>
      </w:r>
      <w:r>
        <w:rPr>
          <w:rFonts w:ascii="Arial" w:eastAsia="宋体铫.籡.." w:hAnsi="Arial" w:cs="Arial"/>
          <w:kern w:val="0"/>
          <w:sz w:val="23"/>
          <w:szCs w:val="23"/>
        </w:rPr>
        <w:t xml:space="preserve"> </w:t>
      </w:r>
      <w:r>
        <w:rPr>
          <w:rFonts w:ascii="Arial" w:eastAsia="宋体铫.籡.." w:hAnsi="Arial" w:cs="Arial" w:hint="eastAsia"/>
          <w:kern w:val="0"/>
          <w:sz w:val="23"/>
          <w:szCs w:val="23"/>
        </w:rPr>
        <w:t>MHz       ＞60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2"/>
          <w:numId w:val="8"/>
        </w:numPr>
        <w:autoSpaceDE w:val="0"/>
        <w:autoSpaceDN w:val="0"/>
        <w:adjustRightInd w:val="0"/>
        <w:spacing w:line="360" w:lineRule="auto"/>
        <w:ind w:left="985" w:hanging="460" w:leftChars="250" w:hangingChars="200"/>
        <w:jc w:val="left"/>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MHz-1000</w:t>
      </w:r>
      <w:r>
        <w:rPr>
          <w:rFonts w:ascii="Arial" w:eastAsia="宋体铫.籡.." w:hAnsi="Arial" w:cs="Arial"/>
          <w:kern w:val="0"/>
          <w:sz w:val="23"/>
          <w:szCs w:val="23"/>
        </w:rPr>
        <w:t xml:space="preserve"> </w:t>
      </w:r>
      <w:r>
        <w:rPr>
          <w:rFonts w:ascii="Arial" w:eastAsia="宋体铫.籡.." w:hAnsi="Arial" w:cs="Arial" w:hint="eastAsia"/>
          <w:kern w:val="0"/>
          <w:sz w:val="23"/>
          <w:szCs w:val="23"/>
        </w:rPr>
        <w:t>MHz   ＞90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autoSpaceDE w:val="0"/>
        <w:autoSpaceDN w:val="0"/>
        <w:adjustRightInd w:val="0"/>
        <w:spacing w:line="360" w:lineRule="auto"/>
        <w:ind w:left="315" w:firstLine="0" w:leftChars="150" w:firstLineChars="0"/>
        <w:jc w:val="left"/>
        <w:rPr>
          <w:rFonts w:ascii="Arial" w:eastAsia="宋体铫.籡.." w:hAnsi="Arial" w:cs="Arial"/>
          <w:kern w:val="0"/>
          <w:sz w:val="20"/>
          <w:szCs w:val="20"/>
        </w:rPr>
      </w:pPr>
      <w:r>
        <w:rPr>
          <w:rFonts w:ascii="Arial" w:eastAsia="宋体铫.籡.." w:hAnsi="Arial" w:cs="Arial" w:hint="eastAsia"/>
          <w:kern w:val="0"/>
          <w:sz w:val="20"/>
          <w:szCs w:val="20"/>
        </w:rPr>
        <w:t>备注：常规屏蔽效能测试到</w:t>
      </w:r>
      <w:r>
        <w:rPr>
          <w:rFonts w:ascii="Arial" w:eastAsia="宋体铫.籡.." w:hAnsi="Arial" w:cs="Arial"/>
          <w:kern w:val="0"/>
          <w:sz w:val="20"/>
          <w:szCs w:val="20"/>
        </w:rPr>
        <w:t>1 GHz</w:t>
      </w:r>
      <w:r>
        <w:rPr>
          <w:rFonts w:ascii="Arial" w:eastAsia="宋体铫.籡.." w:hAnsi="Arial" w:cs="Arial" w:hint="eastAsia"/>
          <w:kern w:val="0"/>
          <w:sz w:val="20"/>
          <w:szCs w:val="20"/>
        </w:rPr>
        <w:t>，特殊情况下依据使用情况测试到</w:t>
      </w:r>
      <w:r>
        <w:rPr>
          <w:rFonts w:ascii="Arial" w:eastAsia="宋体铫.籡.." w:hAnsi="Arial" w:cs="Arial"/>
          <w:kern w:val="0"/>
          <w:sz w:val="20"/>
          <w:szCs w:val="20"/>
        </w:rPr>
        <w:t>1 GHz</w:t>
      </w:r>
      <w:r>
        <w:rPr>
          <w:rFonts w:ascii="Arial" w:eastAsia="宋体铫.籡.." w:hAnsi="Arial" w:cs="Arial" w:hint="eastAsia"/>
          <w:kern w:val="0"/>
          <w:sz w:val="20"/>
          <w:szCs w:val="20"/>
        </w:rPr>
        <w:t>以上。</w:t>
      </w:r>
    </w:p>
    <w:p>
      <w:pPr>
        <w:pStyle w:val="ListParagraph"/>
        <w:numPr>
          <w:ilvl w:val="0"/>
          <w:numId w:val="6"/>
        </w:numPr>
        <w:autoSpaceDE w:val="0"/>
        <w:autoSpaceDN w:val="0"/>
        <w:adjustRightInd w:val="0"/>
        <w:spacing w:line="360" w:lineRule="auto"/>
        <w:ind w:left="939" w:hanging="624" w:leftChars="150" w:firstLineChars="0"/>
        <w:jc w:val="left"/>
        <w:rPr>
          <w:rFonts w:ascii="Arial" w:eastAsia="宋体铫.籡.." w:hAnsi="Arial" w:cs="Arial"/>
          <w:kern w:val="0"/>
          <w:sz w:val="23"/>
          <w:szCs w:val="23"/>
        </w:rPr>
      </w:pPr>
      <w:bookmarkStart w:id="15" w:name="_Hlk78895001"/>
      <w:r>
        <w:rPr>
          <w:rFonts w:ascii="Arial" w:eastAsia="宋体铫.籡.." w:hAnsi="Arial" w:cs="Arial" w:hint="eastAsia"/>
          <w:kern w:val="0"/>
          <w:sz w:val="23"/>
          <w:szCs w:val="23"/>
        </w:rPr>
        <w:t>测量验证频次：首次验证后，每3~5年进行一次验证</w:t>
      </w:r>
    </w:p>
    <w:p>
      <w:pPr>
        <w:pStyle w:val="ListParagraph"/>
        <w:numPr>
          <w:ilvl w:val="0"/>
          <w:numId w:val="6"/>
        </w:numPr>
        <w:autoSpaceDE w:val="0"/>
        <w:autoSpaceDN w:val="0"/>
        <w:adjustRightInd w:val="0"/>
        <w:spacing w:line="360" w:lineRule="auto"/>
        <w:ind w:left="939" w:hanging="624"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或其互认框架下授权的检测机构出具的报告，报告应包含测试位置及布置图等信息，相关内容符合CNAS-CL01-A008的要求</w:t>
      </w:r>
      <w:bookmarkEnd w:id="15"/>
      <w:r>
        <w:rPr>
          <w:rFonts w:ascii="Arial" w:eastAsia="宋体铫.籡.." w:hAnsi="Arial" w:cs="Arial" w:hint="eastAsia"/>
          <w:kern w:val="0"/>
          <w:sz w:val="23"/>
          <w:szCs w:val="23"/>
        </w:rPr>
        <w:t>。</w:t>
      </w:r>
    </w:p>
    <w:p>
      <w:pPr>
        <w:pStyle w:val="Heading2"/>
        <w:numPr>
          <w:ilvl w:val="0"/>
          <w:numId w:val="5"/>
        </w:numPr>
        <w:spacing w:before="120" w:after="120" w:line="240" w:lineRule="auto"/>
        <w:rPr>
          <w:rFonts w:ascii="Times New Roman" w:hAnsi="Times New Roman" w:eastAsiaTheme="minorEastAsia" w:cs="Times New Roman"/>
          <w:kern w:val="0"/>
          <w:sz w:val="24"/>
          <w:szCs w:val="24"/>
        </w:rPr>
      </w:pPr>
      <w:bookmarkStart w:id="16" w:name="_Toc79135104"/>
      <w:r>
        <w:rPr>
          <w:rFonts w:ascii="Times New Roman" w:hAnsi="Times New Roman" w:eastAsiaTheme="minorEastAsia" w:cs="Times New Roman" w:hint="eastAsia"/>
          <w:kern w:val="0"/>
          <w:sz w:val="24"/>
          <w:szCs w:val="24"/>
        </w:rPr>
        <w:t>接地电阻</w:t>
      </w:r>
      <w:bookmarkEnd w:id="16"/>
    </w:p>
    <w:p>
      <w:pPr>
        <w:pStyle w:val="ListParagraph"/>
        <w:numPr>
          <w:ilvl w:val="0"/>
          <w:numId w:val="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autoSpaceDE w:val="0"/>
        <w:autoSpaceDN w:val="0"/>
        <w:adjustRightInd w:val="0"/>
        <w:spacing w:line="360" w:lineRule="auto"/>
        <w:ind w:left="735" w:firstLine="0" w:firstLineChars="0"/>
        <w:jc w:val="left"/>
        <w:rPr>
          <w:rFonts w:ascii="Times New Roman" w:eastAsia="宋体" w:hAnsi="Times New Roman" w:cs="Arial"/>
          <w:kern w:val="0"/>
          <w:sz w:val="23"/>
          <w:szCs w:val="23"/>
        </w:rPr>
      </w:pPr>
      <w:bookmarkStart w:id="17" w:name="_Hlk55898504"/>
      <w:r>
        <w:rPr>
          <w:rFonts w:ascii="Times New Roman" w:eastAsia="宋体" w:hAnsi="Times New Roman" w:cs="Arial"/>
          <w:kern w:val="0"/>
          <w:sz w:val="23"/>
          <w:szCs w:val="23"/>
        </w:rPr>
        <w:t xml:space="preserve">GB/T 16895.23 </w:t>
      </w:r>
      <w:r>
        <w:rPr>
          <w:rFonts w:ascii="Times New Roman" w:eastAsia="宋体" w:hAnsi="Times New Roman" w:cs="Arial" w:hint="eastAsia"/>
          <w:kern w:val="0"/>
          <w:sz w:val="23"/>
          <w:szCs w:val="23"/>
        </w:rPr>
        <w:t>低压电气装置 第6部分：检验</w:t>
      </w:r>
    </w:p>
    <w:bookmarkEnd w:id="17"/>
    <w:p>
      <w:pPr>
        <w:pStyle w:val="ListParagraph"/>
        <w:numPr>
          <w:ilvl w:val="0"/>
          <w:numId w:val="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性能要求：屏蔽室的接地电阻至少应满足</w:t>
      </w:r>
      <w:r>
        <w:rPr>
          <w:rFonts w:ascii="Arial" w:eastAsia="宋体铫.籡.." w:hAnsi="Arial" w:cs="Arial"/>
          <w:kern w:val="0"/>
          <w:sz w:val="23"/>
          <w:szCs w:val="23"/>
        </w:rPr>
        <w:t>CNAS-CL01-A008</w:t>
      </w:r>
      <w:r>
        <w:rPr>
          <w:rFonts w:ascii="Arial" w:eastAsia="宋体铫.籡.." w:hAnsi="Arial" w:cs="Arial" w:hint="eastAsia"/>
          <w:kern w:val="0"/>
          <w:sz w:val="23"/>
          <w:szCs w:val="23"/>
        </w:rPr>
        <w:t>的要求：接地电阻小于</w:t>
      </w:r>
      <w:r>
        <w:rPr>
          <w:rFonts w:ascii="Arial" w:eastAsia="宋体铫.籡.." w:hAnsi="Arial" w:cs="Arial"/>
          <w:kern w:val="0"/>
          <w:sz w:val="23"/>
          <w:szCs w:val="23"/>
        </w:rPr>
        <w:t xml:space="preserve">4 </w:t>
      </w:r>
      <w:r>
        <w:rPr>
          <w:rFonts w:ascii="Arial" w:eastAsia="宋体铫.籡.." w:hAnsi="Arial" w:cs="Arial" w:hint="eastAsia"/>
          <w:kern w:val="0"/>
          <w:sz w:val="23"/>
          <w:szCs w:val="23"/>
        </w:rPr>
        <w:t>Ω。</w:t>
      </w:r>
    </w:p>
    <w:p>
      <w:pPr>
        <w:pStyle w:val="ListParagraph"/>
        <w:numPr>
          <w:ilvl w:val="0"/>
          <w:numId w:val="9"/>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18" w:name="_Hlk78871873"/>
      <w:r>
        <w:rPr>
          <w:rFonts w:ascii="Arial" w:eastAsia="宋体铫.籡.." w:hAnsi="Arial" w:cs="Arial" w:hint="eastAsia"/>
          <w:kern w:val="0"/>
          <w:sz w:val="23"/>
          <w:szCs w:val="23"/>
        </w:rPr>
        <w:t>测量验证频次：首次验证后，每3~5年进行一次验证。</w:t>
      </w:r>
    </w:p>
    <w:p>
      <w:pPr>
        <w:pStyle w:val="ListParagraph"/>
        <w:numPr>
          <w:ilvl w:val="0"/>
          <w:numId w:val="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或其互认框架下授权的检测机构出具的报告，报告应包含测试点位置等相关信息，相关内容符合CNAS-CL01-A008的要求。</w:t>
      </w:r>
    </w:p>
    <w:bookmarkEnd w:id="18"/>
    <w:p>
      <w:pPr>
        <w:pStyle w:val="Heading2"/>
        <w:numPr>
          <w:ilvl w:val="0"/>
          <w:numId w:val="5"/>
        </w:numPr>
        <w:spacing w:before="120" w:after="120" w:line="240" w:lineRule="auto"/>
        <w:rPr>
          <w:rFonts w:ascii="Times New Roman" w:hAnsi="Times New Roman" w:eastAsiaTheme="minorEastAsia" w:cs="Times New Roman"/>
          <w:kern w:val="0"/>
          <w:sz w:val="24"/>
          <w:szCs w:val="24"/>
        </w:rPr>
      </w:pPr>
      <w:bookmarkStart w:id="19" w:name="_Toc79135105"/>
      <w:r>
        <w:rPr>
          <w:rFonts w:ascii="Times New Roman" w:hAnsi="Times New Roman" w:eastAsiaTheme="minorEastAsia" w:cs="Times New Roman" w:hint="eastAsia"/>
          <w:kern w:val="0"/>
          <w:sz w:val="24"/>
          <w:szCs w:val="24"/>
        </w:rPr>
        <w:t>绝缘电阻</w:t>
      </w:r>
      <w:bookmarkEnd w:id="19"/>
    </w:p>
    <w:p>
      <w:pPr>
        <w:pStyle w:val="ListParagraph"/>
        <w:numPr>
          <w:ilvl w:val="0"/>
          <w:numId w:val="1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autoSpaceDE w:val="0"/>
        <w:autoSpaceDN w:val="0"/>
        <w:adjustRightInd w:val="0"/>
        <w:spacing w:line="360" w:lineRule="auto"/>
        <w:ind w:left="1164" w:firstLine="0" w:firstLineChars="0"/>
        <w:jc w:val="left"/>
        <w:rPr>
          <w:rFonts w:ascii="Arial" w:eastAsia="宋体铫.籡.." w:hAnsi="Arial" w:cs="Arial"/>
          <w:kern w:val="0"/>
          <w:sz w:val="23"/>
          <w:szCs w:val="23"/>
        </w:rPr>
      </w:pPr>
      <w:r>
        <w:rPr>
          <w:rFonts w:ascii="Times New Roman" w:eastAsia="宋体" w:hAnsi="Times New Roman" w:cs="Arial"/>
          <w:kern w:val="0"/>
          <w:sz w:val="23"/>
          <w:szCs w:val="23"/>
        </w:rPr>
        <w:t xml:space="preserve">GB/T 16895.23 </w:t>
      </w:r>
      <w:r>
        <w:rPr>
          <w:rFonts w:ascii="Times New Roman" w:eastAsia="宋体" w:hAnsi="Times New Roman" w:cs="Arial" w:hint="eastAsia"/>
          <w:kern w:val="0"/>
          <w:sz w:val="23"/>
          <w:szCs w:val="23"/>
        </w:rPr>
        <w:t>低压电气装置</w:t>
      </w:r>
      <w:r>
        <w:rPr>
          <w:rFonts w:ascii="Times New Roman" w:eastAsia="宋体" w:hAnsi="Times New Roman" w:cs="Arial"/>
          <w:kern w:val="0"/>
          <w:sz w:val="23"/>
          <w:szCs w:val="23"/>
        </w:rPr>
        <w:t xml:space="preserve"> </w:t>
      </w:r>
      <w:r>
        <w:rPr>
          <w:rFonts w:ascii="Times New Roman" w:eastAsia="宋体" w:hAnsi="Times New Roman" w:cs="Arial" w:hint="eastAsia"/>
          <w:kern w:val="0"/>
          <w:sz w:val="23"/>
          <w:szCs w:val="23"/>
        </w:rPr>
        <w:t>第</w:t>
      </w:r>
      <w:r>
        <w:rPr>
          <w:rFonts w:ascii="Times New Roman" w:eastAsia="宋体" w:hAnsi="Times New Roman" w:cs="Arial"/>
          <w:kern w:val="0"/>
          <w:sz w:val="23"/>
          <w:szCs w:val="23"/>
        </w:rPr>
        <w:t>6</w:t>
      </w:r>
      <w:r>
        <w:rPr>
          <w:rFonts w:ascii="Times New Roman" w:eastAsia="宋体" w:hAnsi="Times New Roman" w:cs="Arial" w:hint="eastAsia"/>
          <w:kern w:val="0"/>
          <w:sz w:val="23"/>
          <w:szCs w:val="23"/>
        </w:rPr>
        <w:t>部分：检验</w:t>
      </w:r>
    </w:p>
    <w:p>
      <w:pPr>
        <w:pStyle w:val="ListParagraph"/>
        <w:numPr>
          <w:ilvl w:val="0"/>
          <w:numId w:val="10"/>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32"/>
          <w:footerReference w:type="default" r:id="rId33"/>
          <w:headerReference w:type="first" r:id="rId34"/>
          <w:footerReference w:type="first" r:id="rId35"/>
          <w:type w:val="nextPage"/>
          <w:pgSz w:w="11906" w:h="16838"/>
          <w:pgMar w:top="1418" w:right="1418" w:bottom="1418" w:left="1701" w:header="851" w:footer="992" w:gutter="0"/>
          <w:pgNumType w:start="7"/>
          <w:cols w:num="1" w:space="425"/>
          <w:titlePg w:val="0"/>
          <w:docGrid w:linePitch="312" w:charSpace="0"/>
        </w:sect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屏蔽室的绝缘电阻至少应满足CNAS-CL01-A008的要求：电源进线对屏蔽室金属壁的绝缘电阻及导线与导线之间的绝缘电阻应大于2</w:t>
      </w:r>
      <w:r>
        <w:rPr>
          <w:rFonts w:ascii="Arial" w:eastAsia="宋体铫.籡.." w:hAnsi="Arial" w:cs="Arial"/>
          <w:kern w:val="0"/>
          <w:sz w:val="23"/>
          <w:szCs w:val="23"/>
        </w:rPr>
        <w:t xml:space="preserve"> </w:t>
      </w:r>
      <w:r>
        <w:rPr>
          <w:rFonts w:ascii="Arial" w:eastAsia="宋体铫.籡.." w:hAnsi="Arial" w:cs="Arial" w:hint="eastAsia"/>
          <w:kern w:val="0"/>
          <w:sz w:val="23"/>
          <w:szCs w:val="23"/>
        </w:rPr>
        <w:t>MΩ。</w:t>
      </w:r>
    </w:p>
    <w:p>
      <w:pPr>
        <w:pStyle w:val="ListParagraph"/>
        <w:numPr>
          <w:ilvl w:val="0"/>
          <w:numId w:val="1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1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报告要求：应由CNAS或其互认框架下授权的检测机构出具的报告，报告相关内容符合CNAS-CL01-A008的要求。</w:t>
      </w:r>
    </w:p>
    <w:p>
      <w:pPr>
        <w:pStyle w:val="Heading2"/>
        <w:numPr>
          <w:ilvl w:val="0"/>
          <w:numId w:val="5"/>
        </w:numPr>
        <w:spacing w:before="120" w:after="120" w:line="240" w:lineRule="auto"/>
        <w:rPr>
          <w:rFonts w:ascii="Times New Roman" w:hAnsi="Times New Roman" w:eastAsiaTheme="minorEastAsia" w:cs="Times New Roman"/>
          <w:kern w:val="0"/>
          <w:sz w:val="24"/>
          <w:szCs w:val="24"/>
        </w:rPr>
      </w:pPr>
      <w:bookmarkStart w:id="20" w:name="_Toc79135106"/>
      <w:r>
        <w:rPr>
          <w:rFonts w:ascii="Times New Roman" w:hAnsi="Times New Roman" w:eastAsiaTheme="minorEastAsia" w:cs="Times New Roman" w:hint="eastAsia"/>
          <w:kern w:val="0"/>
          <w:sz w:val="24"/>
          <w:szCs w:val="24"/>
        </w:rPr>
        <w:t>环境噪声电平</w:t>
      </w:r>
      <w:bookmarkEnd w:id="20"/>
    </w:p>
    <w:p>
      <w:pPr>
        <w:pStyle w:val="ListParagraph"/>
        <w:numPr>
          <w:ilvl w:val="0"/>
          <w:numId w:val="1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1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 xml:space="preserve">GB/T </w:t>
      </w:r>
      <w:r>
        <w:rPr>
          <w:rFonts w:ascii="Times New Roman" w:eastAsia="宋体" w:hAnsi="Times New Roman" w:cs="Arial" w:hint="eastAsia"/>
          <w:kern w:val="0"/>
          <w:sz w:val="23"/>
          <w:szCs w:val="23"/>
        </w:rPr>
        <w:t xml:space="preserve">9254 </w:t>
      </w:r>
      <w:r>
        <w:rPr>
          <w:rFonts w:ascii="Times New Roman" w:eastAsia="宋体" w:hAnsi="Times New Roman" w:cs="Arial"/>
          <w:kern w:val="0"/>
          <w:sz w:val="23"/>
          <w:szCs w:val="23"/>
        </w:rPr>
        <w:t>信息技术设备的无线电骚扰限值和测量方法</w:t>
      </w:r>
    </w:p>
    <w:p>
      <w:pPr>
        <w:pStyle w:val="ListParagraph"/>
        <w:numPr>
          <w:ilvl w:val="0"/>
          <w:numId w:val="1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GB/T 13837 </w:t>
      </w:r>
      <w:r>
        <w:rPr>
          <w:rFonts w:ascii="Times New Roman" w:eastAsia="宋体" w:hAnsi="Times New Roman" w:cs="Arial"/>
          <w:kern w:val="0"/>
          <w:sz w:val="23"/>
          <w:szCs w:val="23"/>
        </w:rPr>
        <w:t>声音和电视广播接收机及有关设备 无线电骚扰特性 限值和测量方法</w:t>
      </w:r>
    </w:p>
    <w:p>
      <w:pPr>
        <w:pStyle w:val="ListParagraph"/>
        <w:numPr>
          <w:ilvl w:val="0"/>
          <w:numId w:val="1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GB 4343.1 </w:t>
      </w:r>
      <w:r>
        <w:rPr>
          <w:rFonts w:ascii="Times New Roman" w:eastAsia="宋体" w:hAnsi="Times New Roman" w:cs="Arial"/>
          <w:kern w:val="0"/>
          <w:sz w:val="23"/>
          <w:szCs w:val="23"/>
        </w:rPr>
        <w:t>家用电器、电动工具和类似器具的电磁兼容要求 第1部分：发射</w:t>
      </w:r>
    </w:p>
    <w:p>
      <w:pPr>
        <w:pStyle w:val="ListParagraph"/>
        <w:numPr>
          <w:ilvl w:val="0"/>
          <w:numId w:val="1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17743</w:t>
      </w:r>
      <w:r>
        <w:rPr>
          <w:rFonts w:ascii="Times New Roman" w:eastAsia="宋体" w:hAnsi="Times New Roman" w:cs="Arial"/>
          <w:kern w:val="0"/>
          <w:sz w:val="23"/>
          <w:szCs w:val="23"/>
        </w:rPr>
        <w:t>电气照明和类似设备的无线电骚扰特性的限值和测量方法</w:t>
      </w:r>
    </w:p>
    <w:p>
      <w:pPr>
        <w:pStyle w:val="ListParagraph"/>
        <w:numPr>
          <w:ilvl w:val="0"/>
          <w:numId w:val="1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 4824 工业、科学和医疗设备 射频骚扰特性 限值和测量方法</w:t>
      </w:r>
    </w:p>
    <w:p>
      <w:pPr>
        <w:pStyle w:val="ListParagraph"/>
        <w:numPr>
          <w:ilvl w:val="0"/>
          <w:numId w:val="1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相关标准等</w:t>
      </w:r>
    </w:p>
    <w:p>
      <w:pPr>
        <w:pStyle w:val="ListParagraph"/>
        <w:numPr>
          <w:ilvl w:val="0"/>
          <w:numId w:val="1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屏蔽室的环境噪声电平应比相应适用标准规定的限值至少低6dB。</w:t>
      </w:r>
    </w:p>
    <w:p>
      <w:pPr>
        <w:pStyle w:val="ListParagraph"/>
        <w:numPr>
          <w:ilvl w:val="0"/>
          <w:numId w:val="11"/>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21" w:name="_Hlk78901311"/>
      <w:r>
        <w:rPr>
          <w:rFonts w:ascii="Arial" w:eastAsia="宋体铫.籡.." w:hAnsi="Arial" w:cs="Arial" w:hint="eastAsia"/>
          <w:kern w:val="0"/>
          <w:sz w:val="23"/>
          <w:szCs w:val="23"/>
        </w:rPr>
        <w:t>测量验证频次：首次验证，其后实验室可自行规范每次测试前的环境噪声电平确认</w:t>
      </w:r>
    </w:p>
    <w:p>
      <w:pPr>
        <w:pStyle w:val="ListParagraph"/>
        <w:numPr>
          <w:ilvl w:val="0"/>
          <w:numId w:val="1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报告要求：首次验证报告应由CNAS或其互认框架下授权的检测机构出具。</w:t>
      </w:r>
    </w:p>
    <w:bookmarkEnd w:id="21"/>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22" w:name="_Toc79135107"/>
      <w:r>
        <w:rPr>
          <w:rFonts w:ascii="Times New Roman" w:hAnsi="Times New Roman" w:eastAsiaTheme="minorEastAsia" w:cs="Times New Roman" w:hint="eastAsia"/>
          <w:kern w:val="0"/>
          <w:sz w:val="24"/>
          <w:szCs w:val="24"/>
        </w:rPr>
        <w:t>半电波暗室</w:t>
      </w:r>
      <w:bookmarkEnd w:id="22"/>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23" w:name="_Toc79135108"/>
      <w:r>
        <w:rPr>
          <w:rFonts w:ascii="Times New Roman" w:hAnsi="Times New Roman" w:eastAsiaTheme="minorEastAsia" w:cs="Times New Roman" w:hint="eastAsia"/>
          <w:kern w:val="0"/>
          <w:sz w:val="24"/>
          <w:szCs w:val="24"/>
        </w:rPr>
        <w:t>屏蔽效能</w:t>
      </w:r>
      <w:bookmarkEnd w:id="23"/>
    </w:p>
    <w:p>
      <w:pPr>
        <w:pStyle w:val="ListParagraph"/>
        <w:numPr>
          <w:ilvl w:val="0"/>
          <w:numId w:val="1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15"/>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GB/T 12190</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电磁屏蔽室屏蔽效能的测量方法</w:t>
      </w:r>
    </w:p>
    <w:p>
      <w:pPr>
        <w:pStyle w:val="ListParagraph"/>
        <w:numPr>
          <w:ilvl w:val="0"/>
          <w:numId w:val="15"/>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EN 50147-1 Anechoic chambers - Part1.Shield attenuation measurement</w:t>
      </w:r>
    </w:p>
    <w:p>
      <w:pPr>
        <w:pStyle w:val="ListParagraph"/>
        <w:autoSpaceDE w:val="0"/>
        <w:autoSpaceDN w:val="0"/>
        <w:adjustRightInd w:val="0"/>
        <w:spacing w:line="360" w:lineRule="auto"/>
        <w:ind w:left="567" w:firstLine="0" w:firstLineChars="0"/>
        <w:rPr>
          <w:rFonts w:ascii="Times New Roman" w:eastAsia="宋体" w:hAnsi="Times New Roman" w:cs="Arial"/>
          <w:kern w:val="0"/>
          <w:sz w:val="20"/>
          <w:szCs w:val="20"/>
        </w:rPr>
      </w:pPr>
      <w:bookmarkStart w:id="24" w:name="_Hlk55899335"/>
      <w:r>
        <w:rPr>
          <w:rFonts w:ascii="Times New Roman" w:eastAsia="宋体" w:hAnsi="Times New Roman" w:cs="Arial" w:hint="eastAsia"/>
          <w:kern w:val="0"/>
          <w:sz w:val="20"/>
          <w:szCs w:val="20"/>
        </w:rPr>
        <w:t>备注：进行复测时，由于吸波材料已布置好，此时仅在天线能按照标准布置的部位进行屏蔽效能的测试。</w:t>
      </w:r>
    </w:p>
    <w:bookmarkEnd w:id="24"/>
    <w:p>
      <w:pPr>
        <w:pStyle w:val="ListParagraph"/>
        <w:numPr>
          <w:ilvl w:val="0"/>
          <w:numId w:val="1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autoSpaceDE w:val="0"/>
        <w:autoSpaceDN w:val="0"/>
        <w:adjustRightInd w:val="0"/>
        <w:snapToGrid w:val="0"/>
        <w:spacing w:before="120" w:beforeLines="50" w:line="360" w:lineRule="auto"/>
        <w:ind w:firstLine="345" w:firstLineChars="150"/>
        <w:rPr>
          <w:rFonts w:ascii="Arial" w:eastAsia="宋体铫.籡.." w:hAnsi="Arial" w:cs="Arial"/>
          <w:kern w:val="0"/>
          <w:sz w:val="23"/>
          <w:szCs w:val="23"/>
        </w:rPr>
      </w:pPr>
      <w:r>
        <w:rPr>
          <w:rFonts w:ascii="Arial" w:eastAsia="宋体铫.籡.." w:hAnsi="Arial" w:cs="Arial" w:hint="eastAsia"/>
          <w:kern w:val="0"/>
          <w:sz w:val="23"/>
          <w:szCs w:val="23"/>
        </w:rPr>
        <w:t>半电波暗室的屏蔽效能应至少满足</w:t>
      </w:r>
      <w:r>
        <w:rPr>
          <w:rFonts w:ascii="Arial" w:eastAsia="宋体铫.籡.." w:hAnsi="Arial" w:cs="Arial"/>
          <w:kern w:val="0"/>
          <w:sz w:val="23"/>
          <w:szCs w:val="23"/>
        </w:rPr>
        <w:t>CNAS-CL01-A008</w:t>
      </w:r>
      <w:r>
        <w:rPr>
          <w:rFonts w:ascii="Arial" w:eastAsia="宋体铫.籡.." w:hAnsi="Arial" w:cs="Arial" w:hint="eastAsia"/>
          <w:kern w:val="0"/>
          <w:sz w:val="23"/>
          <w:szCs w:val="23"/>
        </w:rPr>
        <w:t>的要求：</w:t>
      </w:r>
    </w:p>
    <w:p>
      <w:pPr>
        <w:pStyle w:val="ListParagraph"/>
        <w:numPr>
          <w:ilvl w:val="0"/>
          <w:numId w:val="16"/>
        </w:numPr>
        <w:autoSpaceDE w:val="0"/>
        <w:autoSpaceDN w:val="0"/>
        <w:adjustRightInd w:val="0"/>
        <w:snapToGrid w:val="0"/>
        <w:spacing w:before="120" w:beforeLines="50" w:line="360" w:lineRule="auto"/>
        <w:ind w:left="987" w:firstLineChars="0"/>
        <w:rPr>
          <w:rFonts w:ascii="Arial" w:eastAsia="宋体铫.籡.." w:hAnsi="Arial" w:cs="Arial"/>
          <w:kern w:val="0"/>
          <w:sz w:val="23"/>
          <w:szCs w:val="23"/>
        </w:rPr>
      </w:pPr>
      <w:r>
        <w:rPr>
          <w:rFonts w:ascii="Arial" w:eastAsia="宋体铫.籡.." w:hAnsi="Arial" w:cs="Arial" w:hint="eastAsia"/>
          <w:kern w:val="0"/>
          <w:sz w:val="23"/>
          <w:szCs w:val="23"/>
        </w:rPr>
        <w:t>14</w:t>
      </w:r>
      <w:r>
        <w:rPr>
          <w:rFonts w:ascii="Arial" w:eastAsia="宋体铫.籡.." w:hAnsi="Arial" w:cs="Arial"/>
          <w:kern w:val="0"/>
          <w:sz w:val="23"/>
          <w:szCs w:val="23"/>
        </w:rPr>
        <w:t xml:space="preserve"> </w:t>
      </w:r>
      <w:r>
        <w:rPr>
          <w:rFonts w:ascii="Arial" w:eastAsia="宋体铫.籡.." w:hAnsi="Arial" w:cs="Arial" w:hint="eastAsia"/>
          <w:kern w:val="0"/>
          <w:sz w:val="23"/>
          <w:szCs w:val="23"/>
        </w:rPr>
        <w:t>kHz-1</w:t>
      </w:r>
      <w:r>
        <w:rPr>
          <w:rFonts w:ascii="Arial" w:eastAsia="宋体铫.籡.." w:hAnsi="Arial" w:cs="Arial"/>
          <w:kern w:val="0"/>
          <w:sz w:val="23"/>
          <w:szCs w:val="23"/>
        </w:rPr>
        <w:t xml:space="preserve"> </w:t>
      </w:r>
      <w:r>
        <w:rPr>
          <w:rFonts w:ascii="Arial" w:eastAsia="宋体铫.籡.." w:hAnsi="Arial" w:cs="Arial" w:hint="eastAsia"/>
          <w:kern w:val="0"/>
          <w:sz w:val="23"/>
          <w:szCs w:val="23"/>
        </w:rPr>
        <w:t>MHz       ＞60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16"/>
        </w:numPr>
        <w:autoSpaceDE w:val="0"/>
        <w:autoSpaceDN w:val="0"/>
        <w:adjustRightInd w:val="0"/>
        <w:spacing w:line="360" w:lineRule="auto"/>
        <w:ind w:left="987" w:firstLineChars="0"/>
        <w:jc w:val="left"/>
        <w:rPr>
          <w:rFonts w:ascii="Arial" w:eastAsia="宋体铫.籡.." w:hAnsi="Arial" w:cs="Arial"/>
          <w:kern w:val="0"/>
          <w:sz w:val="23"/>
          <w:szCs w:val="23"/>
        </w:rPr>
        <w:sectPr>
          <w:headerReference w:type="default" r:id="rId36"/>
          <w:footerReference w:type="default" r:id="rId37"/>
          <w:headerReference w:type="first" r:id="rId38"/>
          <w:footerReference w:type="first" r:id="rId39"/>
          <w:type w:val="nextPage"/>
          <w:pgSz w:w="11906" w:h="16838"/>
          <w:pgMar w:top="1418" w:right="1418" w:bottom="1418" w:left="1701" w:header="851" w:footer="992" w:gutter="0"/>
          <w:pgNumType w:start="8"/>
          <w:cols w:num="1" w:space="425"/>
          <w:titlePg w:val="0"/>
          <w:docGrid w:linePitch="312" w:charSpace="0"/>
        </w:sect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MHz-1000</w:t>
      </w:r>
      <w:r>
        <w:rPr>
          <w:rFonts w:ascii="Arial" w:eastAsia="宋体铫.籡.." w:hAnsi="Arial" w:cs="Arial"/>
          <w:kern w:val="0"/>
          <w:sz w:val="23"/>
          <w:szCs w:val="23"/>
        </w:rPr>
        <w:t xml:space="preserve"> </w:t>
      </w:r>
      <w:r>
        <w:rPr>
          <w:rFonts w:ascii="Arial" w:eastAsia="宋体铫.籡.." w:hAnsi="Arial" w:cs="Arial" w:hint="eastAsia"/>
          <w:kern w:val="0"/>
          <w:sz w:val="23"/>
          <w:szCs w:val="23"/>
        </w:rPr>
        <w:t>MHz   ＞90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16"/>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GHz-18</w:t>
      </w:r>
      <w:r>
        <w:rPr>
          <w:rFonts w:ascii="Arial" w:eastAsia="宋体铫.籡.." w:hAnsi="Arial" w:cs="Arial"/>
          <w:kern w:val="0"/>
          <w:sz w:val="23"/>
          <w:szCs w:val="23"/>
        </w:rPr>
        <w:t xml:space="preserve"> </w:t>
      </w:r>
      <w:r>
        <w:rPr>
          <w:rFonts w:ascii="Arial" w:eastAsia="宋体铫.籡.." w:hAnsi="Arial" w:cs="Arial" w:hint="eastAsia"/>
          <w:kern w:val="0"/>
          <w:sz w:val="23"/>
          <w:szCs w:val="23"/>
        </w:rPr>
        <w:t>GHz      ＞80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14"/>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25" w:name="_Hlk79080728"/>
      <w:r>
        <w:rPr>
          <w:rFonts w:ascii="Arial" w:eastAsia="宋体铫.籡.." w:hAnsi="Arial" w:cs="Arial" w:hint="eastAsia"/>
          <w:kern w:val="0"/>
          <w:sz w:val="23"/>
          <w:szCs w:val="23"/>
        </w:rPr>
        <w:t>测量验证频次：首次验证后，每3~5年进行一次验证</w:t>
      </w:r>
    </w:p>
    <w:p>
      <w:pPr>
        <w:pStyle w:val="ListParagraph"/>
        <w:numPr>
          <w:ilvl w:val="0"/>
          <w:numId w:val="1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或其互认框架下授权的检测机构出具的报告，报告应包含测试位置及布置图等信息，相关内容符合CNAS-CL01-A008的要求。</w:t>
      </w:r>
    </w:p>
    <w:bookmarkEnd w:id="25"/>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26" w:name="_Toc79135109"/>
      <w:r>
        <w:rPr>
          <w:rFonts w:ascii="Times New Roman" w:hAnsi="Times New Roman" w:eastAsiaTheme="minorEastAsia" w:cs="Times New Roman" w:hint="eastAsia"/>
          <w:kern w:val="0"/>
          <w:sz w:val="24"/>
          <w:szCs w:val="24"/>
        </w:rPr>
        <w:t>接地电阻</w:t>
      </w:r>
      <w:bookmarkEnd w:id="26"/>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同5.1.2要求</w:t>
      </w:r>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27" w:name="_Toc79135110"/>
      <w:r>
        <w:rPr>
          <w:rFonts w:ascii="Times New Roman" w:hAnsi="Times New Roman" w:eastAsiaTheme="minorEastAsia" w:cs="Times New Roman" w:hint="eastAsia"/>
          <w:kern w:val="0"/>
          <w:sz w:val="24"/>
          <w:szCs w:val="24"/>
        </w:rPr>
        <w:t>绝缘电阻</w:t>
      </w:r>
      <w:bookmarkEnd w:id="27"/>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同5.1.3要求</w:t>
      </w:r>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28" w:name="_Toc79135111"/>
      <w:r>
        <w:rPr>
          <w:rFonts w:ascii="Times New Roman" w:hAnsi="Times New Roman" w:eastAsiaTheme="minorEastAsia" w:cs="Times New Roman" w:hint="eastAsia"/>
          <w:kern w:val="0"/>
          <w:sz w:val="24"/>
          <w:szCs w:val="24"/>
        </w:rPr>
        <w:t>归一化场地衰减</w:t>
      </w:r>
      <w:bookmarkEnd w:id="28"/>
    </w:p>
    <w:p>
      <w:pPr>
        <w:pStyle w:val="ListParagraph"/>
        <w:numPr>
          <w:ilvl w:val="0"/>
          <w:numId w:val="17"/>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18"/>
        </w:numPr>
        <w:spacing w:before="40" w:after="40" w:line="360" w:lineRule="auto"/>
        <w:ind w:left="945" w:leftChars="250" w:firstLineChars="0"/>
        <w:rPr>
          <w:rFonts w:ascii="Arial" w:eastAsia="宋体铫.籡.." w:hAnsi="Arial" w:cs="Arial"/>
          <w:kern w:val="0"/>
          <w:sz w:val="23"/>
          <w:szCs w:val="23"/>
        </w:rPr>
      </w:pPr>
      <w:r>
        <w:rPr>
          <w:rFonts w:ascii="Arial" w:eastAsia="宋体铫.籡.." w:hAnsi="Arial" w:cs="Arial"/>
          <w:kern w:val="0"/>
          <w:sz w:val="23"/>
          <w:szCs w:val="23"/>
        </w:rPr>
        <w:t>CISPR 16-1-4</w:t>
      </w:r>
      <w:r>
        <w:rPr>
          <w:rFonts w:ascii="Arial" w:eastAsia="宋体铫.籡.." w:hAnsi="Arial" w:cs="Arial" w:hint="eastAsia"/>
          <w:kern w:val="0"/>
          <w:sz w:val="23"/>
          <w:szCs w:val="23"/>
        </w:rPr>
        <w:t xml:space="preserve">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 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18"/>
        </w:numPr>
        <w:autoSpaceDE w:val="0"/>
        <w:autoSpaceDN w:val="0"/>
        <w:adjustRightInd w:val="0"/>
        <w:spacing w:line="360" w:lineRule="auto"/>
        <w:ind w:left="945" w:leftChars="250" w:firstLineChars="0"/>
        <w:rPr>
          <w:rFonts w:ascii="Arial" w:eastAsia="宋体铫.籡.." w:hAnsi="Arial" w:cs="Arial"/>
          <w:kern w:val="0"/>
          <w:sz w:val="23"/>
          <w:szCs w:val="23"/>
        </w:rPr>
      </w:pPr>
      <w:r>
        <w:rPr>
          <w:rFonts w:ascii="Arial" w:eastAsia="宋体铫.籡.." w:hAnsi="Arial" w:cs="Arial" w:hint="eastAsia"/>
          <w:kern w:val="0"/>
          <w:sz w:val="23"/>
          <w:szCs w:val="23"/>
        </w:rPr>
        <w:t xml:space="preserve">GB/T 6113.104 </w:t>
      </w:r>
      <w:r>
        <w:rPr>
          <w:rFonts w:ascii="Arial" w:eastAsia="宋体铫.籡.." w:hAnsi="Arial" w:cs="Arial"/>
          <w:kern w:val="0"/>
          <w:sz w:val="23"/>
          <w:szCs w:val="23"/>
        </w:rPr>
        <w:t>无线电骚扰和抗扰度测量设备和测量方法规范 第1-4部分: 无线电骚扰和抗扰度测量设备 辐射骚扰测量用天线和试验场地</w:t>
      </w:r>
    </w:p>
    <w:p>
      <w:pPr>
        <w:pStyle w:val="ListParagraph"/>
        <w:numPr>
          <w:ilvl w:val="0"/>
          <w:numId w:val="18"/>
        </w:numPr>
        <w:autoSpaceDE w:val="0"/>
        <w:autoSpaceDN w:val="0"/>
        <w:adjustRightInd w:val="0"/>
        <w:spacing w:line="360" w:lineRule="auto"/>
        <w:ind w:left="945" w:leftChars="250" w:firstLineChars="0"/>
        <w:rPr>
          <w:rFonts w:ascii="Arial" w:eastAsia="宋体铫.籡.." w:hAnsi="Arial" w:cs="Arial"/>
          <w:kern w:val="0"/>
          <w:sz w:val="23"/>
          <w:szCs w:val="23"/>
        </w:rPr>
      </w:pPr>
      <w:r>
        <w:rPr>
          <w:rFonts w:ascii="Arial" w:eastAsia="宋体铫.籡.." w:hAnsi="Arial" w:cs="Arial" w:hint="eastAsia"/>
          <w:kern w:val="0"/>
          <w:sz w:val="23"/>
          <w:szCs w:val="23"/>
        </w:rPr>
        <w:t xml:space="preserve">EN 55016-1-4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w:t>
      </w:r>
      <w:r>
        <w:rPr>
          <w:rFonts w:ascii="Arial" w:eastAsia="宋体铫.籡.." w:hAnsi="Arial" w:cs="Arial" w:hint="eastAsia"/>
          <w:kern w:val="0"/>
          <w:sz w:val="23"/>
          <w:szCs w:val="23"/>
        </w:rPr>
        <w:t xml:space="preserve"> </w:t>
      </w:r>
      <w:r>
        <w:rPr>
          <w:rFonts w:ascii="Arial" w:eastAsia="宋体铫.籡.." w:hAnsi="Arial" w:cs="Arial"/>
          <w:kern w:val="0"/>
          <w:sz w:val="23"/>
          <w:szCs w:val="23"/>
        </w:rPr>
        <w:t>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18"/>
        </w:numPr>
        <w:autoSpaceDE w:val="0"/>
        <w:autoSpaceDN w:val="0"/>
        <w:adjustRightInd w:val="0"/>
        <w:spacing w:line="360" w:lineRule="auto"/>
        <w:ind w:left="945" w:leftChars="250" w:firstLineChars="0"/>
        <w:rPr>
          <w:rFonts w:ascii="Arial" w:eastAsia="宋体铫.籡.." w:hAnsi="Arial" w:cs="Arial"/>
          <w:kern w:val="0"/>
          <w:sz w:val="23"/>
          <w:szCs w:val="23"/>
        </w:rPr>
      </w:pPr>
      <w:r>
        <w:rPr>
          <w:rFonts w:ascii="Arial" w:eastAsia="宋体铫.籡.." w:hAnsi="Arial" w:cs="Arial" w:hint="eastAsia"/>
          <w:kern w:val="0"/>
          <w:sz w:val="23"/>
          <w:szCs w:val="23"/>
        </w:rPr>
        <w:t xml:space="preserve">ANSI C63.4 </w:t>
      </w:r>
      <w:r>
        <w:rPr>
          <w:rFonts w:ascii="Arial" w:eastAsia="宋体铫.籡.." w:hAnsi="Arial" w:cs="Arial"/>
          <w:kern w:val="0"/>
          <w:sz w:val="23"/>
          <w:szCs w:val="23"/>
        </w:rPr>
        <w:t>American National Standard for</w:t>
      </w:r>
      <w:r>
        <w:rPr>
          <w:rFonts w:ascii="Arial" w:eastAsia="宋体铫.籡.." w:hAnsi="Arial" w:cs="Arial" w:hint="eastAsia"/>
          <w:kern w:val="0"/>
          <w:sz w:val="23"/>
          <w:szCs w:val="23"/>
        </w:rPr>
        <w:t xml:space="preserve"> </w:t>
      </w:r>
      <w:r>
        <w:rPr>
          <w:rFonts w:ascii="Arial" w:eastAsia="宋体铫.籡.." w:hAnsi="Arial" w:cs="Arial"/>
          <w:kern w:val="0"/>
          <w:sz w:val="23"/>
          <w:szCs w:val="23"/>
        </w:rPr>
        <w:t>Methods of Measurement of RadioNoise Emissions from Low-Voltage</w:t>
      </w:r>
      <w:r>
        <w:rPr>
          <w:rFonts w:ascii="Arial" w:eastAsia="宋体铫.籡.." w:hAnsi="Arial" w:cs="Arial" w:hint="eastAsia"/>
          <w:kern w:val="0"/>
          <w:sz w:val="23"/>
          <w:szCs w:val="23"/>
        </w:rPr>
        <w:t xml:space="preserve"> </w:t>
      </w:r>
      <w:r>
        <w:rPr>
          <w:rFonts w:ascii="Arial" w:eastAsia="宋体铫.籡.." w:hAnsi="Arial" w:cs="Arial"/>
          <w:kern w:val="0"/>
          <w:sz w:val="23"/>
          <w:szCs w:val="23"/>
        </w:rPr>
        <w:t>Electrical and Electronic Equipment</w:t>
      </w:r>
      <w:r>
        <w:rPr>
          <w:rFonts w:ascii="Arial" w:eastAsia="宋体铫.籡.." w:hAnsi="Arial" w:cs="Arial" w:hint="eastAsia"/>
          <w:kern w:val="0"/>
          <w:sz w:val="23"/>
          <w:szCs w:val="23"/>
        </w:rPr>
        <w:t xml:space="preserve"> </w:t>
      </w:r>
      <w:r>
        <w:rPr>
          <w:rFonts w:ascii="Arial" w:eastAsia="宋体铫.籡.." w:hAnsi="Arial" w:cs="Arial"/>
          <w:kern w:val="0"/>
          <w:sz w:val="23"/>
          <w:szCs w:val="23"/>
        </w:rPr>
        <w:t>in the Range of 9 kHz to 40 GHz</w:t>
      </w:r>
    </w:p>
    <w:p>
      <w:pPr>
        <w:pStyle w:val="ListParagraph"/>
        <w:numPr>
          <w:ilvl w:val="0"/>
          <w:numId w:val="18"/>
        </w:numPr>
        <w:autoSpaceDE w:val="0"/>
        <w:autoSpaceDN w:val="0"/>
        <w:adjustRightInd w:val="0"/>
        <w:spacing w:line="360" w:lineRule="auto"/>
        <w:ind w:left="945" w:leftChars="250" w:firstLineChars="0"/>
        <w:rPr>
          <w:rFonts w:ascii="Arial" w:eastAsia="宋体铫.籡.." w:hAnsi="Arial" w:cs="Arial"/>
          <w:kern w:val="0"/>
          <w:sz w:val="23"/>
          <w:szCs w:val="23"/>
        </w:rPr>
      </w:pPr>
      <w:r>
        <w:rPr>
          <w:rFonts w:ascii="Arial" w:eastAsia="宋体铫.籡.." w:hAnsi="Arial" w:cs="Arial" w:hint="eastAsia"/>
          <w:kern w:val="0"/>
          <w:sz w:val="23"/>
          <w:szCs w:val="23"/>
        </w:rPr>
        <w:t xml:space="preserve">ANSI C63.4a </w:t>
      </w:r>
      <w:r>
        <w:rPr>
          <w:rFonts w:ascii="Arial" w:eastAsia="宋体铫.籡.." w:hAnsi="Arial" w:cs="Arial"/>
          <w:kern w:val="0"/>
          <w:sz w:val="23"/>
          <w:szCs w:val="23"/>
        </w:rPr>
        <w:t>American National Standard for</w:t>
      </w:r>
      <w:r>
        <w:rPr>
          <w:rFonts w:ascii="Arial" w:eastAsia="宋体铫.籡.." w:hAnsi="Arial" w:cs="Arial" w:hint="eastAsia"/>
          <w:kern w:val="0"/>
          <w:sz w:val="23"/>
          <w:szCs w:val="23"/>
        </w:rPr>
        <w:t xml:space="preserve"> </w:t>
      </w:r>
      <w:r>
        <w:rPr>
          <w:rFonts w:ascii="Arial" w:eastAsia="宋体铫.籡.." w:hAnsi="Arial" w:cs="Arial"/>
          <w:kern w:val="0"/>
          <w:sz w:val="23"/>
          <w:szCs w:val="23"/>
        </w:rPr>
        <w:t>Methods of Measurement of RadioNoise Emissions from Low-Voltage</w:t>
      </w:r>
      <w:r>
        <w:rPr>
          <w:rFonts w:ascii="Arial" w:eastAsia="宋体铫.籡.." w:hAnsi="Arial" w:cs="Arial" w:hint="eastAsia"/>
          <w:kern w:val="0"/>
          <w:sz w:val="23"/>
          <w:szCs w:val="23"/>
        </w:rPr>
        <w:t xml:space="preserve"> </w:t>
      </w:r>
      <w:r>
        <w:rPr>
          <w:rFonts w:ascii="Arial" w:eastAsia="宋体铫.籡.." w:hAnsi="Arial" w:cs="Arial"/>
          <w:kern w:val="0"/>
          <w:sz w:val="23"/>
          <w:szCs w:val="23"/>
        </w:rPr>
        <w:t>Electrical and Electronic Equipment</w:t>
      </w:r>
      <w:r>
        <w:rPr>
          <w:rFonts w:ascii="Arial" w:eastAsia="宋体铫.籡.." w:hAnsi="Arial" w:cs="Arial" w:hint="eastAsia"/>
          <w:kern w:val="0"/>
          <w:sz w:val="23"/>
          <w:szCs w:val="23"/>
        </w:rPr>
        <w:t xml:space="preserve"> </w:t>
      </w:r>
      <w:r>
        <w:rPr>
          <w:rFonts w:ascii="Arial" w:eastAsia="宋体铫.籡.." w:hAnsi="Arial" w:cs="Arial"/>
          <w:kern w:val="0"/>
          <w:sz w:val="23"/>
          <w:szCs w:val="23"/>
        </w:rPr>
        <w:t>in the Range of 9 kHz to 40 GHz</w:t>
      </w:r>
      <w:r>
        <w:rPr>
          <w:rFonts w:ascii="Arial" w:eastAsia="宋体铫.籡.." w:hAnsi="Arial" w:cs="Arial" w:hint="eastAsia"/>
          <w:kern w:val="0"/>
          <w:sz w:val="23"/>
          <w:szCs w:val="23"/>
        </w:rPr>
        <w:t xml:space="preserve"> </w:t>
      </w:r>
      <w:r>
        <w:rPr>
          <w:rFonts w:ascii="Arial" w:eastAsia="宋体铫.籡.." w:hAnsi="Arial" w:cs="Arial"/>
          <w:kern w:val="0"/>
          <w:sz w:val="23"/>
          <w:szCs w:val="23"/>
        </w:rPr>
        <w:t>Amendment 1: Test Site Validation</w:t>
      </w:r>
    </w:p>
    <w:p>
      <w:pPr>
        <w:pStyle w:val="ListParagraph"/>
        <w:numPr>
          <w:ilvl w:val="0"/>
          <w:numId w:val="17"/>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半电波暗室的归一化场地衰减（</w:t>
      </w:r>
      <w:r>
        <w:rPr>
          <w:rFonts w:ascii="Arial" w:eastAsia="宋体铫.籡.." w:hAnsi="Arial" w:cs="Arial"/>
          <w:kern w:val="0"/>
          <w:sz w:val="23"/>
          <w:szCs w:val="23"/>
        </w:rPr>
        <w:t>NSA</w:t>
      </w:r>
      <w:r>
        <w:rPr>
          <w:rFonts w:ascii="Arial" w:eastAsia="宋体铫.籡.." w:hAnsi="Arial" w:cs="Arial" w:hint="eastAsia"/>
          <w:kern w:val="0"/>
          <w:sz w:val="23"/>
          <w:szCs w:val="23"/>
        </w:rPr>
        <w:t>）满足</w:t>
      </w:r>
      <w:r>
        <w:rPr>
          <w:rFonts w:ascii="Arial" w:eastAsia="宋体铫.籡.." w:hAnsi="Arial" w:cs="Arial"/>
          <w:kern w:val="0"/>
          <w:sz w:val="23"/>
          <w:szCs w:val="23"/>
        </w:rPr>
        <w:t>CNAS-CL01-A008</w:t>
      </w:r>
      <w:r>
        <w:rPr>
          <w:rFonts w:ascii="Arial" w:eastAsia="宋体铫.籡.." w:hAnsi="Arial" w:cs="Arial" w:hint="eastAsia"/>
          <w:kern w:val="0"/>
          <w:sz w:val="23"/>
          <w:szCs w:val="23"/>
        </w:rPr>
        <w:t>的要求：±</w:t>
      </w:r>
      <w:r>
        <w:rPr>
          <w:rFonts w:ascii="Arial" w:eastAsia="宋体铫.籡.." w:hAnsi="Arial" w:cs="Arial"/>
          <w:kern w:val="0"/>
          <w:sz w:val="23"/>
          <w:szCs w:val="23"/>
        </w:rPr>
        <w:t xml:space="preserve">4dB </w:t>
      </w:r>
      <w:r>
        <w:rPr>
          <w:rFonts w:ascii="Arial" w:eastAsia="宋体铫.籡.." w:hAnsi="Arial" w:cs="Arial" w:hint="eastAsia"/>
          <w:kern w:val="0"/>
          <w:sz w:val="23"/>
          <w:szCs w:val="23"/>
        </w:rPr>
        <w:t>场地可接受原则。</w:t>
      </w:r>
    </w:p>
    <w:p>
      <w:pPr>
        <w:pStyle w:val="ListParagraph"/>
        <w:numPr>
          <w:ilvl w:val="0"/>
          <w:numId w:val="17"/>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29" w:name="_Hlk78901997"/>
      <w:r>
        <w:rPr>
          <w:rFonts w:ascii="Arial" w:eastAsia="宋体铫.籡.." w:hAnsi="Arial" w:cs="Arial" w:hint="eastAsia"/>
          <w:kern w:val="0"/>
          <w:sz w:val="23"/>
          <w:szCs w:val="23"/>
        </w:rPr>
        <w:t>测量验证频次：首次验证后，每3~5年进行一次验证</w:t>
      </w:r>
    </w:p>
    <w:p>
      <w:pPr>
        <w:pStyle w:val="ListParagraph"/>
        <w:numPr>
          <w:ilvl w:val="0"/>
          <w:numId w:val="17"/>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40"/>
          <w:footerReference w:type="default" r:id="rId41"/>
          <w:headerReference w:type="first" r:id="rId42"/>
          <w:footerReference w:type="first" r:id="rId43"/>
          <w:type w:val="nextPage"/>
          <w:pgSz w:w="11906" w:h="16838"/>
          <w:pgMar w:top="1418" w:right="1418" w:bottom="1418" w:left="1701" w:header="851" w:footer="992" w:gutter="0"/>
          <w:pgNumType w:start="9"/>
          <w:cols w:num="1" w:space="425"/>
          <w:titlePg w:val="0"/>
          <w:docGrid w:linePitch="312" w:charSpace="0"/>
        </w:sectPr>
      </w:pPr>
      <w:r>
        <w:rPr>
          <w:rFonts w:ascii="Arial" w:eastAsia="宋体铫.籡.." w:hAnsi="Arial" w:cs="Arial" w:hint="eastAsia"/>
          <w:kern w:val="0"/>
          <w:sz w:val="23"/>
          <w:szCs w:val="23"/>
        </w:rPr>
        <w:t>报告要求：应由CNAS或其互认框架下授权的检测机构出具的报告，报告应包含足够的场地布置信息、测试布置照片，测试轴线的位置，应有根据天线类型分频段给出不同极化方式下的归一化场地衰减偏差的测试曲线和限值线，相关内容符合CNAS-CL01-A008的要求</w:t>
      </w:r>
      <w:bookmarkEnd w:id="29"/>
      <w:r>
        <w:rPr>
          <w:rFonts w:ascii="Arial" w:eastAsia="宋体铫.籡.." w:hAnsi="Arial" w:cs="Arial" w:hint="eastAsia"/>
          <w:kern w:val="0"/>
          <w:sz w:val="23"/>
          <w:szCs w:val="23"/>
        </w:rPr>
        <w:t>。</w:t>
      </w:r>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30" w:name="_Toc79135112"/>
      <w:r>
        <w:rPr>
          <w:rFonts w:ascii="Times New Roman" w:hAnsi="Times New Roman" w:eastAsiaTheme="minorEastAsia" w:cs="Times New Roman" w:hint="eastAsia"/>
          <w:kern w:val="0"/>
          <w:sz w:val="24"/>
          <w:szCs w:val="24"/>
        </w:rPr>
        <w:t>场地电压驻波比</w:t>
      </w:r>
      <w:bookmarkEnd w:id="30"/>
    </w:p>
    <w:p>
      <w:pPr>
        <w:pStyle w:val="ListParagraph"/>
        <w:numPr>
          <w:ilvl w:val="0"/>
          <w:numId w:val="1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20"/>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kern w:val="0"/>
          <w:sz w:val="23"/>
          <w:szCs w:val="23"/>
        </w:rPr>
        <w:t>CISPR 16-1-4</w:t>
      </w:r>
      <w:r>
        <w:rPr>
          <w:rFonts w:ascii="Arial" w:eastAsia="宋体铫.籡.." w:hAnsi="Arial" w:cs="Arial" w:hint="eastAsia"/>
          <w:kern w:val="0"/>
          <w:sz w:val="23"/>
          <w:szCs w:val="23"/>
        </w:rPr>
        <w:t xml:space="preserve">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 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20"/>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GB/T 6113.104 </w:t>
      </w:r>
      <w:r>
        <w:rPr>
          <w:rFonts w:ascii="Arial" w:eastAsia="宋体铫.籡.." w:hAnsi="Arial" w:cs="Arial"/>
          <w:kern w:val="0"/>
          <w:sz w:val="23"/>
          <w:szCs w:val="23"/>
        </w:rPr>
        <w:t>无线电骚扰和抗扰度测量设备和测量方法规范 第1-4部分: 无线电骚扰和抗扰度测量设备 辐射骚扰测量用天线和试验场地</w:t>
      </w:r>
    </w:p>
    <w:p>
      <w:pPr>
        <w:pStyle w:val="ListParagraph"/>
        <w:numPr>
          <w:ilvl w:val="0"/>
          <w:numId w:val="20"/>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EN 55016-1-4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w:t>
      </w:r>
      <w:r>
        <w:rPr>
          <w:rFonts w:ascii="Arial" w:eastAsia="宋体铫.籡.." w:hAnsi="Arial" w:cs="Arial" w:hint="eastAsia"/>
          <w:kern w:val="0"/>
          <w:sz w:val="23"/>
          <w:szCs w:val="23"/>
        </w:rPr>
        <w:t xml:space="preserve"> </w:t>
      </w:r>
      <w:r>
        <w:rPr>
          <w:rFonts w:ascii="Arial" w:eastAsia="宋体铫.籡.." w:hAnsi="Arial" w:cs="Arial"/>
          <w:kern w:val="0"/>
          <w:sz w:val="23"/>
          <w:szCs w:val="23"/>
        </w:rPr>
        <w:t>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1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半电波暗室的场地电压驻波比（S</w:t>
      </w:r>
      <w:r>
        <w:rPr>
          <w:rFonts w:ascii="Arial" w:eastAsia="宋体铫.籡.." w:hAnsi="Arial" w:cs="Arial" w:hint="eastAsia"/>
          <w:kern w:val="0"/>
          <w:sz w:val="23"/>
          <w:szCs w:val="23"/>
          <w:vertAlign w:val="subscript"/>
        </w:rPr>
        <w:t>VSWR</w:t>
      </w:r>
      <w:r>
        <w:rPr>
          <w:rFonts w:ascii="Arial" w:eastAsia="宋体铫.籡.." w:hAnsi="Arial" w:cs="Arial" w:hint="eastAsia"/>
          <w:kern w:val="0"/>
          <w:sz w:val="23"/>
          <w:szCs w:val="23"/>
        </w:rPr>
        <w:t>）满足CNAS-CL01-A008的要求：</w:t>
      </w:r>
      <w:r>
        <w:rPr>
          <w:rFonts w:ascii="Arial" w:eastAsia="宋体铫.籡.." w:hAnsi="Arial" w:cs="Arial"/>
          <w:kern w:val="0"/>
          <w:sz w:val="23"/>
          <w:szCs w:val="23"/>
        </w:rPr>
        <w:t>≤</w:t>
      </w:r>
      <w:r>
        <w:rPr>
          <w:rFonts w:ascii="Arial" w:eastAsia="宋体铫.籡.." w:hAnsi="Arial" w:cs="Arial" w:hint="eastAsia"/>
          <w:kern w:val="0"/>
          <w:sz w:val="23"/>
          <w:szCs w:val="23"/>
        </w:rPr>
        <w:t>6</w:t>
      </w:r>
      <w:r>
        <w:rPr>
          <w:rFonts w:ascii="Arial" w:eastAsia="宋体铫.籡.." w:hAnsi="Arial" w:cs="Arial"/>
          <w:kern w:val="0"/>
          <w:sz w:val="23"/>
          <w:szCs w:val="23"/>
        </w:rPr>
        <w:t>.0dB</w:t>
      </w:r>
      <w:r>
        <w:rPr>
          <w:rFonts w:ascii="Arial" w:eastAsia="宋体铫.籡.." w:hAnsi="Arial" w:cs="Arial" w:hint="eastAsia"/>
          <w:kern w:val="0"/>
          <w:sz w:val="23"/>
          <w:szCs w:val="23"/>
        </w:rPr>
        <w:t>。</w:t>
      </w:r>
    </w:p>
    <w:p>
      <w:pPr>
        <w:pStyle w:val="ListParagraph"/>
        <w:numPr>
          <w:ilvl w:val="0"/>
          <w:numId w:val="1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1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w:t>
      </w:r>
      <w:bookmarkStart w:id="31" w:name="_Hlk78967969"/>
      <w:r>
        <w:rPr>
          <w:rFonts w:ascii="Arial" w:eastAsia="宋体铫.籡.." w:hAnsi="Arial" w:cs="Arial" w:hint="eastAsia"/>
          <w:kern w:val="0"/>
          <w:sz w:val="23"/>
          <w:szCs w:val="23"/>
        </w:rPr>
        <w:t>应由CNAS或其互认框架下授权的检测机构出具的报告，报告应包含足够的场地布置信息、测试布置照片，测试轴线的位置，应有根据天线类型分频段给出不同极化方式下的场地电压驻波比偏差的测试曲线和限值线，相关内容符合CNAS-CL01-A008的要求</w:t>
      </w:r>
      <w:bookmarkEnd w:id="31"/>
      <w:r>
        <w:rPr>
          <w:rFonts w:ascii="Arial" w:eastAsia="宋体铫.籡.." w:hAnsi="Arial" w:cs="Arial" w:hint="eastAsia"/>
          <w:kern w:val="0"/>
          <w:sz w:val="23"/>
          <w:szCs w:val="23"/>
        </w:rPr>
        <w:t>。</w:t>
      </w:r>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32" w:name="_Toc79135113"/>
      <w:r>
        <w:rPr>
          <w:rFonts w:ascii="Times New Roman" w:hAnsi="Times New Roman" w:eastAsiaTheme="minorEastAsia" w:cs="Times New Roman" w:hint="eastAsia"/>
          <w:kern w:val="0"/>
          <w:sz w:val="24"/>
          <w:szCs w:val="24"/>
        </w:rPr>
        <w:t>场均匀性</w:t>
      </w:r>
      <w:bookmarkEnd w:id="32"/>
    </w:p>
    <w:p>
      <w:pPr>
        <w:pStyle w:val="ListParagraph"/>
        <w:numPr>
          <w:ilvl w:val="0"/>
          <w:numId w:val="2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2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IEC61000-4-3 Electromagnetic compatibility (EMC) - Part 4-3: Testing and measurement techniques - Radiated, radio-frequency, electromagnetic field immunity test</w:t>
      </w:r>
      <w:r>
        <w:rPr>
          <w:rFonts w:ascii="Times New Roman" w:eastAsia="宋体" w:hAnsi="Times New Roman" w:cs="Arial" w:hint="eastAsia"/>
          <w:kern w:val="0"/>
          <w:sz w:val="23"/>
          <w:szCs w:val="23"/>
        </w:rPr>
        <w:t xml:space="preserve"> </w:t>
      </w:r>
    </w:p>
    <w:p>
      <w:pPr>
        <w:pStyle w:val="ListParagraph"/>
        <w:numPr>
          <w:ilvl w:val="0"/>
          <w:numId w:val="2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61000-4-3 </w:t>
      </w:r>
      <w:r>
        <w:rPr>
          <w:rFonts w:ascii="Times New Roman" w:eastAsia="宋体" w:hAnsi="Times New Roman" w:cs="Arial"/>
          <w:kern w:val="0"/>
          <w:sz w:val="23"/>
          <w:szCs w:val="23"/>
        </w:rPr>
        <w:t>Electromagnetic compatibility (EMC) - Part 4-3: Testing and measurement techniques - Radiated, radio-frequency, electromagnetic field immunity test</w:t>
      </w:r>
    </w:p>
    <w:p>
      <w:pPr>
        <w:pStyle w:val="ListParagraph"/>
        <w:numPr>
          <w:ilvl w:val="0"/>
          <w:numId w:val="22"/>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17626.3电磁兼容 试验和测量技术 射频电磁场辐射抗扰度试验</w:t>
      </w:r>
    </w:p>
    <w:p>
      <w:pPr>
        <w:pStyle w:val="ListParagraph"/>
        <w:numPr>
          <w:ilvl w:val="0"/>
          <w:numId w:val="21"/>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33" w:name="_Hlk79080937"/>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210" w:firstLine="460" w:leftChars="100"/>
        <w:jc w:val="left"/>
        <w:rPr>
          <w:rFonts w:ascii="Arial" w:eastAsia="宋体铫.籡.." w:hAnsi="Arial" w:cs="Arial"/>
          <w:kern w:val="0"/>
          <w:sz w:val="23"/>
          <w:szCs w:val="23"/>
        </w:rPr>
      </w:pPr>
      <w:bookmarkStart w:id="34" w:name="_Hlk79081114"/>
      <w:r>
        <w:rPr>
          <w:rFonts w:ascii="Arial" w:eastAsia="宋体铫.籡.." w:hAnsi="Arial" w:cs="Arial" w:hint="eastAsia"/>
          <w:kern w:val="0"/>
          <w:sz w:val="23"/>
          <w:szCs w:val="23"/>
        </w:rPr>
        <w:t>电波暗室的场均匀域满足相关标准要求，如</w:t>
      </w:r>
      <w:r>
        <w:rPr>
          <w:rFonts w:ascii="Arial" w:eastAsia="宋体铫.籡.." w:hAnsi="Arial" w:cs="Arial"/>
          <w:kern w:val="0"/>
          <w:sz w:val="23"/>
          <w:szCs w:val="23"/>
        </w:rPr>
        <w:t>GB/T 17626.3-2016</w:t>
      </w:r>
      <w:r>
        <w:rPr>
          <w:rFonts w:ascii="Arial" w:eastAsia="宋体铫.籡.." w:hAnsi="Arial" w:cs="Arial" w:hint="eastAsia"/>
          <w:kern w:val="0"/>
          <w:sz w:val="23"/>
          <w:szCs w:val="23"/>
        </w:rPr>
        <w:t>或I</w:t>
      </w:r>
      <w:r>
        <w:rPr>
          <w:rFonts w:ascii="Arial" w:eastAsia="宋体铫.籡.." w:hAnsi="Arial" w:cs="Arial"/>
          <w:kern w:val="0"/>
          <w:sz w:val="23"/>
          <w:szCs w:val="23"/>
        </w:rPr>
        <w:t>EC 61000-4-3:2020</w:t>
      </w:r>
      <w:r>
        <w:rPr>
          <w:rFonts w:ascii="Arial" w:eastAsia="宋体铫.籡.." w:hAnsi="Arial" w:cs="Arial" w:hint="eastAsia"/>
          <w:kern w:val="0"/>
          <w:sz w:val="23"/>
          <w:szCs w:val="23"/>
        </w:rPr>
        <w:t>等</w:t>
      </w:r>
      <w:bookmarkEnd w:id="34"/>
      <w:r>
        <w:rPr>
          <w:rFonts w:ascii="Arial" w:eastAsia="宋体铫.籡.." w:hAnsi="Arial" w:cs="Arial" w:hint="eastAsia"/>
          <w:kern w:val="0"/>
          <w:sz w:val="23"/>
          <w:szCs w:val="23"/>
        </w:rPr>
        <w:t>。</w:t>
      </w:r>
    </w:p>
    <w:p>
      <w:pPr>
        <w:pStyle w:val="ListParagraph"/>
        <w:numPr>
          <w:ilvl w:val="0"/>
          <w:numId w:val="21"/>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44"/>
          <w:footerReference w:type="default" r:id="rId45"/>
          <w:headerReference w:type="first" r:id="rId46"/>
          <w:footerReference w:type="first" r:id="rId47"/>
          <w:type w:val="nextPage"/>
          <w:pgSz w:w="11906" w:h="16838"/>
          <w:pgMar w:top="1418" w:right="1418" w:bottom="1418" w:left="1701" w:header="851" w:footer="992" w:gutter="0"/>
          <w:pgNumType w:start="10"/>
          <w:cols w:num="1" w:space="425"/>
          <w:titlePg w:val="0"/>
          <w:docGrid w:linePitch="312" w:charSpace="0"/>
        </w:sectPr>
      </w:pPr>
      <w:r>
        <w:rPr>
          <w:rFonts w:ascii="Arial" w:eastAsia="宋体铫.籡.." w:hAnsi="Arial" w:cs="Arial" w:hint="eastAsia"/>
          <w:kern w:val="0"/>
          <w:sz w:val="23"/>
          <w:szCs w:val="23"/>
        </w:rPr>
        <w:t>测量验证频次：首次验证后，每3~5年进行一次验证</w:t>
      </w:r>
    </w:p>
    <w:p>
      <w:pPr>
        <w:pStyle w:val="ListParagraph"/>
        <w:numPr>
          <w:ilvl w:val="0"/>
          <w:numId w:val="2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w:t>
      </w:r>
      <w:bookmarkStart w:id="35" w:name="_Hlk78904368"/>
      <w:r>
        <w:rPr>
          <w:rFonts w:ascii="Arial" w:eastAsia="宋体铫.籡.." w:hAnsi="Arial" w:cs="Arial" w:hint="eastAsia"/>
          <w:kern w:val="0"/>
          <w:sz w:val="23"/>
          <w:szCs w:val="23"/>
        </w:rPr>
        <w:t>应由CNAS或其互认框架下授权的检测机构出具的报告</w:t>
      </w:r>
      <w:bookmarkEnd w:id="35"/>
      <w:r>
        <w:rPr>
          <w:rFonts w:ascii="Arial" w:eastAsia="宋体铫.籡.." w:hAnsi="Arial" w:cs="Arial" w:hint="eastAsia"/>
          <w:kern w:val="0"/>
          <w:sz w:val="23"/>
          <w:szCs w:val="23"/>
        </w:rPr>
        <w:t>。</w:t>
      </w:r>
    </w:p>
    <w:bookmarkEnd w:id="33"/>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36" w:name="_Toc79135114"/>
      <w:r>
        <w:rPr>
          <w:rFonts w:ascii="Times New Roman" w:hAnsi="Times New Roman" w:eastAsiaTheme="minorEastAsia" w:cs="Times New Roman" w:hint="eastAsia"/>
          <w:kern w:val="0"/>
          <w:sz w:val="24"/>
          <w:szCs w:val="24"/>
        </w:rPr>
        <w:t>辐射发射测试桌的影响评估</w:t>
      </w:r>
      <w:bookmarkEnd w:id="36"/>
    </w:p>
    <w:p>
      <w:pPr>
        <w:pStyle w:val="ListParagraph"/>
        <w:numPr>
          <w:ilvl w:val="0"/>
          <w:numId w:val="23"/>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24"/>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kern w:val="0"/>
          <w:sz w:val="23"/>
          <w:szCs w:val="23"/>
        </w:rPr>
        <w:t>CISPR 16-1-4</w:t>
      </w:r>
      <w:r>
        <w:rPr>
          <w:rFonts w:ascii="Arial" w:eastAsia="宋体铫.籡.." w:hAnsi="Arial" w:cs="Arial" w:hint="eastAsia"/>
          <w:kern w:val="0"/>
          <w:sz w:val="23"/>
          <w:szCs w:val="23"/>
        </w:rPr>
        <w:t xml:space="preserve">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 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24"/>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GB/T 6113.104 </w:t>
      </w:r>
      <w:r>
        <w:rPr>
          <w:rFonts w:ascii="Arial" w:eastAsia="宋体铫.籡.." w:hAnsi="Arial" w:cs="Arial"/>
          <w:kern w:val="0"/>
          <w:sz w:val="23"/>
          <w:szCs w:val="23"/>
        </w:rPr>
        <w:t>无线电骚扰和抗扰度测量设备和测量方法规范 第1-4部分: 无线电骚扰和抗扰度测量设备 辐射骚扰测量用天线和试验场地</w:t>
      </w:r>
    </w:p>
    <w:p>
      <w:pPr>
        <w:pStyle w:val="ListParagraph"/>
        <w:numPr>
          <w:ilvl w:val="0"/>
          <w:numId w:val="24"/>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EN 55016-1-4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w:t>
      </w:r>
      <w:r>
        <w:rPr>
          <w:rFonts w:ascii="Arial" w:eastAsia="宋体铫.籡.." w:hAnsi="Arial" w:cs="Arial" w:hint="eastAsia"/>
          <w:kern w:val="0"/>
          <w:sz w:val="23"/>
          <w:szCs w:val="23"/>
        </w:rPr>
        <w:t xml:space="preserve"> </w:t>
      </w:r>
      <w:r>
        <w:rPr>
          <w:rFonts w:ascii="Arial" w:eastAsia="宋体铫.籡.." w:hAnsi="Arial" w:cs="Arial"/>
          <w:kern w:val="0"/>
          <w:sz w:val="23"/>
          <w:szCs w:val="23"/>
        </w:rPr>
        <w:t>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24"/>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ANSI C63.4 </w:t>
      </w:r>
      <w:r>
        <w:rPr>
          <w:rFonts w:ascii="Arial" w:eastAsia="宋体铫.籡.." w:hAnsi="Arial" w:cs="Arial"/>
          <w:kern w:val="0"/>
          <w:sz w:val="23"/>
          <w:szCs w:val="23"/>
        </w:rPr>
        <w:t>American National Standard for</w:t>
      </w:r>
      <w:r>
        <w:rPr>
          <w:rFonts w:ascii="Arial" w:eastAsia="宋体铫.籡.." w:hAnsi="Arial" w:cs="Arial" w:hint="eastAsia"/>
          <w:kern w:val="0"/>
          <w:sz w:val="23"/>
          <w:szCs w:val="23"/>
        </w:rPr>
        <w:t xml:space="preserve"> </w:t>
      </w:r>
      <w:r>
        <w:rPr>
          <w:rFonts w:ascii="Arial" w:eastAsia="宋体铫.籡.." w:hAnsi="Arial" w:cs="Arial"/>
          <w:kern w:val="0"/>
          <w:sz w:val="23"/>
          <w:szCs w:val="23"/>
        </w:rPr>
        <w:t>Methods of Measurement of RadioNoise Emissions from Low-Voltage</w:t>
      </w:r>
      <w:r>
        <w:rPr>
          <w:rFonts w:ascii="Arial" w:eastAsia="宋体铫.籡.." w:hAnsi="Arial" w:cs="Arial" w:hint="eastAsia"/>
          <w:kern w:val="0"/>
          <w:sz w:val="23"/>
          <w:szCs w:val="23"/>
        </w:rPr>
        <w:t xml:space="preserve"> </w:t>
      </w:r>
      <w:r>
        <w:rPr>
          <w:rFonts w:ascii="Arial" w:eastAsia="宋体铫.籡.." w:hAnsi="Arial" w:cs="Arial"/>
          <w:kern w:val="0"/>
          <w:sz w:val="23"/>
          <w:szCs w:val="23"/>
        </w:rPr>
        <w:t>Electrical and Electronic Equipment</w:t>
      </w:r>
      <w:r>
        <w:rPr>
          <w:rFonts w:ascii="Arial" w:eastAsia="宋体铫.籡.." w:hAnsi="Arial" w:cs="Arial" w:hint="eastAsia"/>
          <w:kern w:val="0"/>
          <w:sz w:val="23"/>
          <w:szCs w:val="23"/>
        </w:rPr>
        <w:t xml:space="preserve"> </w:t>
      </w:r>
      <w:r>
        <w:rPr>
          <w:rFonts w:ascii="Arial" w:eastAsia="宋体铫.籡.." w:hAnsi="Arial" w:cs="Arial"/>
          <w:kern w:val="0"/>
          <w:sz w:val="23"/>
          <w:szCs w:val="23"/>
        </w:rPr>
        <w:t>in the Range of 9 kHz to 40 GHz</w:t>
      </w:r>
    </w:p>
    <w:p>
      <w:pPr>
        <w:pStyle w:val="ListParagraph"/>
        <w:numPr>
          <w:ilvl w:val="0"/>
          <w:numId w:val="23"/>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辐射发射测试桌的影响评估结果需引入到辐射发射测量不确定评估的贡献值中。</w:t>
      </w:r>
    </w:p>
    <w:p>
      <w:pPr>
        <w:pStyle w:val="ListParagraph"/>
        <w:numPr>
          <w:ilvl w:val="0"/>
          <w:numId w:val="23"/>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测量验证频次：首次验证或更换测试桌后。</w:t>
      </w:r>
    </w:p>
    <w:p>
      <w:pPr>
        <w:pStyle w:val="ListParagraph"/>
        <w:numPr>
          <w:ilvl w:val="0"/>
          <w:numId w:val="23"/>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报告要求：应由CNAS或其互认框架下授权的检测机构出具的报告，报告中应记录测试桌的名称、尺寸、材质等基本信息，并包含测试布置信息，需特别注意1</w:t>
      </w:r>
      <w:r>
        <w:rPr>
          <w:rFonts w:ascii="Arial" w:eastAsia="宋体铫.籡.." w:hAnsi="Arial" w:cs="Arial"/>
          <w:kern w:val="0"/>
          <w:sz w:val="23"/>
          <w:szCs w:val="23"/>
        </w:rPr>
        <w:t>GH</w:t>
      </w:r>
      <w:r>
        <w:rPr>
          <w:rFonts w:ascii="Arial" w:eastAsia="宋体铫.籡.." w:hAnsi="Arial" w:cs="Arial" w:hint="eastAsia"/>
          <w:kern w:val="0"/>
          <w:sz w:val="23"/>
          <w:szCs w:val="23"/>
        </w:rPr>
        <w:t>z频段以上测试桌的影响评估。</w:t>
      </w:r>
    </w:p>
    <w:p>
      <w:pPr>
        <w:pStyle w:val="Heading2"/>
        <w:numPr>
          <w:ilvl w:val="0"/>
          <w:numId w:val="13"/>
        </w:numPr>
        <w:spacing w:before="120" w:after="120" w:line="240" w:lineRule="auto"/>
        <w:rPr>
          <w:rFonts w:ascii="Times New Roman" w:hAnsi="Times New Roman" w:eastAsiaTheme="minorEastAsia" w:cs="Times New Roman"/>
          <w:kern w:val="0"/>
          <w:sz w:val="24"/>
          <w:szCs w:val="24"/>
        </w:rPr>
      </w:pPr>
      <w:bookmarkStart w:id="37" w:name="_Toc79135115"/>
      <w:r>
        <w:rPr>
          <w:rFonts w:ascii="Times New Roman" w:hAnsi="Times New Roman" w:eastAsiaTheme="minorEastAsia" w:cs="Times New Roman" w:hint="eastAsia"/>
          <w:kern w:val="0"/>
          <w:sz w:val="24"/>
          <w:szCs w:val="24"/>
        </w:rPr>
        <w:t>环境噪声电平</w:t>
      </w:r>
      <w:bookmarkEnd w:id="37"/>
    </w:p>
    <w:p>
      <w:pPr>
        <w:pStyle w:val="ListParagraph"/>
        <w:numPr>
          <w:ilvl w:val="0"/>
          <w:numId w:val="2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26"/>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kern w:val="0"/>
          <w:sz w:val="23"/>
          <w:szCs w:val="23"/>
        </w:rPr>
        <w:t xml:space="preserve">GB/T </w:t>
      </w:r>
      <w:r>
        <w:rPr>
          <w:rFonts w:ascii="Arial" w:eastAsia="宋体铫.籡.." w:hAnsi="Arial" w:cs="Arial" w:hint="eastAsia"/>
          <w:kern w:val="0"/>
          <w:sz w:val="23"/>
          <w:szCs w:val="23"/>
        </w:rPr>
        <w:t xml:space="preserve">9254 </w:t>
      </w:r>
      <w:r>
        <w:rPr>
          <w:rFonts w:ascii="Arial" w:eastAsia="宋体铫.籡.." w:hAnsi="Arial" w:cs="Arial"/>
          <w:kern w:val="0"/>
          <w:sz w:val="23"/>
          <w:szCs w:val="23"/>
        </w:rPr>
        <w:t>信息技术设备的无线电骚扰限值和测量方法</w:t>
      </w:r>
    </w:p>
    <w:p>
      <w:pPr>
        <w:pStyle w:val="ListParagraph"/>
        <w:numPr>
          <w:ilvl w:val="0"/>
          <w:numId w:val="26"/>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GB/T 13837 </w:t>
      </w:r>
      <w:r>
        <w:rPr>
          <w:rFonts w:ascii="Arial" w:eastAsia="宋体铫.籡.." w:hAnsi="Arial" w:cs="Arial"/>
          <w:kern w:val="0"/>
          <w:sz w:val="23"/>
          <w:szCs w:val="23"/>
        </w:rPr>
        <w:t>声音和电视广播接收机及有关设备 无线电骚扰特性 限值和测量方法</w:t>
      </w:r>
    </w:p>
    <w:p>
      <w:pPr>
        <w:pStyle w:val="ListParagraph"/>
        <w:numPr>
          <w:ilvl w:val="0"/>
          <w:numId w:val="26"/>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GB 4343.1 </w:t>
      </w:r>
      <w:r>
        <w:rPr>
          <w:rFonts w:ascii="Arial" w:eastAsia="宋体铫.籡.." w:hAnsi="Arial" w:cs="Arial"/>
          <w:kern w:val="0"/>
          <w:sz w:val="23"/>
          <w:szCs w:val="23"/>
        </w:rPr>
        <w:t>家用电器、电动工具和类似器具的电磁兼容要求 第1部分：发射</w:t>
      </w:r>
    </w:p>
    <w:p>
      <w:pPr>
        <w:pStyle w:val="ListParagraph"/>
        <w:numPr>
          <w:ilvl w:val="0"/>
          <w:numId w:val="26"/>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GB/T 17743</w:t>
      </w:r>
      <w:r>
        <w:rPr>
          <w:rFonts w:ascii="Arial" w:eastAsia="宋体铫.籡.." w:hAnsi="Arial" w:cs="Arial"/>
          <w:kern w:val="0"/>
          <w:sz w:val="23"/>
          <w:szCs w:val="23"/>
        </w:rPr>
        <w:t>电气照明和类似设备的无线电骚扰特性的限值和测量方法</w:t>
      </w:r>
    </w:p>
    <w:p>
      <w:pPr>
        <w:pStyle w:val="ListParagraph"/>
        <w:numPr>
          <w:ilvl w:val="0"/>
          <w:numId w:val="26"/>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GB 4824 工业、科学和医疗设备 射频骚扰特性 限值和测量方法</w:t>
      </w:r>
    </w:p>
    <w:p>
      <w:pPr>
        <w:pStyle w:val="ListParagraph"/>
        <w:numPr>
          <w:ilvl w:val="0"/>
          <w:numId w:val="26"/>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sectPr>
          <w:headerReference w:type="default" r:id="rId48"/>
          <w:footerReference w:type="default" r:id="rId49"/>
          <w:headerReference w:type="first" r:id="rId50"/>
          <w:footerReference w:type="first" r:id="rId51"/>
          <w:type w:val="nextPage"/>
          <w:pgSz w:w="11906" w:h="16838"/>
          <w:pgMar w:top="1418" w:right="1418" w:bottom="1418" w:left="1701" w:header="851" w:footer="992" w:gutter="0"/>
          <w:pgNumType w:start="11"/>
          <w:cols w:num="1" w:space="425"/>
          <w:titlePg w:val="0"/>
          <w:docGrid w:linePitch="312" w:charSpace="0"/>
        </w:sectPr>
      </w:pPr>
      <w:r>
        <w:rPr>
          <w:rFonts w:ascii="Times New Roman" w:eastAsia="宋体" w:hAnsi="Times New Roman" w:cs="Arial" w:hint="eastAsia"/>
          <w:kern w:val="0"/>
          <w:sz w:val="23"/>
          <w:szCs w:val="23"/>
        </w:rPr>
        <w:t>相关标准等</w:t>
      </w:r>
    </w:p>
    <w:p>
      <w:pPr>
        <w:pStyle w:val="ListParagraph"/>
        <w:numPr>
          <w:ilvl w:val="0"/>
          <w:numId w:val="2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半电波暗室的环境噪声电平应比规定的限值至少低6</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25"/>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38" w:name="_Hlk78990274"/>
      <w:r>
        <w:rPr>
          <w:rFonts w:ascii="Arial" w:eastAsia="宋体铫.籡.." w:hAnsi="Arial" w:cs="Arial" w:hint="eastAsia"/>
          <w:kern w:val="0"/>
          <w:sz w:val="23"/>
          <w:szCs w:val="23"/>
        </w:rPr>
        <w:t>测量验证频次：首次验证，其后实验室可自行规范每次测试前的环境噪声电平确认。</w:t>
      </w:r>
    </w:p>
    <w:p>
      <w:pPr>
        <w:pStyle w:val="ListParagraph"/>
        <w:numPr>
          <w:ilvl w:val="0"/>
          <w:numId w:val="2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w:t>
      </w:r>
      <w:r>
        <w:rPr>
          <w:rFonts w:ascii="Arial" w:eastAsia="宋体铫.籡.." w:hAnsi="Arial" w:cs="Arial"/>
          <w:kern w:val="0"/>
          <w:sz w:val="23"/>
          <w:szCs w:val="23"/>
        </w:rPr>
        <w:t>CNAS</w:t>
      </w:r>
      <w:r>
        <w:rPr>
          <w:rFonts w:ascii="Arial" w:eastAsia="宋体铫.籡.." w:hAnsi="Arial" w:cs="Arial" w:hint="eastAsia"/>
          <w:kern w:val="0"/>
          <w:sz w:val="23"/>
          <w:szCs w:val="23"/>
        </w:rPr>
        <w:t>或其互认框架下授权的检测机构出具。</w:t>
      </w:r>
    </w:p>
    <w:bookmarkEnd w:id="38"/>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39" w:name="_Toc79135116"/>
      <w:r>
        <w:rPr>
          <w:rFonts w:ascii="Times New Roman" w:hAnsi="Times New Roman" w:eastAsiaTheme="minorEastAsia" w:cs="Times New Roman" w:hint="eastAsia"/>
          <w:kern w:val="0"/>
          <w:sz w:val="24"/>
          <w:szCs w:val="24"/>
        </w:rPr>
        <w:t>全电波暗室</w:t>
      </w:r>
      <w:bookmarkEnd w:id="39"/>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0" w:name="_Toc79135117"/>
      <w:r>
        <w:rPr>
          <w:rFonts w:ascii="Times New Roman" w:hAnsi="Times New Roman" w:eastAsiaTheme="minorEastAsia" w:cs="Times New Roman" w:hint="eastAsia"/>
          <w:kern w:val="0"/>
          <w:sz w:val="24"/>
          <w:szCs w:val="24"/>
        </w:rPr>
        <w:t>屏蔽效能</w:t>
      </w:r>
      <w:bookmarkEnd w:id="40"/>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同5.2.1要求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1" w:name="_Toc79135118"/>
      <w:r>
        <w:rPr>
          <w:rFonts w:ascii="Times New Roman" w:hAnsi="Times New Roman" w:eastAsiaTheme="minorEastAsia" w:cs="Times New Roman" w:hint="eastAsia"/>
          <w:kern w:val="0"/>
          <w:sz w:val="24"/>
          <w:szCs w:val="24"/>
        </w:rPr>
        <w:t>接地电阻</w:t>
      </w:r>
      <w:bookmarkEnd w:id="41"/>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同5.1.2要求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2" w:name="_Toc79135119"/>
      <w:r>
        <w:rPr>
          <w:rFonts w:ascii="Times New Roman" w:hAnsi="Times New Roman" w:eastAsiaTheme="minorEastAsia" w:cs="Times New Roman" w:hint="eastAsia"/>
          <w:kern w:val="0"/>
          <w:sz w:val="24"/>
          <w:szCs w:val="24"/>
        </w:rPr>
        <w:t>绝缘电阻</w:t>
      </w:r>
      <w:bookmarkEnd w:id="42"/>
    </w:p>
    <w:p>
      <w:pPr>
        <w:autoSpaceDE w:val="0"/>
        <w:autoSpaceDN w:val="0"/>
        <w:adjustRightInd w:val="0"/>
        <w:spacing w:line="360" w:lineRule="auto"/>
        <w:ind w:firstLine="460" w:firstLineChars="200"/>
        <w:jc w:val="left"/>
        <w:rPr>
          <w:rFonts w:ascii="Arial" w:eastAsia="宋体铫.籡.." w:hAnsi="Arial" w:cs="Arial"/>
          <w:color w:val="FF0000"/>
          <w:kern w:val="0"/>
          <w:sz w:val="23"/>
          <w:szCs w:val="23"/>
        </w:rPr>
      </w:pPr>
      <w:r>
        <w:rPr>
          <w:rFonts w:ascii="Arial" w:eastAsia="宋体铫.籡.." w:hAnsi="Arial" w:cs="Arial" w:hint="eastAsia"/>
          <w:kern w:val="0"/>
          <w:sz w:val="23"/>
          <w:szCs w:val="23"/>
        </w:rPr>
        <w:t>同5.1.3要求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3" w:name="_Toc79135120"/>
      <w:r>
        <w:rPr>
          <w:rFonts w:ascii="Times New Roman" w:hAnsi="Times New Roman" w:eastAsiaTheme="minorEastAsia" w:cs="Times New Roman" w:hint="eastAsia"/>
          <w:kern w:val="0"/>
          <w:sz w:val="24"/>
          <w:szCs w:val="24"/>
        </w:rPr>
        <w:t>归一化场地衰减</w:t>
      </w:r>
      <w:bookmarkEnd w:id="43"/>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同5.2.4要求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4" w:name="_Toc79135121"/>
      <w:r>
        <w:rPr>
          <w:rFonts w:ascii="Times New Roman" w:hAnsi="Times New Roman" w:eastAsiaTheme="minorEastAsia" w:cs="Times New Roman" w:hint="eastAsia"/>
          <w:kern w:val="0"/>
          <w:sz w:val="24"/>
          <w:szCs w:val="24"/>
        </w:rPr>
        <w:t>场地电压驻波比</w:t>
      </w:r>
      <w:bookmarkEnd w:id="44"/>
    </w:p>
    <w:p>
      <w:pPr>
        <w:ind w:firstLine="460" w:firstLineChars="200"/>
      </w:pPr>
      <w:r>
        <w:rPr>
          <w:rFonts w:ascii="Arial" w:eastAsia="宋体铫.籡.." w:hAnsi="Arial" w:cs="Arial" w:hint="eastAsia"/>
          <w:kern w:val="0"/>
          <w:sz w:val="23"/>
          <w:szCs w:val="23"/>
        </w:rPr>
        <w:t>同5.2.5要求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5" w:name="_Toc79135122"/>
      <w:r>
        <w:rPr>
          <w:rFonts w:ascii="Times New Roman" w:hAnsi="Times New Roman" w:eastAsiaTheme="minorEastAsia" w:cs="Times New Roman" w:hint="eastAsia"/>
          <w:kern w:val="0"/>
          <w:sz w:val="24"/>
          <w:szCs w:val="24"/>
        </w:rPr>
        <w:t>场均匀性</w:t>
      </w:r>
      <w:bookmarkEnd w:id="45"/>
    </w:p>
    <w:p>
      <w:pPr>
        <w:ind w:firstLine="460" w:firstLineChars="200"/>
      </w:pPr>
      <w:r>
        <w:rPr>
          <w:rFonts w:ascii="Arial" w:eastAsia="宋体铫.籡.." w:hAnsi="Arial" w:cs="Arial" w:hint="eastAsia"/>
          <w:kern w:val="0"/>
          <w:sz w:val="23"/>
          <w:szCs w:val="23"/>
        </w:rPr>
        <w:t>同5.2.6要求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6" w:name="_Toc79135123"/>
      <w:r>
        <w:rPr>
          <w:rFonts w:ascii="Times New Roman" w:hAnsi="Times New Roman" w:eastAsiaTheme="minorEastAsia" w:cs="Times New Roman" w:hint="eastAsia"/>
          <w:kern w:val="0"/>
          <w:sz w:val="24"/>
          <w:szCs w:val="24"/>
        </w:rPr>
        <w:t>辐射发射测试桌的影响评估</w:t>
      </w:r>
      <w:bookmarkEnd w:id="46"/>
    </w:p>
    <w:p>
      <w:pPr>
        <w:ind w:firstLine="460" w:firstLineChars="200"/>
        <w:rPr>
          <w:rFonts w:ascii="Arial" w:eastAsia="宋体铫.籡.." w:hAnsi="Arial" w:cs="Arial"/>
          <w:kern w:val="0"/>
          <w:sz w:val="23"/>
          <w:szCs w:val="23"/>
        </w:rPr>
      </w:pPr>
      <w:r>
        <w:rPr>
          <w:rFonts w:ascii="Arial" w:eastAsia="宋体铫.籡.." w:hAnsi="Arial" w:cs="Arial" w:hint="eastAsia"/>
          <w:kern w:val="0"/>
          <w:sz w:val="23"/>
          <w:szCs w:val="23"/>
        </w:rPr>
        <w:t>同5.2.7要求</w:t>
      </w:r>
    </w:p>
    <w:p>
      <w:pPr>
        <w:pStyle w:val="Heading2"/>
        <w:numPr>
          <w:ilvl w:val="0"/>
          <w:numId w:val="27"/>
        </w:numPr>
        <w:spacing w:before="120" w:after="120" w:line="240" w:lineRule="auto"/>
        <w:rPr>
          <w:rFonts w:ascii="Times New Roman" w:hAnsi="Times New Roman" w:eastAsiaTheme="minorEastAsia" w:cs="Times New Roman"/>
          <w:kern w:val="0"/>
          <w:sz w:val="24"/>
          <w:szCs w:val="24"/>
        </w:rPr>
      </w:pPr>
      <w:bookmarkStart w:id="47" w:name="_Toc79135124"/>
      <w:r>
        <w:rPr>
          <w:rFonts w:ascii="Times New Roman" w:hAnsi="Times New Roman" w:eastAsiaTheme="minorEastAsia" w:cs="Times New Roman" w:hint="eastAsia"/>
          <w:kern w:val="0"/>
          <w:sz w:val="24"/>
          <w:szCs w:val="24"/>
        </w:rPr>
        <w:t>环境噪声电平</w:t>
      </w:r>
      <w:bookmarkEnd w:id="47"/>
    </w:p>
    <w:p>
      <w:pPr>
        <w:ind w:firstLine="460" w:firstLineChars="200"/>
        <w:rPr>
          <w:rFonts w:ascii="Arial" w:eastAsia="宋体铫.籡.." w:hAnsi="Arial" w:cs="Arial"/>
          <w:kern w:val="0"/>
          <w:sz w:val="23"/>
          <w:szCs w:val="23"/>
        </w:rPr>
      </w:pPr>
      <w:r>
        <w:rPr>
          <w:rFonts w:ascii="Arial" w:eastAsia="宋体铫.籡.." w:hAnsi="Arial" w:cs="Arial" w:hint="eastAsia"/>
          <w:kern w:val="0"/>
          <w:sz w:val="23"/>
          <w:szCs w:val="23"/>
        </w:rPr>
        <w:t>同5.2.8要求</w:t>
      </w:r>
    </w:p>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48" w:name="_Toc79135125"/>
      <w:r>
        <w:rPr>
          <w:rFonts w:ascii="Times New Roman" w:hAnsi="Times New Roman" w:eastAsiaTheme="minorEastAsia" w:cs="Times New Roman" w:hint="eastAsia"/>
          <w:kern w:val="0"/>
          <w:sz w:val="24"/>
          <w:szCs w:val="24"/>
        </w:rPr>
        <w:t>开阔试验场</w:t>
      </w:r>
      <w:bookmarkEnd w:id="48"/>
    </w:p>
    <w:p>
      <w:pPr>
        <w:pStyle w:val="Heading2"/>
        <w:numPr>
          <w:ilvl w:val="0"/>
          <w:numId w:val="28"/>
        </w:numPr>
        <w:spacing w:before="120" w:after="120" w:line="240" w:lineRule="auto"/>
        <w:rPr>
          <w:rFonts w:ascii="Times New Roman" w:hAnsi="Times New Roman" w:eastAsiaTheme="minorEastAsia" w:cs="Times New Roman"/>
          <w:kern w:val="0"/>
          <w:sz w:val="24"/>
          <w:szCs w:val="24"/>
        </w:rPr>
      </w:pPr>
      <w:bookmarkStart w:id="49" w:name="_Toc79135126"/>
      <w:r>
        <w:rPr>
          <w:rFonts w:ascii="Times New Roman" w:hAnsi="Times New Roman" w:eastAsiaTheme="minorEastAsia" w:cs="Times New Roman" w:hint="eastAsia"/>
          <w:kern w:val="0"/>
          <w:sz w:val="24"/>
          <w:szCs w:val="24"/>
        </w:rPr>
        <w:t>归一化场地衰减</w:t>
      </w:r>
      <w:bookmarkEnd w:id="49"/>
    </w:p>
    <w:p>
      <w:pPr>
        <w:pStyle w:val="ListParagraph"/>
        <w:numPr>
          <w:ilvl w:val="0"/>
          <w:numId w:val="2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30"/>
        </w:numPr>
        <w:spacing w:before="40" w:after="40" w:line="360" w:lineRule="auto"/>
        <w:ind w:left="945" w:leftChars="250" w:firstLineChars="0"/>
        <w:jc w:val="left"/>
        <w:rPr>
          <w:rFonts w:ascii="Arial" w:eastAsia="宋体铫.籡.." w:hAnsi="Arial" w:cs="Arial"/>
          <w:kern w:val="0"/>
          <w:sz w:val="23"/>
          <w:szCs w:val="23"/>
        </w:rPr>
      </w:pPr>
      <w:r>
        <w:rPr>
          <w:rFonts w:ascii="Arial" w:eastAsia="宋体铫.籡.." w:hAnsi="Arial" w:cs="Arial"/>
          <w:kern w:val="0"/>
          <w:sz w:val="23"/>
          <w:szCs w:val="23"/>
        </w:rPr>
        <w:t>CISPR 16-1-4</w:t>
      </w:r>
      <w:r>
        <w:rPr>
          <w:rFonts w:ascii="Arial" w:eastAsia="宋体铫.籡.." w:hAnsi="Arial" w:cs="Arial" w:hint="eastAsia"/>
          <w:kern w:val="0"/>
          <w:sz w:val="23"/>
          <w:szCs w:val="23"/>
        </w:rPr>
        <w:t xml:space="preserve">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 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30"/>
        </w:numPr>
        <w:autoSpaceDE w:val="0"/>
        <w:autoSpaceDN w:val="0"/>
        <w:adjustRightInd w:val="0"/>
        <w:spacing w:line="360" w:lineRule="auto"/>
        <w:ind w:left="945" w:leftChars="250" w:firstLineChars="0"/>
        <w:jc w:val="left"/>
        <w:rPr>
          <w:rFonts w:ascii="Arial" w:eastAsia="宋体铫.籡.." w:hAnsi="Arial" w:cs="Arial"/>
          <w:kern w:val="0"/>
          <w:sz w:val="23"/>
          <w:szCs w:val="23"/>
        </w:rPr>
        <w:sectPr>
          <w:headerReference w:type="default" r:id="rId52"/>
          <w:footerReference w:type="default" r:id="rId53"/>
          <w:headerReference w:type="first" r:id="rId54"/>
          <w:footerReference w:type="first" r:id="rId55"/>
          <w:type w:val="nextPage"/>
          <w:pgSz w:w="11906" w:h="16838"/>
          <w:pgMar w:top="1418" w:right="1418" w:bottom="1418" w:left="1701" w:header="851" w:footer="992" w:gutter="0"/>
          <w:pgNumType w:start="12"/>
          <w:cols w:num="1" w:space="425"/>
          <w:titlePg w:val="0"/>
          <w:docGrid w:linePitch="312" w:charSpace="0"/>
        </w:sectPr>
      </w:pPr>
      <w:r>
        <w:rPr>
          <w:rFonts w:ascii="Arial" w:eastAsia="宋体铫.籡.." w:hAnsi="Arial" w:cs="Arial" w:hint="eastAsia"/>
          <w:kern w:val="0"/>
          <w:sz w:val="23"/>
          <w:szCs w:val="23"/>
        </w:rPr>
        <w:t xml:space="preserve">GB/T 6113.104 </w:t>
      </w:r>
      <w:r>
        <w:rPr>
          <w:rFonts w:ascii="Arial" w:eastAsia="宋体铫.籡.." w:hAnsi="Arial" w:cs="Arial"/>
          <w:kern w:val="0"/>
          <w:sz w:val="23"/>
          <w:szCs w:val="23"/>
        </w:rPr>
        <w:t>无线电骚扰和抗扰度测量设备和测量方法规范 第1-4部分: 无线电骚扰和抗扰度测量设备 辐射骚扰测量用天线和试验场地</w:t>
      </w:r>
    </w:p>
    <w:p>
      <w:pPr>
        <w:pStyle w:val="ListParagraph"/>
        <w:numPr>
          <w:ilvl w:val="0"/>
          <w:numId w:val="30"/>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EN 55016-1-4 </w:t>
      </w:r>
      <w:r>
        <w:rPr>
          <w:rFonts w:ascii="Arial" w:eastAsia="宋体铫.籡.." w:hAnsi="Arial" w:cs="Arial"/>
          <w:kern w:val="0"/>
          <w:sz w:val="23"/>
          <w:szCs w:val="23"/>
        </w:rPr>
        <w:t>Specification for radio disturbance and immunity measuring apparatus and methods - Part 1-4: Radio disturbance and immunity measuring apparatus - Antennas and test sites for</w:t>
      </w:r>
      <w:r>
        <w:rPr>
          <w:rFonts w:ascii="Arial" w:eastAsia="宋体铫.籡.." w:hAnsi="Arial" w:cs="Arial" w:hint="eastAsia"/>
          <w:kern w:val="0"/>
          <w:sz w:val="23"/>
          <w:szCs w:val="23"/>
        </w:rPr>
        <w:t xml:space="preserve"> </w:t>
      </w:r>
      <w:r>
        <w:rPr>
          <w:rFonts w:ascii="Arial" w:eastAsia="宋体铫.籡.." w:hAnsi="Arial" w:cs="Arial"/>
          <w:kern w:val="0"/>
          <w:sz w:val="23"/>
          <w:szCs w:val="23"/>
        </w:rPr>
        <w:t>radiated disturbance</w:t>
      </w:r>
      <w:r>
        <w:rPr>
          <w:rFonts w:ascii="Arial" w:eastAsia="宋体铫.籡.." w:hAnsi="Arial" w:cs="Arial" w:hint="eastAsia"/>
          <w:kern w:val="0"/>
          <w:sz w:val="23"/>
          <w:szCs w:val="23"/>
        </w:rPr>
        <w:t xml:space="preserve"> </w:t>
      </w:r>
      <w:r>
        <w:rPr>
          <w:rFonts w:ascii="Arial" w:eastAsia="宋体铫.籡.." w:hAnsi="Arial" w:cs="Arial"/>
          <w:kern w:val="0"/>
          <w:sz w:val="23"/>
          <w:szCs w:val="23"/>
        </w:rPr>
        <w:t>measurements</w:t>
      </w:r>
    </w:p>
    <w:p>
      <w:pPr>
        <w:pStyle w:val="ListParagraph"/>
        <w:numPr>
          <w:ilvl w:val="0"/>
          <w:numId w:val="30"/>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ANSI C63.4a </w:t>
      </w:r>
      <w:r>
        <w:rPr>
          <w:rFonts w:ascii="Arial" w:eastAsia="宋体铫.籡.." w:hAnsi="Arial" w:cs="Arial"/>
          <w:kern w:val="0"/>
          <w:sz w:val="23"/>
          <w:szCs w:val="23"/>
        </w:rPr>
        <w:t>American National Standard for</w:t>
      </w:r>
      <w:r>
        <w:rPr>
          <w:rFonts w:ascii="Arial" w:eastAsia="宋体铫.籡.." w:hAnsi="Arial" w:cs="Arial" w:hint="eastAsia"/>
          <w:kern w:val="0"/>
          <w:sz w:val="23"/>
          <w:szCs w:val="23"/>
        </w:rPr>
        <w:t xml:space="preserve"> </w:t>
      </w:r>
      <w:r>
        <w:rPr>
          <w:rFonts w:ascii="Arial" w:eastAsia="宋体铫.籡.." w:hAnsi="Arial" w:cs="Arial"/>
          <w:kern w:val="0"/>
          <w:sz w:val="23"/>
          <w:szCs w:val="23"/>
        </w:rPr>
        <w:t>Methods of Measurement of RadioNoise Emissions from Low-Voltage</w:t>
      </w:r>
      <w:r>
        <w:rPr>
          <w:rFonts w:ascii="Arial" w:eastAsia="宋体铫.籡.." w:hAnsi="Arial" w:cs="Arial" w:hint="eastAsia"/>
          <w:kern w:val="0"/>
          <w:sz w:val="23"/>
          <w:szCs w:val="23"/>
        </w:rPr>
        <w:t xml:space="preserve"> </w:t>
      </w:r>
      <w:r>
        <w:rPr>
          <w:rFonts w:ascii="Arial" w:eastAsia="宋体铫.籡.." w:hAnsi="Arial" w:cs="Arial"/>
          <w:kern w:val="0"/>
          <w:sz w:val="23"/>
          <w:szCs w:val="23"/>
        </w:rPr>
        <w:t>Electrical and Electronic Equipment</w:t>
      </w:r>
      <w:r>
        <w:rPr>
          <w:rFonts w:ascii="Arial" w:eastAsia="宋体铫.籡.." w:hAnsi="Arial" w:cs="Arial" w:hint="eastAsia"/>
          <w:kern w:val="0"/>
          <w:sz w:val="23"/>
          <w:szCs w:val="23"/>
        </w:rPr>
        <w:t xml:space="preserve"> </w:t>
      </w:r>
      <w:r>
        <w:rPr>
          <w:rFonts w:ascii="Arial" w:eastAsia="宋体铫.籡.." w:hAnsi="Arial" w:cs="Arial"/>
          <w:kern w:val="0"/>
          <w:sz w:val="23"/>
          <w:szCs w:val="23"/>
        </w:rPr>
        <w:t>in the Range of 9 kHz to 40 GHz</w:t>
      </w:r>
    </w:p>
    <w:p>
      <w:pPr>
        <w:pStyle w:val="ListParagraph"/>
        <w:numPr>
          <w:ilvl w:val="0"/>
          <w:numId w:val="30"/>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 xml:space="preserve">ANSI C63.4a </w:t>
      </w:r>
      <w:r>
        <w:rPr>
          <w:rFonts w:ascii="Arial" w:eastAsia="宋体铫.籡.." w:hAnsi="Arial" w:cs="Arial"/>
          <w:kern w:val="0"/>
          <w:sz w:val="23"/>
          <w:szCs w:val="23"/>
        </w:rPr>
        <w:t>American National Standard for</w:t>
      </w:r>
      <w:r>
        <w:rPr>
          <w:rFonts w:ascii="Arial" w:eastAsia="宋体铫.籡.." w:hAnsi="Arial" w:cs="Arial" w:hint="eastAsia"/>
          <w:kern w:val="0"/>
          <w:sz w:val="23"/>
          <w:szCs w:val="23"/>
        </w:rPr>
        <w:t xml:space="preserve"> </w:t>
      </w:r>
      <w:r>
        <w:rPr>
          <w:rFonts w:ascii="Arial" w:eastAsia="宋体铫.籡.." w:hAnsi="Arial" w:cs="Arial"/>
          <w:kern w:val="0"/>
          <w:sz w:val="23"/>
          <w:szCs w:val="23"/>
        </w:rPr>
        <w:t>Methods of Measurement of RadioNoise Emissions from Low-Voltage</w:t>
      </w:r>
      <w:r>
        <w:rPr>
          <w:rFonts w:ascii="Arial" w:eastAsia="宋体铫.籡.." w:hAnsi="Arial" w:cs="Arial" w:hint="eastAsia"/>
          <w:kern w:val="0"/>
          <w:sz w:val="23"/>
          <w:szCs w:val="23"/>
        </w:rPr>
        <w:t xml:space="preserve"> </w:t>
      </w:r>
      <w:r>
        <w:rPr>
          <w:rFonts w:ascii="Arial" w:eastAsia="宋体铫.籡.." w:hAnsi="Arial" w:cs="Arial"/>
          <w:kern w:val="0"/>
          <w:sz w:val="23"/>
          <w:szCs w:val="23"/>
        </w:rPr>
        <w:t>Electrical and Electronic Equipment</w:t>
      </w:r>
      <w:r>
        <w:rPr>
          <w:rFonts w:ascii="Arial" w:eastAsia="宋体铫.籡.." w:hAnsi="Arial" w:cs="Arial" w:hint="eastAsia"/>
          <w:kern w:val="0"/>
          <w:sz w:val="23"/>
          <w:szCs w:val="23"/>
        </w:rPr>
        <w:t xml:space="preserve"> </w:t>
      </w:r>
      <w:r>
        <w:rPr>
          <w:rFonts w:ascii="Arial" w:eastAsia="宋体铫.籡.." w:hAnsi="Arial" w:cs="Arial"/>
          <w:kern w:val="0"/>
          <w:sz w:val="23"/>
          <w:szCs w:val="23"/>
        </w:rPr>
        <w:t>in the Range of 9 kHz to 40 GHz</w:t>
      </w:r>
      <w:r>
        <w:rPr>
          <w:rFonts w:ascii="Arial" w:eastAsia="宋体铫.籡.." w:hAnsi="Arial" w:cs="Arial" w:hint="eastAsia"/>
          <w:kern w:val="0"/>
          <w:sz w:val="23"/>
          <w:szCs w:val="23"/>
        </w:rPr>
        <w:t xml:space="preserve"> </w:t>
      </w:r>
      <w:r>
        <w:rPr>
          <w:rFonts w:ascii="Arial" w:eastAsia="宋体铫.籡.." w:hAnsi="Arial" w:cs="Arial"/>
          <w:kern w:val="0"/>
          <w:sz w:val="23"/>
          <w:szCs w:val="23"/>
        </w:rPr>
        <w:t>Amendment 1: Test Site Validation</w:t>
      </w:r>
    </w:p>
    <w:p>
      <w:pPr>
        <w:pStyle w:val="ListParagraph"/>
        <w:numPr>
          <w:ilvl w:val="0"/>
          <w:numId w:val="2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开阔试验场的归一化场地衰减（NSA）满足CNAS-CL01-A008的要求：±4</w:t>
      </w:r>
      <w:r>
        <w:rPr>
          <w:rFonts w:ascii="Arial" w:eastAsia="宋体铫.籡.." w:hAnsi="Arial" w:cs="Arial"/>
          <w:kern w:val="0"/>
          <w:sz w:val="23"/>
          <w:szCs w:val="23"/>
        </w:rPr>
        <w:t xml:space="preserve"> </w:t>
      </w:r>
      <w:r>
        <w:rPr>
          <w:rFonts w:ascii="Arial" w:eastAsia="宋体铫.籡.." w:hAnsi="Arial" w:cs="Arial" w:hint="eastAsia"/>
          <w:kern w:val="0"/>
          <w:sz w:val="23"/>
          <w:szCs w:val="23"/>
        </w:rPr>
        <w:t>dB 场地可接受原则。</w:t>
      </w:r>
    </w:p>
    <w:p>
      <w:pPr>
        <w:pStyle w:val="ListParagraph"/>
        <w:numPr>
          <w:ilvl w:val="0"/>
          <w:numId w:val="29"/>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50" w:name="_Hlk78991664"/>
      <w:r>
        <w:rPr>
          <w:rFonts w:ascii="Arial" w:eastAsia="宋体铫.籡.." w:hAnsi="Arial" w:cs="Arial" w:hint="eastAsia"/>
          <w:kern w:val="0"/>
          <w:sz w:val="23"/>
          <w:szCs w:val="23"/>
        </w:rPr>
        <w:t>测量验证频次：首次验证后，每一年进行一次验证</w:t>
      </w:r>
    </w:p>
    <w:p>
      <w:pPr>
        <w:pStyle w:val="ListParagraph"/>
        <w:numPr>
          <w:ilvl w:val="0"/>
          <w:numId w:val="2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应包含足够的场地布置信息、测试布置照片，测试轴线的位置，应有根据天线类型分频段给出不同极化方式下的归一化场地衰减偏差的测试曲线和限值线，相关内容符合CNAS-CL01-A008的要求。</w:t>
      </w:r>
    </w:p>
    <w:bookmarkEnd w:id="50"/>
    <w:p>
      <w:pPr>
        <w:pStyle w:val="Heading2"/>
        <w:numPr>
          <w:ilvl w:val="0"/>
          <w:numId w:val="28"/>
        </w:numPr>
        <w:spacing w:before="120" w:after="120" w:line="240" w:lineRule="auto"/>
        <w:rPr>
          <w:rFonts w:ascii="Times New Roman" w:hAnsi="Times New Roman" w:eastAsiaTheme="minorEastAsia" w:cs="Times New Roman"/>
          <w:kern w:val="0"/>
          <w:sz w:val="24"/>
          <w:szCs w:val="24"/>
        </w:rPr>
      </w:pPr>
      <w:bookmarkStart w:id="51" w:name="_Toc79135127"/>
      <w:r>
        <w:rPr>
          <w:rFonts w:ascii="Times New Roman" w:hAnsi="Times New Roman" w:eastAsiaTheme="minorEastAsia" w:cs="Times New Roman" w:hint="eastAsia"/>
          <w:kern w:val="0"/>
          <w:sz w:val="24"/>
          <w:szCs w:val="24"/>
        </w:rPr>
        <w:t>环境噪声电平</w:t>
      </w:r>
      <w:bookmarkEnd w:id="51"/>
    </w:p>
    <w:p>
      <w:pPr>
        <w:pStyle w:val="ListParagraph"/>
        <w:numPr>
          <w:ilvl w:val="0"/>
          <w:numId w:val="3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Arial" w:eastAsia="宋体铫.籡.." w:hAnsi="Arial" w:cs="Arial"/>
          <w:kern w:val="0"/>
          <w:sz w:val="23"/>
          <w:szCs w:val="23"/>
        </w:rPr>
        <w:t>G</w:t>
      </w:r>
      <w:r>
        <w:rPr>
          <w:rFonts w:ascii="Times New Roman" w:eastAsia="宋体" w:hAnsi="Times New Roman" w:cs="Arial"/>
          <w:kern w:val="0"/>
          <w:sz w:val="23"/>
          <w:szCs w:val="23"/>
        </w:rPr>
        <w:t xml:space="preserve">B/T </w:t>
      </w:r>
      <w:r>
        <w:rPr>
          <w:rFonts w:ascii="Times New Roman" w:eastAsia="宋体" w:hAnsi="Times New Roman" w:cs="Arial" w:hint="eastAsia"/>
          <w:kern w:val="0"/>
          <w:sz w:val="23"/>
          <w:szCs w:val="23"/>
        </w:rPr>
        <w:t xml:space="preserve">9254 </w:t>
      </w:r>
      <w:r>
        <w:rPr>
          <w:rFonts w:ascii="Times New Roman" w:eastAsia="宋体" w:hAnsi="Times New Roman" w:cs="Arial"/>
          <w:kern w:val="0"/>
          <w:sz w:val="23"/>
          <w:szCs w:val="23"/>
        </w:rPr>
        <w:t>信息技术设备的无线电骚扰限值和测量方法</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GB/T 13837 </w:t>
      </w:r>
      <w:r>
        <w:rPr>
          <w:rFonts w:ascii="Times New Roman" w:eastAsia="宋体" w:hAnsi="Times New Roman" w:cs="Arial"/>
          <w:kern w:val="0"/>
          <w:sz w:val="23"/>
          <w:szCs w:val="23"/>
        </w:rPr>
        <w:t>声音和电视广播接收机及有关设备 无线电骚扰特性 限值和测量方法</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GB 4343.1 </w:t>
      </w:r>
      <w:r>
        <w:rPr>
          <w:rFonts w:ascii="Times New Roman" w:eastAsia="宋体" w:hAnsi="Times New Roman" w:cs="Arial"/>
          <w:kern w:val="0"/>
          <w:sz w:val="23"/>
          <w:szCs w:val="23"/>
        </w:rPr>
        <w:t>家用电器、电动工具和类似器具的电磁兼容要求 第1部分：发射</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17743</w:t>
      </w:r>
      <w:r>
        <w:rPr>
          <w:rFonts w:ascii="Times New Roman" w:eastAsia="宋体" w:hAnsi="Times New Roman" w:cs="Arial"/>
          <w:kern w:val="0"/>
          <w:sz w:val="23"/>
          <w:szCs w:val="23"/>
        </w:rPr>
        <w:t>电气照明和类似设备的无线电骚扰特性的限值和测量方法</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 4824 工业、科学和医疗设备 射频骚扰特性 限值和测量方法</w:t>
      </w:r>
    </w:p>
    <w:p>
      <w:pPr>
        <w:pStyle w:val="ListParagraph"/>
        <w:numPr>
          <w:ilvl w:val="0"/>
          <w:numId w:val="3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相关标准等</w:t>
      </w:r>
    </w:p>
    <w:p>
      <w:pPr>
        <w:pStyle w:val="ListParagraph"/>
        <w:numPr>
          <w:ilvl w:val="0"/>
          <w:numId w:val="3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开阔试验场周围的电磁环境电平与相应限值相比应足够低，试验场地的</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质量按下述四级给予评估：</w:t>
      </w:r>
    </w:p>
    <w:p>
      <w:pPr>
        <w:pStyle w:val="ListParagraph"/>
        <w:numPr>
          <w:ilvl w:val="0"/>
          <w:numId w:val="33"/>
        </w:numPr>
        <w:autoSpaceDE w:val="0"/>
        <w:autoSpaceDN w:val="0"/>
        <w:adjustRightInd w:val="0"/>
        <w:spacing w:line="360" w:lineRule="auto"/>
        <w:ind w:left="987" w:firstLineChars="0"/>
        <w:jc w:val="left"/>
        <w:rPr>
          <w:rFonts w:ascii="Arial" w:eastAsia="宋体铫.籡.." w:hAnsi="Arial" w:cs="Arial"/>
          <w:kern w:val="0"/>
          <w:sz w:val="23"/>
          <w:szCs w:val="23"/>
        </w:rPr>
        <w:sectPr>
          <w:headerReference w:type="default" r:id="rId56"/>
          <w:footerReference w:type="default" r:id="rId57"/>
          <w:headerReference w:type="first" r:id="rId58"/>
          <w:footerReference w:type="first" r:id="rId59"/>
          <w:type w:val="nextPage"/>
          <w:pgSz w:w="11906" w:h="16838"/>
          <w:pgMar w:top="1418" w:right="1418" w:bottom="1418" w:left="1701" w:header="851" w:footer="992" w:gutter="0"/>
          <w:pgNumType w:start="13"/>
          <w:cols w:num="1" w:space="425"/>
          <w:titlePg w:val="0"/>
          <w:docGrid w:linePitch="312" w:charSpace="0"/>
        </w:sectPr>
      </w:pPr>
      <w:r>
        <w:rPr>
          <w:rFonts w:ascii="Arial" w:eastAsia="宋体铫.籡.." w:hAnsi="Arial" w:cs="Arial" w:hint="eastAsia"/>
          <w:kern w:val="0"/>
          <w:sz w:val="23"/>
          <w:szCs w:val="23"/>
        </w:rPr>
        <w:t>第一级周围环境电平比相应限值低 6</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33"/>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第二级周围环境电平中有些发射比相应的限值低，但其差值小于 6dB；</w:t>
      </w:r>
    </w:p>
    <w:p>
      <w:pPr>
        <w:pStyle w:val="ListParagraph"/>
        <w:numPr>
          <w:ilvl w:val="0"/>
          <w:numId w:val="33"/>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第三级周围环境电平中有些发射在相应的限值之上，这些干扰可能是非周期的（即相对测试来说这些发射之间的间隔是足够长），也可能是连续的，但只在有限的可识别频率上；</w:t>
      </w:r>
    </w:p>
    <w:p>
      <w:pPr>
        <w:pStyle w:val="ListParagraph"/>
        <w:numPr>
          <w:ilvl w:val="0"/>
          <w:numId w:val="33"/>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第四级周围的环境电平在大部分测试频率范围内都在相应限值之上，且连续出现；</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其中，第四级场地不符合要求。</w:t>
      </w:r>
    </w:p>
    <w:p>
      <w:pPr>
        <w:pStyle w:val="ListParagraph"/>
        <w:autoSpaceDE w:val="0"/>
        <w:autoSpaceDN w:val="0"/>
        <w:adjustRightInd w:val="0"/>
        <w:spacing w:line="360" w:lineRule="auto"/>
        <w:ind w:firstLine="428" w:firstLineChars="186"/>
        <w:jc w:val="left"/>
        <w:rPr>
          <w:rFonts w:ascii="Arial" w:eastAsia="宋体铫.籡.." w:hAnsi="Arial" w:cs="Arial"/>
          <w:kern w:val="0"/>
          <w:sz w:val="23"/>
          <w:szCs w:val="23"/>
        </w:rPr>
      </w:pPr>
      <w:r>
        <w:rPr>
          <w:rFonts w:ascii="Arial" w:eastAsia="宋体铫.籡.." w:hAnsi="Arial" w:cs="Arial" w:hint="eastAsia"/>
          <w:kern w:val="0"/>
          <w:sz w:val="23"/>
          <w:szCs w:val="23"/>
        </w:rPr>
        <w:t>评审报告中应注明场地级别。</w:t>
      </w:r>
    </w:p>
    <w:p>
      <w:pPr>
        <w:pStyle w:val="ListParagraph"/>
        <w:numPr>
          <w:ilvl w:val="0"/>
          <w:numId w:val="31"/>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52" w:name="_Hlk79132380"/>
      <w:r>
        <w:rPr>
          <w:rFonts w:ascii="Arial" w:eastAsia="宋体铫.籡.." w:hAnsi="Arial" w:cs="Arial" w:hint="eastAsia"/>
          <w:kern w:val="0"/>
          <w:sz w:val="23"/>
          <w:szCs w:val="23"/>
        </w:rPr>
        <w:t>测量验证频次：首次验证，其后实验室可自行规范每次测试前的环境噪声电平确认。</w:t>
      </w:r>
    </w:p>
    <w:p>
      <w:pPr>
        <w:pStyle w:val="ListParagraph"/>
        <w:numPr>
          <w:ilvl w:val="0"/>
          <w:numId w:val="3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w:t>
      </w:r>
      <w:r>
        <w:rPr>
          <w:rFonts w:ascii="Arial" w:eastAsia="宋体铫.籡.." w:hAnsi="Arial" w:cs="Arial"/>
          <w:kern w:val="0"/>
          <w:sz w:val="23"/>
          <w:szCs w:val="23"/>
        </w:rPr>
        <w:t>CNAS</w:t>
      </w:r>
      <w:r>
        <w:rPr>
          <w:rFonts w:ascii="Arial" w:eastAsia="宋体铫.籡.." w:hAnsi="Arial" w:cs="Arial" w:hint="eastAsia"/>
          <w:kern w:val="0"/>
          <w:sz w:val="23"/>
          <w:szCs w:val="23"/>
        </w:rPr>
        <w:t>或其互认框架下授权的检测机构出具。</w:t>
      </w:r>
    </w:p>
    <w:bookmarkEnd w:id="52"/>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53" w:name="_Toc79135128"/>
      <w:r>
        <w:rPr>
          <w:rFonts w:ascii="Times New Roman" w:hAnsi="Times New Roman" w:eastAsiaTheme="minorEastAsia" w:cs="Times New Roman" w:hint="eastAsia"/>
          <w:kern w:val="0"/>
          <w:sz w:val="24"/>
          <w:szCs w:val="24"/>
        </w:rPr>
        <w:t>混波室</w:t>
      </w:r>
      <w:bookmarkEnd w:id="53"/>
    </w:p>
    <w:p>
      <w:pPr>
        <w:pStyle w:val="Heading2"/>
        <w:numPr>
          <w:ilvl w:val="0"/>
          <w:numId w:val="34"/>
        </w:numPr>
        <w:spacing w:before="120" w:after="120" w:line="240" w:lineRule="auto"/>
        <w:rPr>
          <w:rFonts w:ascii="Times New Roman" w:hAnsi="Times New Roman" w:eastAsiaTheme="minorEastAsia" w:cs="Times New Roman"/>
          <w:kern w:val="0"/>
          <w:sz w:val="24"/>
          <w:szCs w:val="24"/>
        </w:rPr>
      </w:pPr>
      <w:bookmarkStart w:id="54" w:name="_Toc79135129"/>
      <w:r>
        <w:rPr>
          <w:rFonts w:ascii="Times New Roman" w:hAnsi="Times New Roman" w:eastAsiaTheme="minorEastAsia" w:cs="Times New Roman" w:hint="eastAsia"/>
          <w:kern w:val="0"/>
          <w:sz w:val="24"/>
          <w:szCs w:val="24"/>
        </w:rPr>
        <w:t>场均匀性</w:t>
      </w:r>
      <w:bookmarkEnd w:id="54"/>
    </w:p>
    <w:p>
      <w:pPr>
        <w:pStyle w:val="ListParagraph"/>
        <w:numPr>
          <w:ilvl w:val="0"/>
          <w:numId w:val="3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36"/>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36"/>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36"/>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17626.21  电磁兼容 试验和测量技术 混波室试验方法</w:t>
      </w:r>
    </w:p>
    <w:p>
      <w:pPr>
        <w:pStyle w:val="ListParagraph"/>
        <w:numPr>
          <w:ilvl w:val="0"/>
          <w:numId w:val="3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72"/>
        <w:gridCol w:w="580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972" w:type="dxa"/>
            <w:vAlign w:val="center"/>
          </w:tcPr>
          <w:p>
            <w:pPr>
              <w:pStyle w:val="ListParagraph"/>
              <w:autoSpaceDE w:val="0"/>
              <w:autoSpaceDN w:val="0"/>
              <w:adjustRightInd w:val="0"/>
              <w:spacing w:before="120" w:beforeLines="50" w:line="360" w:lineRule="auto"/>
              <w:ind w:firstLine="0" w:firstLineChars="0"/>
              <w:jc w:val="center"/>
              <w:rPr>
                <w:rFonts w:asciiTheme="minorEastAsia" w:hAnsiTheme="minorEastAsia" w:cs="Arial"/>
                <w:b/>
                <w:kern w:val="0"/>
                <w:sz w:val="23"/>
                <w:szCs w:val="23"/>
              </w:rPr>
            </w:pPr>
            <w:r>
              <w:rPr>
                <w:rFonts w:asciiTheme="minorEastAsia" w:hAnsiTheme="minorEastAsia" w:cs="Arial" w:hint="eastAsia"/>
                <w:b/>
                <w:kern w:val="0"/>
                <w:sz w:val="23"/>
                <w:szCs w:val="23"/>
              </w:rPr>
              <w:t>频率范围</w:t>
            </w:r>
          </w:p>
        </w:tc>
        <w:tc>
          <w:tcPr>
            <w:tcW w:w="5805" w:type="dxa"/>
            <w:vAlign w:val="center"/>
          </w:tcPr>
          <w:p>
            <w:pPr>
              <w:pStyle w:val="ListParagraph"/>
              <w:autoSpaceDE w:val="0"/>
              <w:autoSpaceDN w:val="0"/>
              <w:adjustRightInd w:val="0"/>
              <w:spacing w:before="120" w:beforeLines="50" w:line="360" w:lineRule="auto"/>
              <w:ind w:firstLine="0" w:firstLineChars="0"/>
              <w:jc w:val="center"/>
              <w:rPr>
                <w:rFonts w:asciiTheme="minorEastAsia" w:hAnsiTheme="minorEastAsia" w:cs="Arial"/>
                <w:b/>
                <w:kern w:val="0"/>
                <w:sz w:val="23"/>
                <w:szCs w:val="23"/>
              </w:rPr>
            </w:pPr>
            <w:r>
              <w:rPr>
                <w:rFonts w:asciiTheme="minorEastAsia" w:hAnsiTheme="minorEastAsia" w:cs="Arial" w:hint="eastAsia"/>
                <w:b/>
                <w:kern w:val="0"/>
                <w:sz w:val="23"/>
                <w:szCs w:val="23"/>
              </w:rPr>
              <w:t>标准差限值要求</w:t>
            </w:r>
          </w:p>
        </w:tc>
      </w:tr>
      <w:tr>
        <w:tblPrEx>
          <w:tblW w:w="0" w:type="auto"/>
          <w:jc w:val="center"/>
          <w:tblCellMar>
            <w:top w:w="0" w:type="dxa"/>
            <w:left w:w="108" w:type="dxa"/>
            <w:bottom w:w="0" w:type="dxa"/>
            <w:right w:w="108" w:type="dxa"/>
          </w:tblCellMar>
        </w:tblPrEx>
        <w:trPr>
          <w:jc w:val="center"/>
        </w:trPr>
        <w:tc>
          <w:tcPr>
            <w:tcW w:w="2972"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rPr>
            </w:pPr>
            <w:r>
              <w:rPr>
                <w:rFonts w:ascii="Arial" w:eastAsia="宋体铫.籡.." w:hAnsi="Arial" w:cs="Arial" w:hint="eastAsia"/>
                <w:kern w:val="0"/>
                <w:sz w:val="23"/>
                <w:szCs w:val="23"/>
              </w:rPr>
              <w:t>80</w:t>
            </w:r>
            <w:r>
              <w:rPr>
                <w:rFonts w:ascii="Arial" w:eastAsia="宋体铫.籡.." w:hAnsi="Arial" w:cs="Arial"/>
                <w:kern w:val="0"/>
                <w:sz w:val="23"/>
                <w:szCs w:val="23"/>
              </w:rPr>
              <w:t xml:space="preserve"> MH</w:t>
            </w:r>
            <w:r>
              <w:rPr>
                <w:rFonts w:ascii="Arial" w:eastAsia="宋体铫.籡.." w:hAnsi="Arial" w:cs="Arial" w:hint="eastAsia"/>
                <w:kern w:val="0"/>
                <w:sz w:val="23"/>
                <w:szCs w:val="23"/>
              </w:rPr>
              <w:t>z</w:t>
            </w:r>
            <w:r>
              <w:rPr>
                <w:rFonts w:ascii="Arial" w:eastAsia="宋体铫.籡.." w:hAnsi="Arial" w:cs="Arial"/>
                <w:kern w:val="0"/>
                <w:sz w:val="23"/>
                <w:szCs w:val="23"/>
              </w:rPr>
              <w:t>~100 MHz</w:t>
            </w:r>
          </w:p>
        </w:tc>
        <w:tc>
          <w:tcPr>
            <w:tcW w:w="5805"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vertAlign w:val="superscript"/>
              </w:rPr>
            </w:pPr>
            <w:r>
              <w:rPr>
                <w:rFonts w:ascii="Arial" w:eastAsia="宋体铫.籡.." w:hAnsi="Arial" w:cs="Arial" w:hint="eastAsia"/>
                <w:kern w:val="0"/>
                <w:sz w:val="23"/>
                <w:szCs w:val="23"/>
              </w:rPr>
              <w:t>4</w:t>
            </w:r>
            <w:r>
              <w:rPr>
                <w:rFonts w:ascii="Arial" w:eastAsia="宋体铫.籡.." w:hAnsi="Arial" w:cs="Arial"/>
                <w:kern w:val="0"/>
                <w:sz w:val="23"/>
                <w:szCs w:val="23"/>
              </w:rPr>
              <w:t xml:space="preserve"> </w:t>
            </w:r>
            <w:r>
              <w:rPr>
                <w:rFonts w:ascii="Arial" w:eastAsia="宋体铫.籡.." w:hAnsi="Arial" w:cs="Arial" w:hint="eastAsia"/>
                <w:kern w:val="0"/>
                <w:sz w:val="23"/>
                <w:szCs w:val="23"/>
              </w:rPr>
              <w:t>d</w:t>
            </w:r>
            <w:r>
              <w:rPr>
                <w:rFonts w:ascii="Arial" w:eastAsia="宋体铫.籡.." w:hAnsi="Arial" w:cs="Arial"/>
                <w:kern w:val="0"/>
                <w:sz w:val="23"/>
                <w:szCs w:val="23"/>
              </w:rPr>
              <w:t>B</w:t>
            </w:r>
            <w:r>
              <w:rPr>
                <w:rFonts w:ascii="Arial" w:eastAsia="宋体铫.籡.." w:hAnsi="Arial" w:cs="Arial"/>
                <w:kern w:val="0"/>
                <w:sz w:val="23"/>
                <w:szCs w:val="23"/>
                <w:vertAlign w:val="superscript"/>
              </w:rPr>
              <w:t>a</w:t>
            </w:r>
          </w:p>
        </w:tc>
      </w:tr>
      <w:tr>
        <w:tblPrEx>
          <w:tblW w:w="0" w:type="auto"/>
          <w:jc w:val="center"/>
          <w:tblCellMar>
            <w:top w:w="0" w:type="dxa"/>
            <w:left w:w="108" w:type="dxa"/>
            <w:bottom w:w="0" w:type="dxa"/>
            <w:right w:w="108" w:type="dxa"/>
          </w:tblCellMar>
        </w:tblPrEx>
        <w:trPr>
          <w:jc w:val="center"/>
        </w:trPr>
        <w:tc>
          <w:tcPr>
            <w:tcW w:w="2972"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rPr>
            </w:pPr>
            <w:r>
              <w:rPr>
                <w:rFonts w:ascii="Arial" w:eastAsia="宋体铫.籡.." w:hAnsi="Arial" w:cs="Arial"/>
                <w:kern w:val="0"/>
                <w:sz w:val="23"/>
                <w:szCs w:val="23"/>
              </w:rPr>
              <w:t>10</w:t>
            </w:r>
            <w:r>
              <w:rPr>
                <w:rFonts w:ascii="Arial" w:eastAsia="宋体铫.籡.." w:hAnsi="Arial" w:cs="Arial" w:hint="eastAsia"/>
                <w:kern w:val="0"/>
                <w:sz w:val="23"/>
                <w:szCs w:val="23"/>
              </w:rPr>
              <w:t>0</w:t>
            </w:r>
            <w:r>
              <w:rPr>
                <w:rFonts w:ascii="Arial" w:eastAsia="宋体铫.籡.." w:hAnsi="Arial" w:cs="Arial"/>
                <w:kern w:val="0"/>
                <w:sz w:val="23"/>
                <w:szCs w:val="23"/>
              </w:rPr>
              <w:t xml:space="preserve"> MH</w:t>
            </w:r>
            <w:r>
              <w:rPr>
                <w:rFonts w:ascii="Arial" w:eastAsia="宋体铫.籡.." w:hAnsi="Arial" w:cs="Arial" w:hint="eastAsia"/>
                <w:kern w:val="0"/>
                <w:sz w:val="23"/>
                <w:szCs w:val="23"/>
              </w:rPr>
              <w:t>z</w:t>
            </w:r>
            <w:r>
              <w:rPr>
                <w:rFonts w:ascii="Arial" w:eastAsia="宋体铫.籡.." w:hAnsi="Arial" w:cs="Arial"/>
                <w:kern w:val="0"/>
                <w:sz w:val="23"/>
                <w:szCs w:val="23"/>
              </w:rPr>
              <w:t>~400 MHz</w:t>
            </w:r>
          </w:p>
        </w:tc>
        <w:tc>
          <w:tcPr>
            <w:tcW w:w="5805"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00 MHz</w:t>
            </w:r>
            <w:r>
              <w:rPr>
                <w:rFonts w:ascii="Arial" w:eastAsia="宋体铫.籡.." w:hAnsi="Arial" w:cs="Arial" w:hint="eastAsia"/>
                <w:kern w:val="0"/>
                <w:sz w:val="23"/>
                <w:szCs w:val="23"/>
              </w:rPr>
              <w:t>时为4</w:t>
            </w:r>
            <w:r>
              <w:rPr>
                <w:rFonts w:ascii="Arial" w:eastAsia="宋体铫.籡.." w:hAnsi="Arial" w:cs="Arial"/>
                <w:kern w:val="0"/>
                <w:sz w:val="23"/>
                <w:szCs w:val="23"/>
              </w:rPr>
              <w:t xml:space="preserve"> </w:t>
            </w:r>
            <w:r>
              <w:rPr>
                <w:rFonts w:ascii="Arial" w:eastAsia="宋体铫.籡.." w:hAnsi="Arial" w:cs="Arial" w:hint="eastAsia"/>
                <w:kern w:val="0"/>
                <w:sz w:val="23"/>
                <w:szCs w:val="23"/>
              </w:rPr>
              <w:t>d</w:t>
            </w:r>
            <w:r>
              <w:rPr>
                <w:rFonts w:ascii="Arial" w:eastAsia="宋体铫.籡.." w:hAnsi="Arial" w:cs="Arial"/>
                <w:kern w:val="0"/>
                <w:sz w:val="23"/>
                <w:szCs w:val="23"/>
              </w:rPr>
              <w:t>B</w:t>
            </w:r>
            <w:r>
              <w:rPr>
                <w:rFonts w:ascii="Arial" w:eastAsia="宋体铫.籡.." w:hAnsi="Arial" w:cs="Arial" w:hint="eastAsia"/>
                <w:kern w:val="0"/>
                <w:sz w:val="23"/>
                <w:szCs w:val="23"/>
              </w:rPr>
              <w:t>，线性减小至400</w:t>
            </w:r>
            <w:r>
              <w:rPr>
                <w:rFonts w:ascii="Arial" w:eastAsia="宋体铫.籡.." w:hAnsi="Arial" w:cs="Arial"/>
                <w:kern w:val="0"/>
                <w:sz w:val="23"/>
                <w:szCs w:val="23"/>
              </w:rPr>
              <w:t xml:space="preserve"> MH</w:t>
            </w:r>
            <w:r>
              <w:rPr>
                <w:rFonts w:ascii="Arial" w:eastAsia="宋体铫.籡.." w:hAnsi="Arial" w:cs="Arial" w:hint="eastAsia"/>
                <w:kern w:val="0"/>
                <w:sz w:val="23"/>
                <w:szCs w:val="23"/>
              </w:rPr>
              <w:t>z</w:t>
            </w:r>
            <w:r>
              <w:rPr>
                <w:rFonts w:ascii="Arial" w:eastAsia="宋体铫.籡.." w:hAnsi="Arial" w:cs="Arial"/>
                <w:kern w:val="0"/>
                <w:sz w:val="23"/>
                <w:szCs w:val="23"/>
                <w:vertAlign w:val="superscript"/>
              </w:rPr>
              <w:t>a</w:t>
            </w:r>
            <w:r>
              <w:rPr>
                <w:rFonts w:ascii="Arial" w:eastAsia="宋体铫.籡.." w:hAnsi="Arial" w:cs="Arial" w:hint="eastAsia"/>
                <w:kern w:val="0"/>
                <w:sz w:val="23"/>
                <w:szCs w:val="23"/>
              </w:rPr>
              <w:t>时的3</w:t>
            </w:r>
            <w:r>
              <w:rPr>
                <w:rFonts w:ascii="Arial" w:eastAsia="宋体铫.籡.." w:hAnsi="Arial" w:cs="Arial"/>
                <w:kern w:val="0"/>
                <w:sz w:val="23"/>
                <w:szCs w:val="23"/>
              </w:rPr>
              <w:t xml:space="preserve"> </w:t>
            </w:r>
            <w:r>
              <w:rPr>
                <w:rFonts w:ascii="Arial" w:eastAsia="宋体铫.籡.." w:hAnsi="Arial" w:cs="Arial" w:hint="eastAsia"/>
                <w:kern w:val="0"/>
                <w:sz w:val="23"/>
                <w:szCs w:val="23"/>
              </w:rPr>
              <w:t>d</w:t>
            </w:r>
            <w:r>
              <w:rPr>
                <w:rFonts w:ascii="Arial" w:eastAsia="宋体铫.籡.." w:hAnsi="Arial" w:cs="Arial"/>
                <w:kern w:val="0"/>
                <w:sz w:val="23"/>
                <w:szCs w:val="23"/>
              </w:rPr>
              <w:t>B</w:t>
            </w:r>
          </w:p>
        </w:tc>
      </w:tr>
      <w:tr>
        <w:tblPrEx>
          <w:tblW w:w="0" w:type="auto"/>
          <w:jc w:val="center"/>
          <w:tblCellMar>
            <w:top w:w="0" w:type="dxa"/>
            <w:left w:w="108" w:type="dxa"/>
            <w:bottom w:w="0" w:type="dxa"/>
            <w:right w:w="108" w:type="dxa"/>
          </w:tblCellMar>
        </w:tblPrEx>
        <w:trPr>
          <w:jc w:val="center"/>
        </w:trPr>
        <w:tc>
          <w:tcPr>
            <w:tcW w:w="2972"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rPr>
            </w:pPr>
            <w:r>
              <w:rPr>
                <w:rFonts w:ascii="Arial" w:eastAsia="宋体铫.籡.." w:hAnsi="Arial" w:cs="Arial"/>
                <w:kern w:val="0"/>
                <w:sz w:val="23"/>
                <w:szCs w:val="23"/>
              </w:rPr>
              <w:t>400 MHz</w:t>
            </w:r>
            <w:r>
              <w:rPr>
                <w:rFonts w:ascii="Arial" w:eastAsia="宋体铫.籡.." w:hAnsi="Arial" w:cs="Arial" w:hint="eastAsia"/>
                <w:kern w:val="0"/>
                <w:sz w:val="23"/>
                <w:szCs w:val="23"/>
              </w:rPr>
              <w:t>以上</w:t>
            </w:r>
          </w:p>
        </w:tc>
        <w:tc>
          <w:tcPr>
            <w:tcW w:w="5805" w:type="dxa"/>
            <w:vAlign w:val="center"/>
          </w:tcPr>
          <w:p>
            <w:pPr>
              <w:pStyle w:val="ListParagraph"/>
              <w:autoSpaceDE w:val="0"/>
              <w:autoSpaceDN w:val="0"/>
              <w:adjustRightInd w:val="0"/>
              <w:spacing w:before="120" w:beforeLines="50" w:line="360" w:lineRule="auto"/>
              <w:ind w:firstLine="0" w:firstLineChars="0"/>
              <w:jc w:val="center"/>
              <w:rPr>
                <w:rFonts w:ascii="Arial" w:eastAsia="宋体铫.籡.." w:hAnsi="Arial" w:cs="Arial"/>
                <w:kern w:val="0"/>
                <w:sz w:val="23"/>
                <w:szCs w:val="23"/>
              </w:rPr>
            </w:pPr>
            <w:r>
              <w:rPr>
                <w:rFonts w:ascii="Arial" w:eastAsia="宋体铫.籡.." w:hAnsi="Arial" w:cs="Arial" w:hint="eastAsia"/>
                <w:kern w:val="0"/>
                <w:sz w:val="23"/>
                <w:szCs w:val="23"/>
              </w:rPr>
              <w:t>3</w:t>
            </w:r>
            <w:r>
              <w:rPr>
                <w:rFonts w:ascii="Arial" w:eastAsia="宋体铫.籡.." w:hAnsi="Arial" w:cs="Arial"/>
                <w:kern w:val="0"/>
                <w:sz w:val="23"/>
                <w:szCs w:val="23"/>
              </w:rPr>
              <w:t xml:space="preserve"> </w:t>
            </w:r>
            <w:r>
              <w:rPr>
                <w:rFonts w:ascii="Arial" w:eastAsia="宋体铫.籡.." w:hAnsi="Arial" w:cs="Arial" w:hint="eastAsia"/>
                <w:kern w:val="0"/>
                <w:sz w:val="23"/>
                <w:szCs w:val="23"/>
              </w:rPr>
              <w:t>d</w:t>
            </w:r>
            <w:r>
              <w:rPr>
                <w:rFonts w:ascii="Arial" w:eastAsia="宋体铫.籡.." w:hAnsi="Arial" w:cs="Arial"/>
                <w:kern w:val="0"/>
                <w:sz w:val="23"/>
                <w:szCs w:val="23"/>
              </w:rPr>
              <w:t>B</w:t>
            </w:r>
            <w:r>
              <w:rPr>
                <w:rFonts w:ascii="Arial" w:eastAsia="宋体铫.籡.." w:hAnsi="Arial" w:cs="Arial"/>
                <w:kern w:val="0"/>
                <w:sz w:val="23"/>
                <w:szCs w:val="23"/>
                <w:vertAlign w:val="superscript"/>
              </w:rPr>
              <w:t>a</w:t>
            </w:r>
          </w:p>
        </w:tc>
      </w:tr>
      <w:tr>
        <w:tblPrEx>
          <w:tblW w:w="0" w:type="auto"/>
          <w:jc w:val="center"/>
          <w:tblCellMar>
            <w:top w:w="0" w:type="dxa"/>
            <w:left w:w="108" w:type="dxa"/>
            <w:bottom w:w="0" w:type="dxa"/>
            <w:right w:w="108" w:type="dxa"/>
          </w:tblCellMar>
        </w:tblPrEx>
        <w:trPr>
          <w:jc w:val="center"/>
        </w:trPr>
        <w:tc>
          <w:tcPr>
            <w:tcW w:w="8777" w:type="dxa"/>
            <w:gridSpan w:val="2"/>
            <w:vAlign w:val="center"/>
          </w:tcPr>
          <w:p>
            <w:pPr>
              <w:pStyle w:val="ListParagraph"/>
              <w:autoSpaceDE w:val="0"/>
              <w:autoSpaceDN w:val="0"/>
              <w:adjustRightInd w:val="0"/>
              <w:spacing w:before="120" w:beforeLines="50" w:line="360" w:lineRule="auto"/>
              <w:ind w:firstLine="0" w:firstLineChars="0"/>
              <w:jc w:val="left"/>
              <w:rPr>
                <w:rFonts w:ascii="Arial" w:eastAsia="宋体铫.籡.." w:hAnsi="Arial" w:cs="Arial"/>
                <w:kern w:val="0"/>
                <w:sz w:val="23"/>
                <w:szCs w:val="23"/>
              </w:rPr>
            </w:pPr>
            <w:r>
              <w:rPr>
                <w:rFonts w:ascii="Arial" w:eastAsia="宋体铫.籡.." w:hAnsi="Arial" w:cs="Arial" w:hint="eastAsia"/>
                <w:kern w:val="0"/>
                <w:sz w:val="23"/>
                <w:szCs w:val="23"/>
                <w:vertAlign w:val="superscript"/>
              </w:rPr>
              <w:t>a</w:t>
            </w:r>
            <w:r>
              <w:rPr>
                <w:rFonts w:ascii="Arial" w:eastAsia="宋体铫.籡.." w:hAnsi="Arial" w:cs="Arial"/>
                <w:kern w:val="0"/>
                <w:sz w:val="23"/>
                <w:szCs w:val="23"/>
                <w:vertAlign w:val="superscript"/>
              </w:rPr>
              <w:t xml:space="preserve"> </w:t>
            </w:r>
            <w:r>
              <w:rPr>
                <w:rFonts w:ascii="Arial" w:eastAsia="宋体铫.籡.." w:hAnsi="Arial" w:cs="Arial" w:hint="eastAsia"/>
                <w:kern w:val="0"/>
                <w:sz w:val="23"/>
                <w:szCs w:val="23"/>
              </w:rPr>
              <w:t>每8个频点最多可有3个频点超过允许的标准差，但不能超过限值要求1</w:t>
            </w:r>
            <w:r>
              <w:rPr>
                <w:rFonts w:ascii="Arial" w:eastAsia="宋体铫.籡.." w:hAnsi="Arial" w:cs="Arial"/>
                <w:kern w:val="0"/>
                <w:sz w:val="23"/>
                <w:szCs w:val="23"/>
              </w:rPr>
              <w:t xml:space="preserve"> </w:t>
            </w:r>
            <w:r>
              <w:rPr>
                <w:rFonts w:ascii="Arial" w:eastAsia="宋体铫.籡.." w:hAnsi="Arial" w:cs="Arial" w:hint="eastAsia"/>
                <w:kern w:val="0"/>
                <w:sz w:val="23"/>
                <w:szCs w:val="23"/>
              </w:rPr>
              <w:t>d</w:t>
            </w:r>
            <w:r>
              <w:rPr>
                <w:rFonts w:ascii="Arial" w:eastAsia="宋体铫.籡.." w:hAnsi="Arial" w:cs="Arial"/>
                <w:kern w:val="0"/>
                <w:sz w:val="23"/>
                <w:szCs w:val="23"/>
              </w:rPr>
              <w:t>B</w:t>
            </w:r>
            <w:r>
              <w:rPr>
                <w:rFonts w:ascii="Arial" w:eastAsia="宋体铫.籡.." w:hAnsi="Arial" w:cs="Arial" w:hint="eastAsia"/>
                <w:kern w:val="0"/>
                <w:sz w:val="23"/>
                <w:szCs w:val="23"/>
              </w:rPr>
              <w:t>。</w:t>
            </w:r>
          </w:p>
        </w:tc>
      </w:tr>
    </w:tbl>
    <w:p>
      <w:pPr>
        <w:pStyle w:val="ListParagraph"/>
        <w:autoSpaceDE w:val="0"/>
        <w:autoSpaceDN w:val="0"/>
        <w:adjustRightInd w:val="0"/>
        <w:spacing w:line="360" w:lineRule="auto"/>
        <w:ind w:firstLine="460"/>
        <w:jc w:val="center"/>
        <w:rPr>
          <w:rFonts w:ascii="Arial" w:eastAsia="宋体铫.籡.." w:hAnsi="Arial" w:cs="Arial"/>
          <w:kern w:val="0"/>
          <w:sz w:val="23"/>
          <w:szCs w:val="23"/>
        </w:rPr>
      </w:pPr>
    </w:p>
    <w:p>
      <w:pPr>
        <w:pStyle w:val="ListParagraph"/>
        <w:numPr>
          <w:ilvl w:val="0"/>
          <w:numId w:val="3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35"/>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60"/>
          <w:footerReference w:type="default" r:id="rId61"/>
          <w:headerReference w:type="first" r:id="rId62"/>
          <w:footerReference w:type="first" r:id="rId63"/>
          <w:type w:val="nextPage"/>
          <w:pgSz w:w="11906" w:h="16838"/>
          <w:pgMar w:top="1418" w:right="1418" w:bottom="1418" w:left="1701" w:header="851" w:footer="992" w:gutter="0"/>
          <w:pgNumType w:start="14"/>
          <w:cols w:num="1" w:space="425"/>
          <w:titlePg w:val="0"/>
          <w:docGrid w:linePitch="312" w:charSpace="0"/>
        </w:sectPr>
      </w:pPr>
      <w:r>
        <w:rPr>
          <w:rFonts w:ascii="Arial" w:eastAsia="宋体铫.籡.." w:hAnsi="Arial" w:cs="Arial" w:hint="eastAsia"/>
          <w:kern w:val="0"/>
          <w:sz w:val="23"/>
          <w:szCs w:val="23"/>
        </w:rPr>
        <w:t>报告要求：应由CNAS或其互认框架下授权的检测机构出具的报告，应在所有的辅助设备（包括试验台）都移出混波室的情况下及在混响室内搁置负载（模拟平常负载量的大小）的情况下，进行场均匀性测量，报告中应包含混波室的接收</w:t>
      </w:r>
    </w:p>
    <w:p>
      <w:pPr>
        <w:pStyle w:val="ListParagraph"/>
        <w:numPr>
          <w:ilvl w:val="0"/>
          <w:numId w:val="0"/>
        </w:numPr>
        <w:autoSpaceDE w:val="0"/>
        <w:autoSpaceDN w:val="0"/>
        <w:adjustRightInd w:val="0"/>
        <w:spacing w:line="360" w:lineRule="auto"/>
        <w:ind w:left="420" w:firstLineChars="0"/>
        <w:jc w:val="left"/>
        <w:rPr>
          <w:rFonts w:ascii="Arial" w:eastAsia="宋体铫.籡.." w:hAnsi="Arial" w:cs="Arial"/>
          <w:kern w:val="0"/>
          <w:sz w:val="23"/>
          <w:szCs w:val="23"/>
        </w:rPr>
      </w:pPr>
      <w:r>
        <w:rPr>
          <w:rFonts w:ascii="Arial" w:eastAsia="宋体铫.籡.." w:hAnsi="Arial" w:cs="Arial"/>
          <w:kern w:val="0"/>
          <w:sz w:val="23"/>
          <w:szCs w:val="23"/>
        </w:rPr>
        <w:t>AVF</w:t>
      </w:r>
      <w:r>
        <w:rPr>
          <w:rFonts w:ascii="Arial" w:eastAsia="宋体铫.籡.." w:hAnsi="Arial" w:cs="Arial" w:hint="eastAsia"/>
          <w:kern w:val="0"/>
          <w:sz w:val="23"/>
          <w:szCs w:val="23"/>
        </w:rPr>
        <w:t>。</w:t>
      </w:r>
      <w:r>
        <w:rPr>
          <w:rFonts w:ascii="Arial" w:eastAsia="宋体铫.籡.." w:hAnsi="Arial" w:cs="Arial"/>
          <w:kern w:val="0"/>
          <w:sz w:val="23"/>
          <w:szCs w:val="23"/>
        </w:rPr>
        <w:t xml:space="preserve"> </w:t>
      </w:r>
    </w:p>
    <w:p>
      <w:pPr>
        <w:pStyle w:val="Heading2"/>
        <w:numPr>
          <w:ilvl w:val="0"/>
          <w:numId w:val="34"/>
        </w:numPr>
        <w:spacing w:before="120" w:after="120" w:line="240" w:lineRule="auto"/>
        <w:rPr>
          <w:rFonts w:ascii="Times New Roman" w:hAnsi="Times New Roman" w:eastAsiaTheme="minorEastAsia" w:cs="Times New Roman"/>
          <w:kern w:val="0"/>
          <w:sz w:val="24"/>
          <w:szCs w:val="24"/>
        </w:rPr>
      </w:pPr>
      <w:bookmarkStart w:id="55" w:name="_Toc79135130"/>
      <w:r>
        <w:rPr>
          <w:rFonts w:ascii="Times New Roman" w:hAnsi="Times New Roman" w:eastAsiaTheme="minorEastAsia" w:cs="Times New Roman" w:hint="eastAsia"/>
          <w:kern w:val="0"/>
          <w:sz w:val="24"/>
          <w:szCs w:val="24"/>
        </w:rPr>
        <w:t>品质因数（Q值）</w:t>
      </w:r>
      <w:bookmarkEnd w:id="55"/>
    </w:p>
    <w:p>
      <w:pPr>
        <w:pStyle w:val="ListParagraph"/>
        <w:numPr>
          <w:ilvl w:val="0"/>
          <w:numId w:val="37"/>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38"/>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38"/>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38"/>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17626.21  电磁兼容 试验和测量技术 混波室试验方法</w:t>
      </w:r>
    </w:p>
    <w:p>
      <w:pPr>
        <w:pStyle w:val="ListParagraph"/>
        <w:numPr>
          <w:ilvl w:val="0"/>
          <w:numId w:val="37"/>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限值要求：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无</w:t>
      </w:r>
    </w:p>
    <w:p>
      <w:pPr>
        <w:pStyle w:val="ListParagraph"/>
        <w:numPr>
          <w:ilvl w:val="0"/>
          <w:numId w:val="37"/>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56" w:name="_Hlk78904678"/>
      <w:r>
        <w:rPr>
          <w:rFonts w:ascii="Arial" w:eastAsia="宋体铫.籡.." w:hAnsi="Arial" w:cs="Arial" w:hint="eastAsia"/>
          <w:kern w:val="0"/>
          <w:sz w:val="23"/>
          <w:szCs w:val="23"/>
        </w:rPr>
        <w:t>测量验证频次：首次验证或重大改造后，每次试验前需要进行确认。</w:t>
      </w:r>
    </w:p>
    <w:p>
      <w:pPr>
        <w:pStyle w:val="ListParagraph"/>
        <w:numPr>
          <w:ilvl w:val="0"/>
          <w:numId w:val="37"/>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报告要求：首次验证报告应由CNAS或其互认框架下授权的检测机构出具。应在</w:t>
      </w:r>
      <w:r>
        <w:rPr>
          <w:rFonts w:ascii="Arial" w:eastAsia="宋体铫.籡.." w:hAnsi="Arial" w:cs="Arial"/>
          <w:kern w:val="0"/>
          <w:sz w:val="23"/>
          <w:szCs w:val="23"/>
        </w:rPr>
        <w:t>EUT</w:t>
      </w:r>
      <w:r>
        <w:rPr>
          <w:rFonts w:ascii="Arial" w:eastAsia="宋体铫.籡.." w:hAnsi="Arial" w:cs="Arial" w:hint="eastAsia"/>
          <w:kern w:val="0"/>
          <w:sz w:val="23"/>
          <w:szCs w:val="23"/>
        </w:rPr>
        <w:t>和支撑装置装在混波室的情况下进行测量。</w:t>
      </w:r>
    </w:p>
    <w:bookmarkEnd w:id="56"/>
    <w:p>
      <w:pPr>
        <w:pStyle w:val="Heading2"/>
        <w:numPr>
          <w:ilvl w:val="0"/>
          <w:numId w:val="34"/>
        </w:numPr>
        <w:spacing w:before="120" w:after="120" w:line="240" w:lineRule="auto"/>
        <w:rPr>
          <w:rFonts w:ascii="Times New Roman" w:hAnsi="Times New Roman" w:cs="Times New Roman"/>
          <w:kern w:val="0"/>
          <w:sz w:val="24"/>
          <w:szCs w:val="24"/>
        </w:rPr>
      </w:pPr>
      <w:bookmarkStart w:id="57" w:name="_Toc79135131"/>
      <w:r>
        <w:rPr>
          <w:rFonts w:ascii="Times New Roman" w:hAnsi="Times New Roman" w:cs="Times New Roman" w:hint="eastAsia"/>
          <w:kern w:val="0"/>
          <w:sz w:val="24"/>
          <w:szCs w:val="24"/>
        </w:rPr>
        <w:t>时间常数</w:t>
      </w:r>
      <w:bookmarkEnd w:id="57"/>
    </w:p>
    <w:p>
      <w:pPr>
        <w:pStyle w:val="ListParagraph"/>
        <w:numPr>
          <w:ilvl w:val="0"/>
          <w:numId w:val="3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40"/>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40"/>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40"/>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17626.21  电磁兼容 试验和测量技术 混波室试验方法</w:t>
      </w:r>
    </w:p>
    <w:p>
      <w:pPr>
        <w:pStyle w:val="ListParagraph"/>
        <w:numPr>
          <w:ilvl w:val="0"/>
          <w:numId w:val="3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在至少90%的测试频率上，混波室的时间常数应不大于任何试验波形的脉冲宽度的0.4。如果大于0.4，那么应向混波室内加入吸波材料或应增加脉冲宽度。如果加入吸波材料，则在满足时间常数要求的情况下，尽可能少地加入吸波材料。如果用吸波材料，应重新测量，得一新的CLF。如果吸波材料的加载量大于混波室的加载确认的加载量，则混波室应重新确认。</w:t>
      </w:r>
    </w:p>
    <w:p>
      <w:pPr>
        <w:pStyle w:val="ListParagraph"/>
        <w:numPr>
          <w:ilvl w:val="0"/>
          <w:numId w:val="39"/>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58" w:name="_Hlk79078962"/>
      <w:r>
        <w:rPr>
          <w:rFonts w:ascii="Arial" w:eastAsia="宋体铫.籡.." w:hAnsi="Arial" w:cs="Arial" w:hint="eastAsia"/>
          <w:kern w:val="0"/>
          <w:sz w:val="23"/>
          <w:szCs w:val="23"/>
        </w:rPr>
        <w:t>测量验证频次：首次验证或重大改造后，每次试验前需要进行确认。</w:t>
      </w:r>
    </w:p>
    <w:p>
      <w:pPr>
        <w:pStyle w:val="ListParagraph"/>
        <w:numPr>
          <w:ilvl w:val="0"/>
          <w:numId w:val="3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报告要求：首次验证报告应由CNAS或其互认框架下授权的检测机构出具。应在</w:t>
      </w:r>
      <w:r>
        <w:rPr>
          <w:rFonts w:ascii="Arial" w:eastAsia="宋体铫.籡.." w:hAnsi="Arial" w:cs="Arial"/>
          <w:kern w:val="0"/>
          <w:sz w:val="23"/>
          <w:szCs w:val="23"/>
        </w:rPr>
        <w:t>EUT</w:t>
      </w:r>
      <w:r>
        <w:rPr>
          <w:rFonts w:ascii="Arial" w:eastAsia="宋体铫.籡.." w:hAnsi="Arial" w:cs="Arial" w:hint="eastAsia"/>
          <w:kern w:val="0"/>
          <w:sz w:val="23"/>
          <w:szCs w:val="23"/>
        </w:rPr>
        <w:t>和支撑装置装在混波室的情况下进行测量。</w:t>
      </w:r>
    </w:p>
    <w:bookmarkEnd w:id="58"/>
    <w:p>
      <w:pPr>
        <w:pStyle w:val="Heading2"/>
        <w:numPr>
          <w:ilvl w:val="0"/>
          <w:numId w:val="34"/>
        </w:numPr>
        <w:spacing w:before="120" w:after="120" w:line="240" w:lineRule="auto"/>
        <w:rPr>
          <w:rFonts w:ascii="Times New Roman" w:hAnsi="Times New Roman" w:cs="Times New Roman"/>
          <w:kern w:val="0"/>
          <w:sz w:val="24"/>
          <w:szCs w:val="24"/>
        </w:rPr>
      </w:pPr>
      <w:bookmarkStart w:id="59" w:name="_Toc79135132"/>
      <w:r>
        <w:rPr>
          <w:rFonts w:ascii="Times New Roman" w:hAnsi="Times New Roman" w:cs="Times New Roman" w:hint="eastAsia"/>
          <w:kern w:val="0"/>
          <w:sz w:val="24"/>
          <w:szCs w:val="24"/>
        </w:rPr>
        <w:t>混波室加载系数（CLF）</w:t>
      </w:r>
      <w:bookmarkEnd w:id="59"/>
    </w:p>
    <w:p>
      <w:pPr>
        <w:pStyle w:val="ListParagraph"/>
        <w:numPr>
          <w:ilvl w:val="0"/>
          <w:numId w:val="41"/>
        </w:numPr>
        <w:autoSpaceDE w:val="0"/>
        <w:autoSpaceDN w:val="0"/>
        <w:adjustRightInd w:val="0"/>
        <w:spacing w:line="360" w:lineRule="auto"/>
        <w:ind w:left="945" w:leftChars="250" w:firstLineChars="0"/>
        <w:jc w:val="left"/>
        <w:rPr>
          <w:rFonts w:ascii="Arial" w:eastAsia="宋体铫.籡.." w:hAnsi="Arial" w:cs="Arial"/>
          <w:kern w:val="0"/>
          <w:sz w:val="23"/>
          <w:szCs w:val="23"/>
        </w:rPr>
        <w:sectPr>
          <w:headerReference w:type="default" r:id="rId64"/>
          <w:footerReference w:type="default" r:id="rId65"/>
          <w:headerReference w:type="first" r:id="rId66"/>
          <w:footerReference w:type="first" r:id="rId67"/>
          <w:type w:val="nextPage"/>
          <w:pgSz w:w="11906" w:h="16838"/>
          <w:pgMar w:top="1418" w:right="1418" w:bottom="1418" w:left="1701" w:header="851" w:footer="992" w:gutter="0"/>
          <w:pgNumType w:start="15"/>
          <w:cols w:num="1" w:space="425"/>
          <w:titlePg w:val="0"/>
          <w:docGrid w:linePitch="312" w:charSpace="0"/>
        </w:sectPr>
      </w:pPr>
      <w:r>
        <w:rPr>
          <w:rFonts w:ascii="Arial" w:eastAsia="宋体铫.籡.." w:hAnsi="Arial" w:cs="Arial" w:hint="eastAsia"/>
          <w:kern w:val="0"/>
          <w:sz w:val="23"/>
          <w:szCs w:val="23"/>
        </w:rPr>
        <w:t>依据标准/规范：</w:t>
      </w:r>
    </w:p>
    <w:p>
      <w:pPr>
        <w:pStyle w:val="ListParagraph"/>
        <w:numPr>
          <w:ilvl w:val="0"/>
          <w:numId w:val="4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61000-4-21</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Electromagnetic compatibility (EMC)-Part 4-21: Testing and measurement techniques-Reverberation chamber test methods</w:t>
      </w:r>
    </w:p>
    <w:p>
      <w:pPr>
        <w:pStyle w:val="ListParagraph"/>
        <w:numPr>
          <w:ilvl w:val="0"/>
          <w:numId w:val="4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61000-4-21 Electromagnetic compatibility (EMC)-Part 4-21: Testing and measurement techniques-Reverberation chamber test methods</w:t>
      </w:r>
    </w:p>
    <w:p>
      <w:pPr>
        <w:pStyle w:val="ListParagraph"/>
        <w:numPr>
          <w:ilvl w:val="0"/>
          <w:numId w:val="4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17626.21  电磁兼容 试验和测量技术 混波室试验方法</w:t>
      </w:r>
    </w:p>
    <w:p>
      <w:pPr>
        <w:pStyle w:val="ListParagraph"/>
        <w:numPr>
          <w:ilvl w:val="0"/>
          <w:numId w:val="4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CLF的倒数≦AVF空载/AVF加载；否则需要在EUT及其辅助设备存在的情况下重新测量场的均匀性。</w:t>
      </w:r>
    </w:p>
    <w:p>
      <w:pPr>
        <w:pStyle w:val="ListParagraph"/>
        <w:numPr>
          <w:ilvl w:val="0"/>
          <w:numId w:val="42"/>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60" w:name="_Hlk79044013"/>
      <w:r>
        <w:rPr>
          <w:rFonts w:ascii="Arial" w:eastAsia="宋体铫.籡.." w:hAnsi="Arial" w:cs="Arial" w:hint="eastAsia"/>
          <w:kern w:val="0"/>
          <w:sz w:val="23"/>
          <w:szCs w:val="23"/>
        </w:rPr>
        <w:t>测量验证频次：首次验证或重大改造后，每次试验前需要进行确认。如果CLF的倒数&gt;AVF空载/AVF加载，则需要在EUT及其辅助设备存在的情况下重新测量场的均匀性。</w:t>
      </w:r>
    </w:p>
    <w:p>
      <w:pPr>
        <w:pStyle w:val="ListParagraph"/>
        <w:numPr>
          <w:ilvl w:val="0"/>
          <w:numId w:val="4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报告要求：首次验证报告应由CNAS或其互认框架下授权的检测机构出具。应在</w:t>
      </w:r>
      <w:r>
        <w:rPr>
          <w:rFonts w:ascii="Arial" w:eastAsia="宋体铫.籡.." w:hAnsi="Arial" w:cs="Arial"/>
          <w:kern w:val="0"/>
          <w:sz w:val="23"/>
          <w:szCs w:val="23"/>
        </w:rPr>
        <w:t>EUT</w:t>
      </w:r>
      <w:r>
        <w:rPr>
          <w:rFonts w:ascii="Arial" w:eastAsia="宋体铫.籡.." w:hAnsi="Arial" w:cs="Arial" w:hint="eastAsia"/>
          <w:kern w:val="0"/>
          <w:sz w:val="23"/>
          <w:szCs w:val="23"/>
        </w:rPr>
        <w:t>和支撑装置装在混波室的情况下进行测量。</w:t>
      </w:r>
      <w:bookmarkEnd w:id="60"/>
    </w:p>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61" w:name="_Toc79135133"/>
      <w:r>
        <w:rPr>
          <w:rFonts w:ascii="Times New Roman" w:hAnsi="Times New Roman" w:eastAsiaTheme="minorEastAsia" w:cs="Times New Roman" w:hint="eastAsia"/>
          <w:kern w:val="0"/>
          <w:sz w:val="24"/>
          <w:szCs w:val="24"/>
        </w:rPr>
        <w:t>横电磁波室</w:t>
      </w:r>
      <w:bookmarkEnd w:id="61"/>
    </w:p>
    <w:p>
      <w:pPr>
        <w:pStyle w:val="Heading2"/>
        <w:numPr>
          <w:ilvl w:val="0"/>
          <w:numId w:val="43"/>
        </w:numPr>
        <w:spacing w:before="120" w:after="120" w:line="240" w:lineRule="auto"/>
        <w:rPr>
          <w:rFonts w:ascii="Times New Roman" w:hAnsi="Times New Roman" w:eastAsiaTheme="minorEastAsia" w:cs="Times New Roman"/>
          <w:kern w:val="0"/>
          <w:sz w:val="24"/>
          <w:szCs w:val="24"/>
        </w:rPr>
      </w:pPr>
      <w:bookmarkStart w:id="62" w:name="_Toc79135134"/>
      <w:r>
        <w:rPr>
          <w:rFonts w:ascii="Times New Roman" w:hAnsi="Times New Roman" w:eastAsiaTheme="minorEastAsia" w:cs="Times New Roman" w:hint="eastAsia"/>
          <w:kern w:val="0"/>
          <w:sz w:val="24"/>
          <w:szCs w:val="24"/>
        </w:rPr>
        <w:t>阻抗</w:t>
      </w:r>
      <w:bookmarkEnd w:id="62"/>
    </w:p>
    <w:p>
      <w:pPr>
        <w:pStyle w:val="ListParagraph"/>
        <w:numPr>
          <w:ilvl w:val="0"/>
          <w:numId w:val="4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45"/>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w:t>
      </w:r>
      <w:r>
        <w:rPr>
          <w:rFonts w:ascii="Times New Roman" w:eastAsia="宋体" w:hAnsi="Times New Roman" w:cs="Arial" w:hint="eastAsia"/>
          <w:kern w:val="0"/>
          <w:sz w:val="23"/>
          <w:szCs w:val="23"/>
        </w:rPr>
        <w:t>Emission and immunity testing in trasverse electromagnetic (TEM) waveguide</w:t>
      </w:r>
    </w:p>
    <w:p>
      <w:pPr>
        <w:pStyle w:val="ListParagraph"/>
        <w:numPr>
          <w:ilvl w:val="0"/>
          <w:numId w:val="45"/>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techniques-Emission and immunity testing in trasverse electromagnetic (TEM) waveguide</w:t>
      </w:r>
    </w:p>
    <w:p>
      <w:pPr>
        <w:pStyle w:val="ListParagraph"/>
        <w:numPr>
          <w:ilvl w:val="0"/>
          <w:numId w:val="45"/>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17626.20  电磁兼容 试验和测量技术 横电磁波（TEM）波导中的发射和抗扰度试验</w:t>
      </w:r>
    </w:p>
    <w:p>
      <w:pPr>
        <w:pStyle w:val="ListParagraph"/>
        <w:numPr>
          <w:ilvl w:val="0"/>
          <w:numId w:val="4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横电磁波室的阻抗应至少满足CNAS-CL01-A008的要求：横电磁波室的特性阻抗应为 50Ω。</w:t>
      </w:r>
    </w:p>
    <w:p>
      <w:pPr>
        <w:pStyle w:val="ListParagraph"/>
        <w:numPr>
          <w:ilvl w:val="0"/>
          <w:numId w:val="44"/>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63" w:name="_Hlk78905870"/>
      <w:r>
        <w:rPr>
          <w:rFonts w:ascii="Arial" w:eastAsia="宋体铫.籡.." w:hAnsi="Arial" w:cs="Arial" w:hint="eastAsia"/>
          <w:kern w:val="0"/>
          <w:sz w:val="23"/>
          <w:szCs w:val="23"/>
        </w:rPr>
        <w:t>测量验证频次：首次验证后，每3~5年进行一次验证。</w:t>
      </w:r>
    </w:p>
    <w:bookmarkEnd w:id="63"/>
    <w:p>
      <w:pPr>
        <w:pStyle w:val="ListParagraph"/>
        <w:numPr>
          <w:ilvl w:val="0"/>
          <w:numId w:val="44"/>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64" w:name="_Hlk78905884"/>
      <w:r>
        <w:rPr>
          <w:rFonts w:ascii="Arial" w:eastAsia="宋体铫.籡.." w:hAnsi="Arial" w:cs="Arial" w:hint="eastAsia"/>
          <w:kern w:val="0"/>
          <w:sz w:val="23"/>
          <w:szCs w:val="23"/>
        </w:rPr>
        <w:t>报告要求：报告应由CNAS或其互认框架下授权的检测机构出具。</w:t>
      </w:r>
    </w:p>
    <w:bookmarkEnd w:id="64"/>
    <w:p>
      <w:pPr>
        <w:pStyle w:val="Heading2"/>
        <w:numPr>
          <w:ilvl w:val="0"/>
          <w:numId w:val="43"/>
        </w:numPr>
        <w:spacing w:before="120" w:after="120" w:line="240" w:lineRule="auto"/>
        <w:rPr>
          <w:rFonts w:ascii="Times New Roman" w:hAnsi="Times New Roman" w:eastAsiaTheme="minorEastAsia" w:cs="Times New Roman"/>
          <w:kern w:val="0"/>
          <w:sz w:val="24"/>
          <w:szCs w:val="24"/>
        </w:rPr>
      </w:pPr>
      <w:bookmarkStart w:id="65" w:name="_Toc79135135"/>
      <w:r>
        <w:rPr>
          <w:rFonts w:ascii="Times New Roman" w:hAnsi="Times New Roman" w:eastAsiaTheme="minorEastAsia" w:cs="Times New Roman" w:hint="eastAsia"/>
          <w:kern w:val="0"/>
          <w:sz w:val="24"/>
          <w:szCs w:val="24"/>
        </w:rPr>
        <w:t>输入端电压驻波比</w:t>
      </w:r>
      <w:bookmarkEnd w:id="65"/>
    </w:p>
    <w:p>
      <w:pPr>
        <w:pStyle w:val="ListParagraph"/>
        <w:numPr>
          <w:ilvl w:val="0"/>
          <w:numId w:val="4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4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sectPr>
          <w:headerReference w:type="default" r:id="rId68"/>
          <w:footerReference w:type="default" r:id="rId69"/>
          <w:headerReference w:type="first" r:id="rId70"/>
          <w:footerReference w:type="first" r:id="rId71"/>
          <w:type w:val="nextPage"/>
          <w:pgSz w:w="11906" w:h="16838"/>
          <w:pgMar w:top="1418" w:right="1418" w:bottom="1418" w:left="1701" w:header="851" w:footer="992" w:gutter="0"/>
          <w:pgNumType w:start="16"/>
          <w:cols w:num="1" w:space="425"/>
          <w:titlePg w:val="0"/>
          <w:docGrid w:linePitch="312" w:charSpace="0"/>
        </w:sect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w:t>
      </w:r>
      <w:r>
        <w:rPr>
          <w:rFonts w:ascii="Times New Roman" w:eastAsia="宋体" w:hAnsi="Times New Roman" w:cs="Arial"/>
          <w:kern w:val="0"/>
          <w:sz w:val="23"/>
          <w:szCs w:val="23"/>
        </w:rPr>
        <w:t xml:space="preserve"> compatibility</w:t>
      </w:r>
      <w:r>
        <w:rPr>
          <w:rFonts w:ascii="Times New Roman" w:eastAsia="宋体" w:hAnsi="Times New Roman" w:cs="Arial"/>
          <w:kern w:val="0"/>
          <w:sz w:val="23"/>
          <w:szCs w:val="23"/>
        </w:rPr>
        <w:t xml:space="preserve"> (EMC)-Part</w:t>
      </w:r>
      <w:r>
        <w:rPr>
          <w:rFonts w:ascii="Times New Roman" w:eastAsia="宋体" w:hAnsi="Times New Roman" w:cs="Arial"/>
          <w:kern w:val="0"/>
          <w:sz w:val="23"/>
          <w:szCs w:val="23"/>
        </w:rPr>
        <w:t xml:space="preserve"> 4-21:</w:t>
      </w:r>
      <w:r>
        <w:rPr>
          <w:rFonts w:ascii="Times New Roman" w:eastAsia="宋体" w:hAnsi="Times New Roman" w:cs="Arial"/>
          <w:kern w:val="0"/>
          <w:sz w:val="23"/>
          <w:szCs w:val="23"/>
        </w:rPr>
        <w:t xml:space="preserve"> Testing</w:t>
      </w:r>
      <w:r>
        <w:rPr>
          <w:rFonts w:ascii="Times New Roman" w:eastAsia="宋体" w:hAnsi="Times New Roman" w:cs="Arial"/>
          <w:kern w:val="0"/>
          <w:sz w:val="23"/>
          <w:szCs w:val="23"/>
        </w:rPr>
        <w:t xml:space="preserve"> and</w:t>
      </w:r>
    </w:p>
    <w:p>
      <w:pPr>
        <w:pStyle w:val="ListParagraph"/>
        <w:numPr>
          <w:ilvl w:val="0"/>
          <w:numId w:val="0"/>
        </w:numPr>
        <w:autoSpaceDE w:val="0"/>
        <w:autoSpaceDN w:val="0"/>
        <w:adjustRightInd w:val="0"/>
        <w:spacing w:line="360" w:lineRule="auto"/>
        <w:ind w:left="42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 xml:space="preserve"> measurement</w:t>
      </w:r>
      <w:r>
        <w:rPr>
          <w:rFonts w:ascii="Times New Roman" w:eastAsia="宋体" w:hAnsi="Times New Roman" w:cs="Arial"/>
          <w:kern w:val="0"/>
          <w:sz w:val="23"/>
          <w:szCs w:val="23"/>
        </w:rPr>
        <w:t xml:space="preserve"> techniques-</w:t>
      </w:r>
      <w:r>
        <w:rPr>
          <w:rFonts w:ascii="Times New Roman" w:eastAsia="宋体" w:hAnsi="Times New Roman" w:cs="Arial" w:hint="eastAsia"/>
          <w:kern w:val="0"/>
          <w:sz w:val="23"/>
          <w:szCs w:val="23"/>
        </w:rPr>
        <w:t>Emission and immunity testing in trasverse electromagnetic (TEM) waveguide</w:t>
      </w:r>
    </w:p>
    <w:p>
      <w:pPr>
        <w:pStyle w:val="ListParagraph"/>
        <w:numPr>
          <w:ilvl w:val="0"/>
          <w:numId w:val="20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techniques-Emission and immunity testing in trasverse electromagnetic (TEM) waveguide</w:t>
      </w:r>
    </w:p>
    <w:p>
      <w:pPr>
        <w:pStyle w:val="ListParagraph"/>
        <w:numPr>
          <w:ilvl w:val="0"/>
          <w:numId w:val="20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17626.20 电磁兼容 试验和测量技术 横电磁波（TEM）波导中的发射和抗扰度试验</w:t>
      </w:r>
    </w:p>
    <w:p>
      <w:pPr>
        <w:pStyle w:val="ListParagraph"/>
        <w:numPr>
          <w:ilvl w:val="0"/>
          <w:numId w:val="4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横电磁波室的阻抗应至少满足CNAS-CL01-A008的要求：横电磁波室的输入电压驻波比应≤1.5。</w:t>
      </w:r>
    </w:p>
    <w:p>
      <w:pPr>
        <w:pStyle w:val="ListParagraph"/>
        <w:numPr>
          <w:ilvl w:val="0"/>
          <w:numId w:val="46"/>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66" w:name="_Hlk78905966"/>
      <w:r>
        <w:rPr>
          <w:rFonts w:ascii="Arial" w:eastAsia="宋体铫.籡.." w:hAnsi="Arial" w:cs="Arial" w:hint="eastAsia"/>
          <w:kern w:val="0"/>
          <w:sz w:val="23"/>
          <w:szCs w:val="23"/>
        </w:rPr>
        <w:t>测量验证频次：首次验证后，每3~5年进行一次验证。</w:t>
      </w:r>
    </w:p>
    <w:p>
      <w:pPr>
        <w:pStyle w:val="ListParagraph"/>
        <w:numPr>
          <w:ilvl w:val="0"/>
          <w:numId w:val="4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报告要求：报告应由</w:t>
      </w:r>
      <w:r>
        <w:rPr>
          <w:rFonts w:ascii="Arial" w:eastAsia="宋体铫.籡.." w:hAnsi="Arial" w:cs="Arial"/>
          <w:kern w:val="0"/>
          <w:sz w:val="23"/>
          <w:szCs w:val="23"/>
        </w:rPr>
        <w:t>CNAS</w:t>
      </w:r>
      <w:r>
        <w:rPr>
          <w:rFonts w:ascii="Arial" w:eastAsia="宋体铫.籡.." w:hAnsi="Arial" w:cs="Arial" w:hint="eastAsia"/>
          <w:kern w:val="0"/>
          <w:sz w:val="23"/>
          <w:szCs w:val="23"/>
        </w:rPr>
        <w:t>或其互认框架下授权的检测机构出具。</w:t>
      </w:r>
      <w:bookmarkEnd w:id="66"/>
    </w:p>
    <w:p>
      <w:pPr>
        <w:pStyle w:val="Heading2"/>
        <w:numPr>
          <w:ilvl w:val="0"/>
          <w:numId w:val="43"/>
        </w:numPr>
        <w:spacing w:before="120" w:after="120" w:line="240" w:lineRule="auto"/>
        <w:rPr>
          <w:rFonts w:ascii="Times New Roman" w:hAnsi="Times New Roman" w:eastAsiaTheme="minorEastAsia" w:cs="Times New Roman"/>
          <w:kern w:val="0"/>
          <w:sz w:val="24"/>
          <w:szCs w:val="24"/>
        </w:rPr>
      </w:pPr>
      <w:bookmarkStart w:id="67" w:name="_Toc79135136"/>
      <w:r>
        <w:rPr>
          <w:rFonts w:ascii="Times New Roman" w:hAnsi="Times New Roman" w:eastAsiaTheme="minorEastAsia" w:cs="Times New Roman" w:hint="eastAsia"/>
          <w:kern w:val="0"/>
          <w:sz w:val="24"/>
          <w:szCs w:val="24"/>
        </w:rPr>
        <w:t>场均匀性</w:t>
      </w:r>
      <w:bookmarkEnd w:id="67"/>
    </w:p>
    <w:p>
      <w:pPr>
        <w:pStyle w:val="ListParagraph"/>
        <w:numPr>
          <w:ilvl w:val="0"/>
          <w:numId w:val="48"/>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4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w:t>
      </w:r>
      <w:r>
        <w:rPr>
          <w:rFonts w:ascii="Times New Roman" w:eastAsia="宋体" w:hAnsi="Times New Roman" w:cs="Arial" w:hint="eastAsia"/>
          <w:kern w:val="0"/>
          <w:sz w:val="23"/>
          <w:szCs w:val="23"/>
        </w:rPr>
        <w:t>Emission and immunity testing in trasverse electromagnetic (TEM) waveguide</w:t>
      </w:r>
    </w:p>
    <w:p>
      <w:pPr>
        <w:pStyle w:val="ListParagraph"/>
        <w:numPr>
          <w:ilvl w:val="0"/>
          <w:numId w:val="4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techniques-Emission and immunity testing in trasverse electromagnetic (TEM) waveguide</w:t>
      </w:r>
    </w:p>
    <w:p>
      <w:pPr>
        <w:pStyle w:val="ListParagraph"/>
        <w:numPr>
          <w:ilvl w:val="0"/>
          <w:numId w:val="4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17626.20 电磁兼容 试验和测量技术 横电磁波（TEM）波导中的发射和抗扰度试验</w:t>
      </w:r>
    </w:p>
    <w:p>
      <w:pPr>
        <w:pStyle w:val="ListParagraph"/>
        <w:numPr>
          <w:ilvl w:val="0"/>
          <w:numId w:val="48"/>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68" w:name="_Hlk79047879"/>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20"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横电磁波室内场分布均匀性的大小应与受试设备的尺寸相适应（根据均匀场域的大小，应至少确认五个测试点（四个在拐角处，一个在中心）。两个测试点之间的间距应小于或等于</w:t>
      </w:r>
      <w:r>
        <w:rPr>
          <w:rFonts w:ascii="Arial" w:eastAsia="宋体铫.籡.." w:hAnsi="Arial" w:cs="Arial"/>
          <w:kern w:val="0"/>
          <w:sz w:val="23"/>
          <w:szCs w:val="23"/>
        </w:rPr>
        <w:t>50 cm</w:t>
      </w:r>
      <w:r>
        <w:rPr>
          <w:rFonts w:ascii="Arial" w:eastAsia="宋体铫.籡.." w:hAnsi="Arial" w:cs="Arial" w:hint="eastAsia"/>
          <w:kern w:val="0"/>
          <w:sz w:val="23"/>
          <w:szCs w:val="23"/>
        </w:rPr>
        <w:t>。），</w:t>
      </w:r>
      <w:r>
        <w:rPr>
          <w:rFonts w:ascii="Arial" w:eastAsia="宋体铫.籡.." w:hAnsi="Arial" w:cs="Arial"/>
          <w:kern w:val="0"/>
          <w:sz w:val="23"/>
          <w:szCs w:val="23"/>
        </w:rPr>
        <w:t>EUT</w:t>
      </w:r>
      <w:r>
        <w:rPr>
          <w:rFonts w:ascii="Arial" w:eastAsia="宋体铫.籡.." w:hAnsi="Arial" w:cs="Arial" w:hint="eastAsia"/>
          <w:kern w:val="0"/>
          <w:sz w:val="23"/>
          <w:szCs w:val="23"/>
        </w:rPr>
        <w:t>的最大尺寸与可用测试空间的大小有关。应验证</w:t>
      </w:r>
      <w:r>
        <w:rPr>
          <w:rFonts w:ascii="Arial" w:eastAsia="宋体铫.籡.." w:hAnsi="Arial" w:cs="Arial"/>
          <w:kern w:val="0"/>
          <w:sz w:val="23"/>
          <w:szCs w:val="23"/>
        </w:rPr>
        <w:t>EUT</w:t>
      </w:r>
      <w:r>
        <w:rPr>
          <w:rFonts w:ascii="Arial" w:eastAsia="宋体铫.籡.." w:hAnsi="Arial" w:cs="Arial" w:hint="eastAsia"/>
          <w:kern w:val="0"/>
          <w:sz w:val="23"/>
          <w:szCs w:val="23"/>
        </w:rPr>
        <w:t>不大于</w:t>
      </w:r>
      <w:r>
        <w:rPr>
          <w:rFonts w:ascii="Arial" w:eastAsia="宋体铫.籡.." w:hAnsi="Arial" w:cs="Arial"/>
          <w:kern w:val="0"/>
          <w:sz w:val="23"/>
          <w:szCs w:val="23"/>
        </w:rPr>
        <w:t>0.6</w:t>
      </w:r>
      <w:r>
        <w:rPr>
          <w:rFonts w:ascii="Arial" w:eastAsia="宋体铫.籡.." w:hAnsi="Arial" w:cs="Arial" w:hint="eastAsia"/>
          <w:kern w:val="0"/>
          <w:sz w:val="23"/>
          <w:szCs w:val="23"/>
        </w:rPr>
        <w:t>芯板宽度×</w:t>
      </w:r>
      <w:r>
        <w:rPr>
          <w:rFonts w:ascii="Arial" w:eastAsia="宋体铫.籡.." w:hAnsi="Arial" w:cs="Arial"/>
          <w:kern w:val="0"/>
          <w:sz w:val="23"/>
          <w:szCs w:val="23"/>
        </w:rPr>
        <w:t>0.6</w:t>
      </w:r>
      <w:r>
        <w:rPr>
          <w:rFonts w:ascii="Arial" w:eastAsia="宋体铫.籡.." w:hAnsi="Arial" w:cs="Arial" w:hint="eastAsia"/>
          <w:kern w:val="0"/>
          <w:sz w:val="23"/>
          <w:szCs w:val="23"/>
        </w:rPr>
        <w:t>芯板与底板间距，</w:t>
      </w:r>
      <w:r>
        <w:rPr>
          <w:rFonts w:ascii="Arial" w:eastAsia="宋体铫.籡.." w:hAnsi="Arial" w:cs="Arial"/>
          <w:kern w:val="0"/>
          <w:sz w:val="23"/>
          <w:szCs w:val="23"/>
        </w:rPr>
        <w:t xml:space="preserve"> </w:t>
      </w:r>
      <w:r>
        <w:rPr>
          <w:rFonts w:ascii="Arial" w:eastAsia="宋体铫.籡.." w:hAnsi="Arial" w:cs="Arial" w:hint="eastAsia"/>
          <w:kern w:val="0"/>
          <w:sz w:val="23"/>
          <w:szCs w:val="23"/>
        </w:rPr>
        <w:t>恒定场强法：场均匀性的要求为，对于</w:t>
      </w:r>
      <w:r>
        <w:rPr>
          <w:rFonts w:ascii="Arial" w:eastAsia="宋体铫.籡.." w:hAnsi="Arial" w:cs="Arial"/>
          <w:kern w:val="0"/>
          <w:sz w:val="23"/>
          <w:szCs w:val="23"/>
        </w:rPr>
        <w:t>75%</w:t>
      </w:r>
      <w:r>
        <w:rPr>
          <w:rFonts w:ascii="Arial" w:eastAsia="宋体铫.籡.." w:hAnsi="Arial" w:cs="Arial" w:hint="eastAsia"/>
          <w:kern w:val="0"/>
          <w:sz w:val="23"/>
          <w:szCs w:val="23"/>
        </w:rPr>
        <w:t>的包含概率（</w:t>
      </w:r>
      <w:r>
        <w:rPr>
          <w:rFonts w:ascii="Arial" w:eastAsia="宋体铫.籡.." w:hAnsi="Arial" w:cs="Arial"/>
          <w:kern w:val="0"/>
          <w:sz w:val="23"/>
          <w:szCs w:val="23"/>
        </w:rPr>
        <w:t>k=1.15</w:t>
      </w:r>
      <w:r>
        <w:rPr>
          <w:rFonts w:ascii="Arial" w:eastAsia="宋体铫.籡.." w:hAnsi="Arial" w:cs="Arial" w:hint="eastAsia"/>
          <w:kern w:val="0"/>
          <w:sz w:val="23"/>
          <w:szCs w:val="23"/>
        </w:rPr>
        <w:t>）和</w:t>
      </w:r>
      <w:r>
        <w:rPr>
          <w:rFonts w:ascii="Arial" w:eastAsia="宋体铫.籡.." w:hAnsi="Arial" w:cs="Arial"/>
          <w:kern w:val="0"/>
          <w:sz w:val="23"/>
          <w:szCs w:val="23"/>
        </w:rPr>
        <w:t>6 dB</w:t>
      </w:r>
      <w:r>
        <w:rPr>
          <w:rFonts w:ascii="Arial" w:eastAsia="宋体铫.籡.." w:hAnsi="Arial" w:cs="Arial" w:hint="eastAsia"/>
          <w:kern w:val="0"/>
          <w:sz w:val="23"/>
          <w:szCs w:val="23"/>
        </w:rPr>
        <w:t>的裕度，其标准偏差应为σ</w:t>
      </w:r>
      <w:r>
        <w:rPr>
          <w:rFonts w:ascii="Arial" w:eastAsia="宋体铫.籡.." w:hAnsi="Arial" w:cs="Arial"/>
          <w:kern w:val="0"/>
          <w:sz w:val="23"/>
          <w:szCs w:val="23"/>
        </w:rPr>
        <w:t>_P</w:t>
      </w:r>
      <w:r>
        <w:rPr>
          <w:rFonts w:ascii="Arial" w:eastAsia="宋体铫.籡.." w:hAnsi="Arial" w:cs="Arial" w:hint="eastAsia"/>
          <w:kern w:val="0"/>
          <w:sz w:val="23"/>
          <w:szCs w:val="23"/>
        </w:rPr>
        <w:t>≤</w:t>
      </w:r>
      <w:r>
        <w:rPr>
          <w:rFonts w:ascii="Arial" w:eastAsia="宋体铫.籡.." w:hAnsi="Arial" w:cs="Arial"/>
          <w:kern w:val="0"/>
          <w:sz w:val="23"/>
          <w:szCs w:val="23"/>
        </w:rPr>
        <w:t>(6 dB)/(2×1.15)</w:t>
      </w:r>
      <w:r>
        <w:rPr>
          <w:rFonts w:ascii="Arial" w:eastAsia="宋体铫.籡.." w:hAnsi="Arial" w:cs="Arial" w:hint="eastAsia"/>
          <w:kern w:val="0"/>
          <w:sz w:val="23"/>
          <w:szCs w:val="23"/>
        </w:rPr>
        <w:t>≈</w:t>
      </w:r>
      <w:r>
        <w:rPr>
          <w:rFonts w:ascii="Arial" w:eastAsia="宋体铫.籡.." w:hAnsi="Arial" w:cs="Arial"/>
          <w:kern w:val="0"/>
          <w:sz w:val="23"/>
          <w:szCs w:val="23"/>
        </w:rPr>
        <w:t>2.61 dB</w:t>
      </w:r>
      <w:r>
        <w:rPr>
          <w:rFonts w:ascii="Arial" w:eastAsia="宋体铫.籡.." w:hAnsi="Arial" w:cs="Arial" w:hint="eastAsia"/>
          <w:kern w:val="0"/>
          <w:sz w:val="23"/>
          <w:szCs w:val="23"/>
        </w:rPr>
        <w:t>；恒定前向功率法：场均匀性的要求为</w:t>
      </w:r>
      <w:r>
        <w:rPr>
          <w:rFonts w:ascii="Arial" w:eastAsia="宋体铫.籡.." w:hAnsi="Arial" w:cs="Arial"/>
          <w:kern w:val="0"/>
          <w:sz w:val="23"/>
          <w:szCs w:val="23"/>
        </w:rPr>
        <w:t>E_test</w:t>
      </w:r>
      <w:r>
        <w:rPr>
          <w:rFonts w:ascii="Arial" w:eastAsia="宋体铫.籡.." w:hAnsi="Arial" w:cs="Arial" w:hint="eastAsia"/>
          <w:kern w:val="0"/>
          <w:sz w:val="23"/>
          <w:szCs w:val="23"/>
        </w:rPr>
        <w:t>≤</w:t>
      </w:r>
      <w:r>
        <w:rPr>
          <w:rFonts w:ascii="Arial" w:eastAsia="宋体铫.籡.." w:hAnsi="Arial" w:cs="Arial"/>
          <w:kern w:val="0"/>
          <w:sz w:val="23"/>
          <w:szCs w:val="23"/>
        </w:rPr>
        <w:t>E_i</w:t>
      </w:r>
      <w:r>
        <w:rPr>
          <w:rFonts w:ascii="Arial" w:eastAsia="宋体铫.籡.." w:hAnsi="Arial" w:cs="Arial" w:hint="eastAsia"/>
          <w:kern w:val="0"/>
          <w:sz w:val="23"/>
          <w:szCs w:val="23"/>
        </w:rPr>
        <w:t>≤</w:t>
      </w:r>
      <w:r>
        <w:rPr>
          <w:rFonts w:ascii="Arial" w:eastAsia="宋体铫.籡.." w:hAnsi="Arial" w:cs="Arial"/>
          <w:kern w:val="0"/>
          <w:sz w:val="23"/>
          <w:szCs w:val="23"/>
        </w:rPr>
        <w:t>E_test+2∙k</w:t>
      </w:r>
      <w:r>
        <w:rPr>
          <w:rFonts w:ascii="Arial" w:eastAsia="宋体铫.籡.." w:hAnsi="Arial" w:cs="Arial" w:hint="eastAsia"/>
          <w:kern w:val="0"/>
          <w:sz w:val="23"/>
          <w:szCs w:val="23"/>
        </w:rPr>
        <w:t>〖</w:t>
      </w:r>
      <w:r>
        <w:rPr>
          <w:rFonts w:ascii="Arial" w:eastAsia="宋体铫.籡.." w:hAnsi="Arial" w:cs="Arial"/>
          <w:kern w:val="0"/>
          <w:sz w:val="23"/>
          <w:szCs w:val="23"/>
        </w:rPr>
        <w:t>∙σ</w:t>
      </w:r>
      <w:r>
        <w:rPr>
          <w:rFonts w:ascii="Arial" w:eastAsia="宋体铫.籡.." w:hAnsi="Arial" w:cs="Arial" w:hint="eastAsia"/>
          <w:kern w:val="0"/>
          <w:sz w:val="23"/>
          <w:szCs w:val="23"/>
        </w:rPr>
        <w:t>〗</w:t>
      </w:r>
      <w:r>
        <w:rPr>
          <w:rFonts w:ascii="Arial" w:eastAsia="宋体铫.籡.." w:hAnsi="Arial" w:cs="Arial"/>
          <w:kern w:val="0"/>
          <w:sz w:val="23"/>
          <w:szCs w:val="23"/>
        </w:rPr>
        <w:t xml:space="preserve">_E   </w:t>
      </w:r>
      <w:r>
        <w:rPr>
          <w:rFonts w:ascii="Arial" w:eastAsia="宋体铫.籡.." w:hAnsi="Arial" w:cs="Arial" w:hint="eastAsia"/>
          <w:kern w:val="0"/>
          <w:sz w:val="23"/>
          <w:szCs w:val="23"/>
        </w:rPr>
        <w:t>和σ</w:t>
      </w:r>
      <w:r>
        <w:rPr>
          <w:rFonts w:ascii="Arial" w:eastAsia="宋体铫.籡.." w:hAnsi="Arial" w:cs="Arial"/>
          <w:kern w:val="0"/>
          <w:sz w:val="23"/>
          <w:szCs w:val="23"/>
        </w:rPr>
        <w:t>_E</w:t>
      </w:r>
      <w:r>
        <w:rPr>
          <w:rFonts w:ascii="Arial" w:eastAsia="宋体铫.籡.." w:hAnsi="Arial" w:cs="Arial" w:hint="eastAsia"/>
          <w:kern w:val="0"/>
          <w:sz w:val="23"/>
          <w:szCs w:val="23"/>
        </w:rPr>
        <w:t>≤</w:t>
      </w:r>
      <w:r>
        <w:rPr>
          <w:rFonts w:ascii="Arial" w:eastAsia="宋体铫.籡.." w:hAnsi="Arial" w:cs="Arial"/>
          <w:kern w:val="0"/>
          <w:sz w:val="23"/>
          <w:szCs w:val="23"/>
        </w:rPr>
        <w:t>margin/(2∙k)</w:t>
      </w:r>
      <w:r>
        <w:rPr>
          <w:rFonts w:ascii="Arial" w:eastAsia="宋体铫.籡.." w:hAnsi="Arial" w:cs="Arial" w:hint="eastAsia"/>
          <w:kern w:val="0"/>
          <w:sz w:val="23"/>
          <w:szCs w:val="23"/>
        </w:rPr>
        <w:t>。</w:t>
      </w:r>
    </w:p>
    <w:p>
      <w:pPr>
        <w:pStyle w:val="ListParagraph"/>
        <w:numPr>
          <w:ilvl w:val="0"/>
          <w:numId w:val="48"/>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48"/>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72"/>
          <w:footerReference w:type="default" r:id="rId73"/>
          <w:headerReference w:type="first" r:id="rId74"/>
          <w:footerReference w:type="first" r:id="rId75"/>
          <w:type w:val="nextPage"/>
          <w:pgSz w:w="11906" w:h="16838"/>
          <w:pgMar w:top="1418" w:right="1418" w:bottom="1418" w:left="1701" w:header="851" w:footer="992" w:gutter="0"/>
          <w:pgNumType w:start="17"/>
          <w:cols w:num="1" w:space="425"/>
          <w:titlePg w:val="0"/>
          <w:docGrid w:linePitch="312" w:charSpace="0"/>
        </w:sectPr>
      </w:pPr>
      <w:r>
        <w:rPr>
          <w:rFonts w:ascii="Arial" w:eastAsia="宋体铫.籡.." w:hAnsi="Arial" w:cs="Arial" w:hint="eastAsia"/>
          <w:kern w:val="0"/>
          <w:sz w:val="23"/>
          <w:szCs w:val="23"/>
        </w:rPr>
        <w:t>报告要求：报告应由CNAS或其互认框架下授权的检测机构出具。</w:t>
      </w:r>
    </w:p>
    <w:bookmarkEnd w:id="68"/>
    <w:p>
      <w:pPr>
        <w:pStyle w:val="Heading2"/>
        <w:numPr>
          <w:ilvl w:val="0"/>
          <w:numId w:val="43"/>
        </w:numPr>
        <w:spacing w:before="120" w:after="120" w:line="240" w:lineRule="auto"/>
        <w:rPr>
          <w:rFonts w:ascii="Times New Roman" w:hAnsi="Times New Roman" w:eastAsiaTheme="minorEastAsia" w:cs="Times New Roman"/>
          <w:kern w:val="0"/>
          <w:sz w:val="24"/>
          <w:szCs w:val="24"/>
        </w:rPr>
      </w:pPr>
      <w:bookmarkStart w:id="69" w:name="_Toc79135137"/>
      <w:r>
        <w:rPr>
          <w:rFonts w:ascii="Times New Roman" w:hAnsi="Times New Roman" w:eastAsiaTheme="minorEastAsia" w:cs="Times New Roman"/>
          <w:kern w:val="0"/>
          <w:sz w:val="24"/>
          <w:szCs w:val="24"/>
        </w:rPr>
        <w:t>TEM</w:t>
      </w:r>
      <w:r>
        <w:rPr>
          <w:rFonts w:ascii="Times New Roman" w:hAnsi="Times New Roman" w:eastAsiaTheme="minorEastAsia" w:cs="Times New Roman" w:hint="eastAsia"/>
          <w:kern w:val="0"/>
          <w:sz w:val="24"/>
          <w:szCs w:val="24"/>
        </w:rPr>
        <w:t>模的验证</w:t>
      </w:r>
      <w:bookmarkEnd w:id="69"/>
    </w:p>
    <w:p>
      <w:pPr>
        <w:pStyle w:val="ListParagraph"/>
        <w:numPr>
          <w:ilvl w:val="0"/>
          <w:numId w:val="5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5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w:t>
      </w:r>
      <w:r>
        <w:rPr>
          <w:rFonts w:ascii="Times New Roman" w:eastAsia="宋体" w:hAnsi="Times New Roman" w:cs="Arial" w:hint="eastAsia"/>
          <w:kern w:val="0"/>
          <w:sz w:val="23"/>
          <w:szCs w:val="23"/>
        </w:rPr>
        <w:t>Emission and immunity testing in trasverse electromagnetic (TEM) waveguide</w:t>
      </w:r>
    </w:p>
    <w:p>
      <w:pPr>
        <w:pStyle w:val="ListParagraph"/>
        <w:numPr>
          <w:ilvl w:val="0"/>
          <w:numId w:val="5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techniques-Emission and immunity testing in trasverse electromagnetic (TEM) waveguide</w:t>
      </w:r>
    </w:p>
    <w:p>
      <w:pPr>
        <w:pStyle w:val="ListParagraph"/>
        <w:numPr>
          <w:ilvl w:val="0"/>
          <w:numId w:val="51"/>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17626.20 电磁兼容 试验和测量技术 横电磁波（TEM）波导中的发射和抗扰度试验</w:t>
      </w:r>
    </w:p>
    <w:p>
      <w:pPr>
        <w:pStyle w:val="ListParagraph"/>
        <w:numPr>
          <w:ilvl w:val="0"/>
          <w:numId w:val="5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采用抗扰度试验的场均匀区确认步骤，在波导横截面上（垂直于传输方向）规定的测量点中，应至少在75%的测量点上次场分量（不需要的）小于主场分量6d</w:t>
      </w:r>
      <w:r>
        <w:rPr>
          <w:rFonts w:ascii="Arial" w:eastAsia="宋体铫.籡.." w:hAnsi="Arial" w:cs="Arial"/>
          <w:kern w:val="0"/>
          <w:sz w:val="23"/>
          <w:szCs w:val="23"/>
        </w:rPr>
        <w:t>B</w:t>
      </w:r>
      <w:r>
        <w:rPr>
          <w:rFonts w:ascii="Arial" w:eastAsia="宋体铫.籡.." w:hAnsi="Arial" w:cs="Arial" w:hint="eastAsia"/>
          <w:kern w:val="0"/>
          <w:sz w:val="23"/>
          <w:szCs w:val="23"/>
        </w:rPr>
        <w:t>以上。</w:t>
      </w:r>
    </w:p>
    <w:p>
      <w:pPr>
        <w:pStyle w:val="ListParagraph"/>
        <w:numPr>
          <w:ilvl w:val="0"/>
          <w:numId w:val="50"/>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70" w:name="_Hlk78960249"/>
      <w:r>
        <w:rPr>
          <w:rFonts w:ascii="Arial" w:eastAsia="宋体铫.籡.." w:hAnsi="Arial" w:cs="Arial" w:hint="eastAsia"/>
          <w:kern w:val="0"/>
          <w:sz w:val="23"/>
          <w:szCs w:val="23"/>
        </w:rPr>
        <w:t>测量验证频次：首次验证后，每3~5年进行一次验证。</w:t>
      </w:r>
    </w:p>
    <w:p>
      <w:pPr>
        <w:pStyle w:val="ListParagraph"/>
        <w:numPr>
          <w:ilvl w:val="0"/>
          <w:numId w:val="50"/>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报告要求：报告应由CNAS或其互认框架下授权的检测机构出具。</w:t>
      </w:r>
    </w:p>
    <w:bookmarkEnd w:id="70"/>
    <w:p>
      <w:pPr>
        <w:pStyle w:val="Heading2"/>
        <w:numPr>
          <w:ilvl w:val="0"/>
          <w:numId w:val="43"/>
        </w:numPr>
        <w:spacing w:before="120" w:after="120" w:line="240" w:lineRule="auto"/>
        <w:rPr>
          <w:rFonts w:ascii="Times New Roman" w:hAnsi="Times New Roman" w:eastAsiaTheme="minorEastAsia" w:cs="Times New Roman"/>
          <w:kern w:val="0"/>
          <w:sz w:val="24"/>
          <w:szCs w:val="24"/>
        </w:rPr>
      </w:pPr>
      <w:bookmarkStart w:id="71" w:name="_Toc79135138"/>
      <w:r>
        <w:rPr>
          <w:rFonts w:ascii="Times New Roman" w:hAnsi="Times New Roman" w:eastAsiaTheme="minorEastAsia" w:cs="Times New Roman" w:hint="eastAsia"/>
          <w:kern w:val="0"/>
          <w:sz w:val="24"/>
          <w:szCs w:val="24"/>
        </w:rPr>
        <w:t>屏蔽效能</w:t>
      </w:r>
      <w:bookmarkEnd w:id="71"/>
    </w:p>
    <w:p>
      <w:pPr>
        <w:pStyle w:val="ListParagraph"/>
        <w:numPr>
          <w:ilvl w:val="0"/>
          <w:numId w:val="5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53"/>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IEC</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w:t>
      </w:r>
      <w:r>
        <w:rPr>
          <w:rFonts w:ascii="Times New Roman" w:eastAsia="宋体" w:hAnsi="Times New Roman" w:cs="Arial" w:hint="eastAsia"/>
          <w:kern w:val="0"/>
          <w:sz w:val="23"/>
          <w:szCs w:val="23"/>
        </w:rPr>
        <w:t>Emission and immunity testing in trasverse electromagnetic (TEM) waveguide</w:t>
      </w:r>
    </w:p>
    <w:p>
      <w:pPr>
        <w:pStyle w:val="ListParagraph"/>
        <w:numPr>
          <w:ilvl w:val="0"/>
          <w:numId w:val="53"/>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w:t>
      </w:r>
      <w:r>
        <w:rPr>
          <w:rFonts w:ascii="Times New Roman" w:eastAsia="宋体" w:hAnsi="Times New Roman" w:cs="Arial"/>
          <w:kern w:val="0"/>
          <w:sz w:val="23"/>
          <w:szCs w:val="23"/>
        </w:rPr>
        <w:t>61000-4-2</w:t>
      </w:r>
      <w:r>
        <w:rPr>
          <w:rFonts w:ascii="Times New Roman" w:eastAsia="宋体" w:hAnsi="Times New Roman" w:cs="Arial" w:hint="eastAsia"/>
          <w:kern w:val="0"/>
          <w:sz w:val="23"/>
          <w:szCs w:val="23"/>
        </w:rPr>
        <w:t xml:space="preserve">0 </w:t>
      </w:r>
      <w:r>
        <w:rPr>
          <w:rFonts w:ascii="Times New Roman" w:eastAsia="宋体" w:hAnsi="Times New Roman" w:cs="Arial"/>
          <w:kern w:val="0"/>
          <w:sz w:val="23"/>
          <w:szCs w:val="23"/>
        </w:rPr>
        <w:t>Electromagnetic compatibility (EMC)-Part 4-21: Testing and measurement techniques-Emission and immunity testing in trasverse electromagnetic (TEM) waveguide</w:t>
      </w:r>
    </w:p>
    <w:p>
      <w:pPr>
        <w:pStyle w:val="ListParagraph"/>
        <w:numPr>
          <w:ilvl w:val="0"/>
          <w:numId w:val="53"/>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GB/T 17626.20 电磁兼容 试验和测量技术 横电磁波（TEM）波导中的发射和抗扰度试验</w:t>
      </w:r>
    </w:p>
    <w:p>
      <w:pPr>
        <w:pStyle w:val="ListParagraph"/>
        <w:numPr>
          <w:ilvl w:val="0"/>
          <w:numId w:val="5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记录横电磁波室的屏蔽效能值。</w:t>
      </w:r>
    </w:p>
    <w:p>
      <w:pPr>
        <w:pStyle w:val="ListParagraph"/>
        <w:numPr>
          <w:ilvl w:val="0"/>
          <w:numId w:val="52"/>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72" w:name="_Hlk78960376"/>
      <w:r>
        <w:rPr>
          <w:rFonts w:ascii="Arial" w:eastAsia="宋体铫.籡.." w:hAnsi="Arial" w:cs="Arial" w:hint="eastAsia"/>
          <w:kern w:val="0"/>
          <w:sz w:val="23"/>
          <w:szCs w:val="23"/>
        </w:rPr>
        <w:t>测量验证频次：首次验证后，每3~5年进行一次验证。</w:t>
      </w:r>
    </w:p>
    <w:p>
      <w:pPr>
        <w:pStyle w:val="ListParagraph"/>
        <w:numPr>
          <w:ilvl w:val="0"/>
          <w:numId w:val="5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报告要求：报告应由CNAS或其互认框架下授权的检测机构出具。</w:t>
      </w:r>
    </w:p>
    <w:bookmarkEnd w:id="72"/>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73" w:name="_Toc79135139"/>
      <w:r>
        <w:rPr>
          <w:rFonts w:ascii="Times New Roman" w:hAnsi="Times New Roman" w:eastAsiaTheme="minorEastAsia" w:cs="Times New Roman"/>
          <w:kern w:val="0"/>
          <w:sz w:val="24"/>
          <w:szCs w:val="24"/>
        </w:rPr>
        <w:t>GTEM</w:t>
      </w:r>
      <w:r>
        <w:rPr>
          <w:rFonts w:ascii="Times New Roman" w:hAnsi="Times New Roman" w:eastAsiaTheme="minorEastAsia" w:cs="Times New Roman" w:hint="eastAsia"/>
          <w:kern w:val="0"/>
          <w:sz w:val="24"/>
          <w:szCs w:val="24"/>
        </w:rPr>
        <w:t>小室</w:t>
      </w:r>
      <w:bookmarkEnd w:id="73"/>
    </w:p>
    <w:p>
      <w:pPr>
        <w:pStyle w:val="Heading2"/>
        <w:numPr>
          <w:ilvl w:val="0"/>
          <w:numId w:val="54"/>
        </w:numPr>
        <w:spacing w:before="120" w:after="120" w:line="240" w:lineRule="auto"/>
        <w:rPr>
          <w:rFonts w:ascii="Times New Roman" w:hAnsi="Times New Roman" w:eastAsiaTheme="minorEastAsia" w:cs="Times New Roman"/>
          <w:kern w:val="0"/>
          <w:sz w:val="24"/>
          <w:szCs w:val="24"/>
        </w:rPr>
      </w:pPr>
      <w:bookmarkStart w:id="74" w:name="_Toc79135140"/>
      <w:r>
        <w:rPr>
          <w:rFonts w:ascii="Times New Roman" w:hAnsi="Times New Roman" w:eastAsiaTheme="minorEastAsia" w:cs="Times New Roman" w:hint="eastAsia"/>
          <w:kern w:val="0"/>
          <w:sz w:val="24"/>
          <w:szCs w:val="24"/>
        </w:rPr>
        <w:t>阻抗</w:t>
      </w:r>
      <w:bookmarkEnd w:id="74"/>
    </w:p>
    <w:p>
      <w:pPr>
        <w:ind w:firstLine="460" w:firstLineChars="200"/>
        <w:rPr>
          <w:rFonts w:ascii="Arial" w:eastAsia="宋体铫.籡.." w:hAnsi="Arial" w:cs="Arial"/>
          <w:kern w:val="0"/>
          <w:sz w:val="23"/>
          <w:szCs w:val="23"/>
        </w:rPr>
        <w:sectPr>
          <w:headerReference w:type="default" r:id="rId76"/>
          <w:footerReference w:type="default" r:id="rId77"/>
          <w:headerReference w:type="first" r:id="rId78"/>
          <w:footerReference w:type="first" r:id="rId79"/>
          <w:type w:val="nextPage"/>
          <w:pgSz w:w="11906" w:h="16838"/>
          <w:pgMar w:top="1418" w:right="1418" w:bottom="1418" w:left="1701" w:header="851" w:footer="992" w:gutter="0"/>
          <w:pgNumType w:start="18"/>
          <w:cols w:num="1" w:space="425"/>
          <w:titlePg w:val="0"/>
          <w:docGrid w:linePitch="312" w:charSpace="0"/>
        </w:sectPr>
      </w:pPr>
      <w:r>
        <w:rPr>
          <w:rFonts w:ascii="Arial" w:eastAsia="宋体铫.籡.." w:hAnsi="Arial" w:cs="Arial" w:hint="eastAsia"/>
          <w:kern w:val="0"/>
          <w:sz w:val="23"/>
          <w:szCs w:val="23"/>
        </w:rPr>
        <w:t>同</w:t>
      </w:r>
      <w:r>
        <w:rPr>
          <w:rFonts w:ascii="Arial" w:eastAsia="宋体铫.籡.." w:hAnsi="Arial" w:cs="Arial"/>
          <w:kern w:val="0"/>
          <w:sz w:val="23"/>
          <w:szCs w:val="23"/>
        </w:rPr>
        <w:t>5.6.1</w:t>
      </w:r>
      <w:r>
        <w:rPr>
          <w:rFonts w:ascii="Arial" w:eastAsia="宋体铫.籡.." w:hAnsi="Arial" w:cs="Arial" w:hint="eastAsia"/>
          <w:kern w:val="0"/>
          <w:sz w:val="23"/>
          <w:szCs w:val="23"/>
        </w:rPr>
        <w:t>要求</w:t>
      </w:r>
    </w:p>
    <w:p>
      <w:pPr>
        <w:pStyle w:val="Heading2"/>
        <w:numPr>
          <w:ilvl w:val="0"/>
          <w:numId w:val="54"/>
        </w:numPr>
        <w:spacing w:before="120" w:after="120" w:line="240" w:lineRule="auto"/>
        <w:rPr>
          <w:rFonts w:ascii="Times New Roman" w:hAnsi="Times New Roman" w:eastAsiaTheme="minorEastAsia" w:cs="Times New Roman"/>
          <w:kern w:val="0"/>
          <w:sz w:val="24"/>
          <w:szCs w:val="24"/>
        </w:rPr>
      </w:pPr>
      <w:bookmarkStart w:id="75" w:name="_Toc79135141"/>
      <w:r>
        <w:rPr>
          <w:rFonts w:ascii="Times New Roman" w:hAnsi="Times New Roman" w:eastAsiaTheme="minorEastAsia" w:cs="Times New Roman" w:hint="eastAsia"/>
          <w:kern w:val="0"/>
          <w:sz w:val="24"/>
          <w:szCs w:val="24"/>
        </w:rPr>
        <w:t>输入端电压驻波比</w:t>
      </w:r>
      <w:bookmarkEnd w:id="75"/>
    </w:p>
    <w:p>
      <w:pPr>
        <w:ind w:firstLine="460" w:firstLineChars="200"/>
        <w:rPr>
          <w:rFonts w:ascii="Arial" w:eastAsia="宋体铫.籡.." w:hAnsi="Arial" w:cs="Arial"/>
          <w:kern w:val="0"/>
          <w:sz w:val="23"/>
          <w:szCs w:val="23"/>
        </w:rPr>
      </w:pPr>
      <w:r>
        <w:rPr>
          <w:rFonts w:ascii="Arial" w:eastAsia="宋体铫.籡.." w:hAnsi="Arial" w:cs="Arial" w:hint="eastAsia"/>
          <w:kern w:val="0"/>
          <w:sz w:val="23"/>
          <w:szCs w:val="23"/>
        </w:rPr>
        <w:t>同</w:t>
      </w:r>
      <w:r>
        <w:rPr>
          <w:rFonts w:ascii="Arial" w:eastAsia="宋体铫.籡.." w:hAnsi="Arial" w:cs="Arial"/>
          <w:kern w:val="0"/>
          <w:sz w:val="23"/>
          <w:szCs w:val="23"/>
        </w:rPr>
        <w:t>5.6.2</w:t>
      </w:r>
      <w:r>
        <w:rPr>
          <w:rFonts w:ascii="Arial" w:eastAsia="宋体铫.籡.." w:hAnsi="Arial" w:cs="Arial" w:hint="eastAsia"/>
          <w:kern w:val="0"/>
          <w:sz w:val="23"/>
          <w:szCs w:val="23"/>
        </w:rPr>
        <w:t>要求</w:t>
      </w:r>
    </w:p>
    <w:p>
      <w:pPr>
        <w:pStyle w:val="Heading2"/>
        <w:numPr>
          <w:ilvl w:val="0"/>
          <w:numId w:val="54"/>
        </w:numPr>
        <w:spacing w:before="120" w:after="120" w:line="240" w:lineRule="auto"/>
        <w:rPr>
          <w:rFonts w:ascii="Times New Roman" w:hAnsi="Times New Roman" w:eastAsiaTheme="minorEastAsia" w:cs="Times New Roman"/>
          <w:kern w:val="0"/>
          <w:sz w:val="24"/>
          <w:szCs w:val="24"/>
        </w:rPr>
      </w:pPr>
      <w:bookmarkStart w:id="76" w:name="_Toc79135142"/>
      <w:r>
        <w:rPr>
          <w:rFonts w:ascii="Times New Roman" w:hAnsi="Times New Roman" w:eastAsiaTheme="minorEastAsia" w:cs="Times New Roman" w:hint="eastAsia"/>
          <w:kern w:val="0"/>
          <w:sz w:val="24"/>
          <w:szCs w:val="24"/>
        </w:rPr>
        <w:t>场均匀性</w:t>
      </w:r>
      <w:bookmarkEnd w:id="76"/>
    </w:p>
    <w:p>
      <w:pPr>
        <w:ind w:firstLine="460" w:firstLineChars="200"/>
      </w:pPr>
      <w:r>
        <w:rPr>
          <w:rFonts w:ascii="Arial" w:eastAsia="宋体铫.籡.." w:hAnsi="Arial" w:cs="Arial" w:hint="eastAsia"/>
          <w:kern w:val="0"/>
          <w:sz w:val="23"/>
          <w:szCs w:val="23"/>
        </w:rPr>
        <w:t>同5.6.3要求</w:t>
      </w:r>
    </w:p>
    <w:p>
      <w:pPr>
        <w:pStyle w:val="Heading2"/>
        <w:numPr>
          <w:ilvl w:val="0"/>
          <w:numId w:val="54"/>
        </w:numPr>
        <w:spacing w:before="120" w:after="120" w:line="240" w:lineRule="auto"/>
        <w:rPr>
          <w:rFonts w:ascii="Times New Roman" w:hAnsi="Times New Roman" w:eastAsiaTheme="minorEastAsia" w:cs="Times New Roman"/>
          <w:kern w:val="0"/>
          <w:sz w:val="24"/>
          <w:szCs w:val="24"/>
        </w:rPr>
      </w:pPr>
      <w:bookmarkStart w:id="77" w:name="_Toc79135143"/>
      <w:r>
        <w:rPr>
          <w:rFonts w:ascii="Times New Roman" w:hAnsi="Times New Roman" w:eastAsiaTheme="minorEastAsia" w:cs="Times New Roman" w:hint="eastAsia"/>
          <w:kern w:val="0"/>
          <w:sz w:val="24"/>
          <w:szCs w:val="24"/>
        </w:rPr>
        <w:t>T</w:t>
      </w:r>
      <w:r>
        <w:rPr>
          <w:rFonts w:ascii="Times New Roman" w:hAnsi="Times New Roman" w:eastAsiaTheme="minorEastAsia" w:cs="Times New Roman"/>
          <w:kern w:val="0"/>
          <w:sz w:val="24"/>
          <w:szCs w:val="24"/>
        </w:rPr>
        <w:t>EM</w:t>
      </w:r>
      <w:r>
        <w:rPr>
          <w:rFonts w:ascii="Times New Roman" w:hAnsi="Times New Roman" w:eastAsiaTheme="minorEastAsia" w:cs="Times New Roman" w:hint="eastAsia"/>
          <w:kern w:val="0"/>
          <w:sz w:val="24"/>
          <w:szCs w:val="24"/>
        </w:rPr>
        <w:t>模的验证</w:t>
      </w:r>
      <w:bookmarkEnd w:id="77"/>
    </w:p>
    <w:p>
      <w:pPr>
        <w:ind w:firstLine="460" w:firstLineChars="200"/>
        <w:rPr>
          <w:rFonts w:ascii="Arial" w:eastAsia="宋体铫.籡.." w:hAnsi="Arial" w:cs="Arial"/>
          <w:kern w:val="0"/>
          <w:sz w:val="23"/>
          <w:szCs w:val="23"/>
        </w:rPr>
      </w:pPr>
      <w:r>
        <w:rPr>
          <w:rFonts w:ascii="Arial" w:eastAsia="宋体铫.籡.." w:hAnsi="Arial" w:cs="Arial" w:hint="eastAsia"/>
          <w:kern w:val="0"/>
          <w:sz w:val="23"/>
          <w:szCs w:val="23"/>
        </w:rPr>
        <w:t>同</w:t>
      </w:r>
      <w:r>
        <w:rPr>
          <w:rFonts w:ascii="Arial" w:eastAsia="宋体铫.籡.." w:hAnsi="Arial" w:cs="Arial"/>
          <w:kern w:val="0"/>
          <w:sz w:val="23"/>
          <w:szCs w:val="23"/>
        </w:rPr>
        <w:t>5.6.4</w:t>
      </w:r>
      <w:r>
        <w:rPr>
          <w:rFonts w:ascii="Arial" w:eastAsia="宋体铫.籡.." w:hAnsi="Arial" w:cs="Arial" w:hint="eastAsia"/>
          <w:kern w:val="0"/>
          <w:sz w:val="23"/>
          <w:szCs w:val="23"/>
        </w:rPr>
        <w:t>要求</w:t>
      </w:r>
    </w:p>
    <w:p>
      <w:pPr>
        <w:pStyle w:val="Heading2"/>
        <w:numPr>
          <w:ilvl w:val="0"/>
          <w:numId w:val="54"/>
        </w:numPr>
        <w:spacing w:before="120" w:after="120" w:line="240" w:lineRule="auto"/>
        <w:rPr>
          <w:rFonts w:ascii="Times New Roman" w:hAnsi="Times New Roman" w:eastAsiaTheme="minorEastAsia" w:cs="Times New Roman"/>
          <w:kern w:val="0"/>
          <w:sz w:val="24"/>
          <w:szCs w:val="24"/>
        </w:rPr>
      </w:pPr>
      <w:bookmarkStart w:id="78" w:name="_Toc79135144"/>
      <w:r>
        <w:rPr>
          <w:rFonts w:ascii="Times New Roman" w:hAnsi="Times New Roman" w:eastAsiaTheme="minorEastAsia" w:cs="Times New Roman" w:hint="eastAsia"/>
          <w:kern w:val="0"/>
          <w:sz w:val="24"/>
          <w:szCs w:val="24"/>
        </w:rPr>
        <w:t>屏蔽效能</w:t>
      </w:r>
      <w:bookmarkEnd w:id="78"/>
    </w:p>
    <w:p>
      <w:pPr>
        <w:ind w:firstLine="460" w:firstLineChars="200"/>
        <w:rPr>
          <w:rFonts w:ascii="Arial" w:eastAsia="宋体铫.籡.." w:hAnsi="Arial" w:cs="Arial"/>
          <w:kern w:val="0"/>
          <w:sz w:val="23"/>
          <w:szCs w:val="23"/>
        </w:rPr>
      </w:pPr>
      <w:r>
        <w:rPr>
          <w:rFonts w:ascii="Arial" w:eastAsia="宋体铫.籡.." w:hAnsi="Arial" w:cs="Arial" w:hint="eastAsia"/>
          <w:kern w:val="0"/>
          <w:sz w:val="23"/>
          <w:szCs w:val="23"/>
        </w:rPr>
        <w:t>同</w:t>
      </w:r>
      <w:r>
        <w:rPr>
          <w:rFonts w:ascii="Arial" w:eastAsia="宋体铫.籡.." w:hAnsi="Arial" w:cs="Arial"/>
          <w:kern w:val="0"/>
          <w:sz w:val="23"/>
          <w:szCs w:val="23"/>
        </w:rPr>
        <w:t>5.6.</w:t>
      </w:r>
      <w:r>
        <w:rPr>
          <w:rFonts w:ascii="Arial" w:eastAsia="宋体铫.籡.." w:hAnsi="Arial" w:cs="Arial" w:hint="eastAsia"/>
          <w:kern w:val="0"/>
          <w:sz w:val="23"/>
          <w:szCs w:val="23"/>
        </w:rPr>
        <w:t>5要求</w:t>
      </w:r>
    </w:p>
    <w:p>
      <w:pPr>
        <w:pStyle w:val="Heading2"/>
        <w:numPr>
          <w:ilvl w:val="0"/>
          <w:numId w:val="4"/>
        </w:numPr>
        <w:spacing w:before="120" w:after="120" w:line="240" w:lineRule="auto"/>
        <w:rPr>
          <w:rFonts w:ascii="Times New Roman" w:hAnsi="Times New Roman" w:eastAsiaTheme="minorEastAsia" w:cs="Times New Roman"/>
          <w:kern w:val="0"/>
          <w:sz w:val="24"/>
          <w:szCs w:val="24"/>
        </w:rPr>
      </w:pPr>
      <w:bookmarkStart w:id="79" w:name="_Toc79135145"/>
      <w:r>
        <w:rPr>
          <w:rFonts w:ascii="Times New Roman" w:hAnsi="Times New Roman" w:eastAsiaTheme="minorEastAsia" w:cs="Times New Roman" w:hint="eastAsia"/>
          <w:kern w:val="0"/>
          <w:sz w:val="24"/>
          <w:szCs w:val="24"/>
        </w:rPr>
        <w:t>带状线</w:t>
      </w:r>
      <w:bookmarkEnd w:id="79"/>
    </w:p>
    <w:p>
      <w:pPr>
        <w:pStyle w:val="Heading2"/>
        <w:numPr>
          <w:ilvl w:val="0"/>
          <w:numId w:val="55"/>
        </w:numPr>
        <w:spacing w:before="120" w:after="120" w:line="240" w:lineRule="auto"/>
        <w:rPr>
          <w:rFonts w:ascii="Times New Roman" w:hAnsi="Times New Roman" w:eastAsiaTheme="minorEastAsia" w:cs="Times New Roman"/>
          <w:kern w:val="0"/>
          <w:sz w:val="24"/>
          <w:szCs w:val="24"/>
        </w:rPr>
      </w:pPr>
      <w:bookmarkStart w:id="80" w:name="_Toc79135146"/>
      <w:r>
        <w:rPr>
          <w:rFonts w:ascii="Times New Roman" w:hAnsi="Times New Roman" w:eastAsiaTheme="minorEastAsia" w:cs="Times New Roman" w:hint="eastAsia"/>
          <w:kern w:val="0"/>
          <w:sz w:val="24"/>
          <w:szCs w:val="24"/>
        </w:rPr>
        <w:t>阻抗</w:t>
      </w:r>
      <w:bookmarkEnd w:id="80"/>
    </w:p>
    <w:p>
      <w:pPr>
        <w:pStyle w:val="ListParagraph"/>
        <w:numPr>
          <w:ilvl w:val="0"/>
          <w:numId w:val="5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5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CISPR 20 </w:t>
      </w:r>
      <w:r>
        <w:rPr>
          <w:rFonts w:ascii="Times New Roman" w:eastAsia="宋体" w:hAnsi="Times New Roman" w:cs="Arial"/>
          <w:kern w:val="0"/>
          <w:sz w:val="23"/>
          <w:szCs w:val="23"/>
        </w:rPr>
        <w:t>Sound and television broadcast receivers and associated equipment -Immunity characteristics - Limits and methods of measurement</w:t>
      </w:r>
    </w:p>
    <w:p>
      <w:pPr>
        <w:pStyle w:val="ListParagraph"/>
        <w:numPr>
          <w:ilvl w:val="0"/>
          <w:numId w:val="5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EN 55020 </w:t>
      </w:r>
      <w:r>
        <w:rPr>
          <w:rFonts w:ascii="Times New Roman" w:eastAsia="宋体" w:hAnsi="Times New Roman" w:cs="Arial"/>
          <w:kern w:val="0"/>
          <w:sz w:val="23"/>
          <w:szCs w:val="23"/>
        </w:rPr>
        <w:t>Sound and television broadcast receivers and associated equipment -Immunity characteristics - Limits and methods of measurement</w:t>
      </w:r>
    </w:p>
    <w:p>
      <w:pPr>
        <w:pStyle w:val="ListParagraph"/>
        <w:numPr>
          <w:ilvl w:val="0"/>
          <w:numId w:val="5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GB/T</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9383</w:t>
      </w:r>
      <w:r>
        <w:rPr>
          <w:rFonts w:ascii="Times New Roman" w:eastAsia="宋体" w:hAnsi="Times New Roman" w:cs="Arial" w:hint="eastAsia"/>
          <w:kern w:val="0"/>
          <w:sz w:val="23"/>
          <w:szCs w:val="23"/>
        </w:rPr>
        <w:t xml:space="preserve"> 声音和电视广播接收机及有关设备 抗扰度限值和测量方法</w:t>
      </w:r>
    </w:p>
    <w:p>
      <w:pPr>
        <w:pStyle w:val="ListParagraph"/>
        <w:numPr>
          <w:ilvl w:val="0"/>
          <w:numId w:val="5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567"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带状线应满足以下要求：</w:t>
      </w:r>
    </w:p>
    <w:p>
      <w:pPr>
        <w:pStyle w:val="ListParagraph"/>
        <w:numPr>
          <w:ilvl w:val="0"/>
          <w:numId w:val="58"/>
        </w:numPr>
        <w:autoSpaceDE w:val="0"/>
        <w:autoSpaceDN w:val="0"/>
        <w:adjustRightInd w:val="0"/>
        <w:spacing w:line="360" w:lineRule="auto"/>
        <w:ind w:firstLineChars="0"/>
        <w:jc w:val="left"/>
        <w:rPr>
          <w:rFonts w:ascii="Arial" w:eastAsia="宋体铫.籡.." w:hAnsi="Arial" w:cs="Arial"/>
          <w:kern w:val="0"/>
          <w:sz w:val="23"/>
          <w:szCs w:val="23"/>
        </w:rPr>
      </w:pPr>
      <w:r>
        <w:rPr>
          <w:rFonts w:ascii="Arial" w:eastAsia="宋体铫.籡.." w:hAnsi="Arial" w:cs="Arial" w:hint="eastAsia"/>
          <w:kern w:val="0"/>
          <w:sz w:val="23"/>
          <w:szCs w:val="23"/>
        </w:rPr>
        <w:t>带状线的特征阻抗为 150Ω；工作频率在 150 MHz 以下；</w:t>
      </w:r>
    </w:p>
    <w:p>
      <w:pPr>
        <w:pStyle w:val="ListParagraph"/>
        <w:numPr>
          <w:ilvl w:val="0"/>
          <w:numId w:val="58"/>
        </w:numPr>
        <w:autoSpaceDE w:val="0"/>
        <w:autoSpaceDN w:val="0"/>
        <w:adjustRightInd w:val="0"/>
        <w:spacing w:line="360" w:lineRule="auto"/>
        <w:ind w:firstLineChars="0"/>
        <w:jc w:val="left"/>
        <w:rPr>
          <w:rFonts w:ascii="Arial" w:eastAsia="宋体铫.籡.." w:hAnsi="Arial" w:cs="Arial"/>
          <w:kern w:val="0"/>
          <w:sz w:val="23"/>
          <w:szCs w:val="23"/>
        </w:rPr>
      </w:pPr>
      <w:r>
        <w:rPr>
          <w:rFonts w:ascii="Arial" w:eastAsia="宋体铫.籡.." w:hAnsi="Arial" w:cs="Arial" w:hint="eastAsia"/>
          <w:kern w:val="0"/>
          <w:sz w:val="23"/>
          <w:szCs w:val="23"/>
        </w:rPr>
        <w:t>被测设备不得高于 0.7</w:t>
      </w:r>
      <w:r>
        <w:rPr>
          <w:rFonts w:ascii="Arial" w:eastAsia="宋体铫.籡.." w:hAnsi="Arial" w:cs="Arial"/>
          <w:kern w:val="0"/>
          <w:sz w:val="23"/>
          <w:szCs w:val="23"/>
        </w:rPr>
        <w:t xml:space="preserve"> </w:t>
      </w:r>
      <w:r>
        <w:rPr>
          <w:rFonts w:ascii="Arial" w:eastAsia="宋体铫.籡.." w:hAnsi="Arial" w:cs="Arial" w:hint="eastAsia"/>
          <w:kern w:val="0"/>
          <w:sz w:val="23"/>
          <w:szCs w:val="23"/>
        </w:rPr>
        <w:t>m；</w:t>
      </w:r>
    </w:p>
    <w:p>
      <w:pPr>
        <w:pStyle w:val="ListParagraph"/>
        <w:numPr>
          <w:ilvl w:val="0"/>
          <w:numId w:val="58"/>
        </w:numPr>
        <w:autoSpaceDE w:val="0"/>
        <w:autoSpaceDN w:val="0"/>
        <w:adjustRightInd w:val="0"/>
        <w:spacing w:line="360" w:lineRule="auto"/>
        <w:ind w:firstLineChars="0"/>
        <w:jc w:val="left"/>
        <w:rPr>
          <w:rFonts w:ascii="Arial" w:eastAsia="宋体铫.籡.." w:hAnsi="Arial" w:cs="Arial"/>
          <w:kern w:val="0"/>
          <w:sz w:val="23"/>
          <w:szCs w:val="23"/>
        </w:rPr>
      </w:pPr>
      <w:r>
        <w:rPr>
          <w:rFonts w:ascii="Arial" w:eastAsia="宋体铫.籡.." w:hAnsi="Arial" w:cs="Arial" w:hint="eastAsia"/>
          <w:kern w:val="0"/>
          <w:sz w:val="23"/>
          <w:szCs w:val="23"/>
        </w:rPr>
        <w:t>带状线结构及尺寸应满足 GB/T9383-2008 附录 E 的要求，并按照附录F 的校准方法和校准曲线进行校准。</w:t>
      </w:r>
    </w:p>
    <w:p>
      <w:pPr>
        <w:pStyle w:val="ListParagraph"/>
        <w:numPr>
          <w:ilvl w:val="0"/>
          <w:numId w:val="5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5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报告要求：报告应由CNAS或其互认框架下授权的检测机构出具。</w:t>
      </w:r>
    </w:p>
    <w:p>
      <w:pPr>
        <w:pStyle w:val="Heading2"/>
        <w:numPr>
          <w:ilvl w:val="0"/>
          <w:numId w:val="55"/>
        </w:numPr>
        <w:spacing w:before="120" w:after="120" w:line="240" w:lineRule="auto"/>
        <w:rPr>
          <w:rFonts w:ascii="Times New Roman" w:hAnsi="Times New Roman" w:eastAsiaTheme="minorEastAsia" w:cs="Times New Roman"/>
          <w:kern w:val="0"/>
          <w:sz w:val="24"/>
          <w:szCs w:val="24"/>
        </w:rPr>
      </w:pPr>
      <w:bookmarkStart w:id="81" w:name="_Toc79135147"/>
      <w:r>
        <w:rPr>
          <w:rFonts w:ascii="Times New Roman" w:hAnsi="Times New Roman" w:eastAsiaTheme="minorEastAsia" w:cs="Times New Roman" w:hint="eastAsia"/>
          <w:kern w:val="0"/>
          <w:sz w:val="24"/>
          <w:szCs w:val="24"/>
        </w:rPr>
        <w:t>场均匀性</w:t>
      </w:r>
      <w:bookmarkEnd w:id="81"/>
    </w:p>
    <w:p>
      <w:pPr>
        <w:ind w:firstLine="460" w:firstLineChars="200"/>
        <w:rPr>
          <w:highlight w:val="yellow"/>
        </w:rPr>
      </w:pPr>
      <w:r>
        <w:rPr>
          <w:rFonts w:ascii="Arial" w:eastAsia="宋体铫.籡.." w:hAnsi="Arial" w:cs="Arial" w:hint="eastAsia"/>
          <w:kern w:val="0"/>
          <w:sz w:val="23"/>
          <w:szCs w:val="23"/>
        </w:rPr>
        <w:t>同5.6.3要求</w:t>
      </w:r>
    </w:p>
    <w:p>
      <w:pPr>
        <w:pStyle w:val="Heading1"/>
        <w:numPr>
          <w:ilvl w:val="0"/>
          <w:numId w:val="1"/>
        </w:numPr>
        <w:spacing w:before="240" w:after="240" w:line="240" w:lineRule="auto"/>
        <w:rPr>
          <w:rFonts w:ascii="Times New Roman" w:hAnsi="Times New Roman" w:cs="Times New Roman"/>
          <w:kern w:val="0"/>
          <w:sz w:val="28"/>
          <w:szCs w:val="28"/>
        </w:rPr>
      </w:pPr>
      <w:bookmarkStart w:id="82" w:name="_Toc79135148"/>
      <w:r>
        <w:rPr>
          <w:rFonts w:ascii="Times New Roman" w:hAnsi="Times New Roman" w:cs="Times New Roman" w:hint="eastAsia"/>
          <w:kern w:val="0"/>
          <w:sz w:val="28"/>
          <w:szCs w:val="28"/>
        </w:rPr>
        <w:t>汽车产品EMC场地确认项目和要求</w:t>
      </w:r>
      <w:bookmarkEnd w:id="82"/>
    </w:p>
    <w:p>
      <w:pPr>
        <w:pStyle w:val="Heading2"/>
        <w:numPr>
          <w:ilvl w:val="0"/>
          <w:numId w:val="59"/>
        </w:numPr>
        <w:spacing w:before="120" w:after="120" w:line="240" w:lineRule="auto"/>
        <w:rPr>
          <w:rFonts w:ascii="Times New Roman" w:hAnsi="Times New Roman" w:eastAsiaTheme="minorEastAsia" w:cs="Times New Roman"/>
          <w:kern w:val="0"/>
          <w:sz w:val="24"/>
          <w:szCs w:val="24"/>
        </w:rPr>
      </w:pPr>
      <w:bookmarkStart w:id="83" w:name="_Toc79135149"/>
      <w:r>
        <w:rPr>
          <w:rFonts w:ascii="Times New Roman" w:hAnsi="Times New Roman" w:eastAsiaTheme="minorEastAsia" w:cs="Times New Roman" w:hint="eastAsia"/>
          <w:kern w:val="0"/>
          <w:sz w:val="24"/>
          <w:szCs w:val="24"/>
        </w:rPr>
        <w:t>屏蔽室</w:t>
      </w:r>
      <w:bookmarkEnd w:id="83"/>
    </w:p>
    <w:p>
      <w:pPr>
        <w:pStyle w:val="Heading2"/>
        <w:numPr>
          <w:ilvl w:val="0"/>
          <w:numId w:val="60"/>
        </w:numPr>
        <w:spacing w:before="120" w:after="120" w:line="240" w:lineRule="auto"/>
        <w:rPr>
          <w:rFonts w:ascii="Times New Roman" w:hAnsi="Times New Roman" w:eastAsiaTheme="minorEastAsia" w:cs="Times New Roman"/>
          <w:kern w:val="0"/>
          <w:sz w:val="24"/>
          <w:szCs w:val="24"/>
        </w:rPr>
      </w:pPr>
      <w:bookmarkStart w:id="84" w:name="_Toc79135150"/>
      <w:r>
        <w:rPr>
          <w:rFonts w:ascii="Times New Roman" w:hAnsi="Times New Roman" w:eastAsiaTheme="minorEastAsia" w:cs="Times New Roman" w:hint="eastAsia"/>
          <w:kern w:val="0"/>
          <w:sz w:val="24"/>
          <w:szCs w:val="24"/>
        </w:rPr>
        <w:t>屏蔽效能</w:t>
      </w:r>
      <w:bookmarkEnd w:id="84"/>
      <w:r>
        <w:rPr>
          <w:rFonts w:ascii="Times New Roman" w:hAnsi="Times New Roman" w:eastAsiaTheme="minorEastAsia" w:cs="Times New Roman" w:hint="eastAsia"/>
          <w:kern w:val="0"/>
          <w:sz w:val="24"/>
          <w:szCs w:val="24"/>
        </w:rPr>
        <w:t xml:space="preserve"> </w:t>
      </w:r>
    </w:p>
    <w:p>
      <w:pPr>
        <w:pStyle w:val="ListParagraph"/>
        <w:numPr>
          <w:ilvl w:val="0"/>
          <w:numId w:val="6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62"/>
        </w:numPr>
        <w:spacing w:before="40" w:after="40" w:line="360" w:lineRule="auto"/>
        <w:ind w:left="945" w:leftChars="250" w:firstLineChars="0"/>
        <w:jc w:val="left"/>
        <w:rPr>
          <w:rFonts w:ascii="Times New Roman" w:eastAsia="宋体" w:hAnsi="Times New Roman" w:cs="Arial"/>
          <w:kern w:val="0"/>
          <w:sz w:val="23"/>
          <w:szCs w:val="23"/>
        </w:rPr>
        <w:sectPr>
          <w:headerReference w:type="default" r:id="rId80"/>
          <w:footerReference w:type="default" r:id="rId81"/>
          <w:headerReference w:type="first" r:id="rId82"/>
          <w:footerReference w:type="first" r:id="rId83"/>
          <w:type w:val="nextPage"/>
          <w:pgSz w:w="11906" w:h="16838"/>
          <w:pgMar w:top="1418" w:right="1418" w:bottom="1418" w:left="1701" w:header="851" w:footer="992" w:gutter="0"/>
          <w:pgNumType w:start="19"/>
          <w:cols w:num="1" w:space="425"/>
          <w:titlePg w:val="0"/>
          <w:docGrid w:linePitch="312" w:charSpace="0"/>
        </w:sectPr>
      </w:pPr>
      <w:r>
        <w:rPr>
          <w:rFonts w:ascii="Times New Roman" w:eastAsia="宋体" w:hAnsi="Times New Roman" w:cs="Arial"/>
          <w:kern w:val="0"/>
          <w:sz w:val="23"/>
          <w:szCs w:val="23"/>
        </w:rPr>
        <w:t>GB/T 12190</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电磁屏蔽室屏蔽效能的测量方法</w:t>
      </w:r>
    </w:p>
    <w:p>
      <w:pPr>
        <w:pStyle w:val="ListParagraph"/>
        <w:numPr>
          <w:ilvl w:val="0"/>
          <w:numId w:val="62"/>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EN 50147-1 Anechoic chambers - Part1.Shield attenuation measurement</w:t>
      </w:r>
    </w:p>
    <w:p>
      <w:pPr>
        <w:pStyle w:val="ListParagraph"/>
        <w:numPr>
          <w:ilvl w:val="0"/>
          <w:numId w:val="6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autoSpaceDE w:val="0"/>
        <w:autoSpaceDN w:val="0"/>
        <w:adjustRightInd w:val="0"/>
        <w:spacing w:line="360" w:lineRule="auto"/>
        <w:ind w:firstLine="460" w:firstLineChars="200"/>
        <w:jc w:val="left"/>
        <w:rPr>
          <w:rFonts w:ascii="Arial" w:eastAsia="宋体铫.籡.." w:hAnsi="Arial" w:cs="Arial"/>
          <w:kern w:val="0"/>
          <w:sz w:val="23"/>
          <w:szCs w:val="23"/>
        </w:rPr>
      </w:pPr>
      <w:r>
        <w:rPr>
          <w:rFonts w:ascii="Arial" w:eastAsia="宋体铫.籡.." w:hAnsi="Arial" w:cs="Arial" w:hint="eastAsia"/>
          <w:kern w:val="0"/>
          <w:sz w:val="23"/>
          <w:szCs w:val="23"/>
        </w:rPr>
        <w:t>屏蔽室的屏蔽效能至少应满足CNAS-CL01-A008:2018的要求：</w:t>
      </w:r>
    </w:p>
    <w:p>
      <w:pPr>
        <w:pStyle w:val="ListParagraph"/>
        <w:numPr>
          <w:ilvl w:val="0"/>
          <w:numId w:val="63"/>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14</w:t>
      </w:r>
      <w:r>
        <w:rPr>
          <w:rFonts w:ascii="Arial" w:eastAsia="宋体铫.籡.." w:hAnsi="Arial" w:cs="Arial"/>
          <w:kern w:val="0"/>
          <w:sz w:val="23"/>
          <w:szCs w:val="23"/>
        </w:rPr>
        <w:t xml:space="preserve"> </w:t>
      </w:r>
      <w:r>
        <w:rPr>
          <w:rFonts w:ascii="Arial" w:eastAsia="宋体铫.籡.." w:hAnsi="Arial" w:cs="Arial" w:hint="eastAsia"/>
          <w:kern w:val="0"/>
          <w:sz w:val="23"/>
          <w:szCs w:val="23"/>
        </w:rPr>
        <w:t>kHz-1</w:t>
      </w:r>
      <w:r>
        <w:rPr>
          <w:rFonts w:ascii="Arial" w:eastAsia="宋体铫.籡.." w:hAnsi="Arial" w:cs="Arial"/>
          <w:kern w:val="0"/>
          <w:sz w:val="23"/>
          <w:szCs w:val="23"/>
        </w:rPr>
        <w:t xml:space="preserve"> </w:t>
      </w:r>
      <w:r>
        <w:rPr>
          <w:rFonts w:ascii="Arial" w:eastAsia="宋体铫.籡.." w:hAnsi="Arial" w:cs="Arial" w:hint="eastAsia"/>
          <w:kern w:val="0"/>
          <w:sz w:val="23"/>
          <w:szCs w:val="23"/>
        </w:rPr>
        <w:t>MHz       ＞60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63"/>
        </w:numPr>
        <w:autoSpaceDE w:val="0"/>
        <w:autoSpaceDN w:val="0"/>
        <w:adjustRightInd w:val="0"/>
        <w:spacing w:line="360" w:lineRule="auto"/>
        <w:ind w:left="945" w:leftChars="250" w:firstLineChars="0"/>
        <w:jc w:val="left"/>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MHz-1000</w:t>
      </w:r>
      <w:r>
        <w:rPr>
          <w:rFonts w:ascii="Arial" w:eastAsia="宋体铫.籡.." w:hAnsi="Arial" w:cs="Arial"/>
          <w:kern w:val="0"/>
          <w:sz w:val="23"/>
          <w:szCs w:val="23"/>
        </w:rPr>
        <w:t xml:space="preserve"> </w:t>
      </w:r>
      <w:r>
        <w:rPr>
          <w:rFonts w:ascii="Arial" w:eastAsia="宋体铫.籡.." w:hAnsi="Arial" w:cs="Arial" w:hint="eastAsia"/>
          <w:kern w:val="0"/>
          <w:sz w:val="23"/>
          <w:szCs w:val="23"/>
        </w:rPr>
        <w:t>MHz   ＞90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autoSpaceDE w:val="0"/>
        <w:autoSpaceDN w:val="0"/>
        <w:adjustRightInd w:val="0"/>
        <w:spacing w:line="360" w:lineRule="auto"/>
        <w:ind w:left="566" w:firstLine="0" w:firstLineChars="0"/>
        <w:jc w:val="left"/>
        <w:rPr>
          <w:rFonts w:ascii="Arial" w:eastAsia="宋体铫.籡.." w:hAnsi="Arial" w:cs="Arial"/>
          <w:kern w:val="0"/>
          <w:sz w:val="20"/>
          <w:szCs w:val="20"/>
        </w:rPr>
      </w:pPr>
      <w:bookmarkStart w:id="85" w:name="_Hlk55899591"/>
      <w:r>
        <w:rPr>
          <w:rFonts w:ascii="Arial" w:eastAsia="宋体铫.籡.." w:hAnsi="Arial" w:cs="Arial" w:hint="eastAsia"/>
          <w:kern w:val="0"/>
          <w:sz w:val="20"/>
          <w:szCs w:val="20"/>
        </w:rPr>
        <w:t>备注：常规屏蔽效能测试到</w:t>
      </w:r>
      <w:r>
        <w:rPr>
          <w:rFonts w:ascii="Arial" w:eastAsia="宋体铫.籡.." w:hAnsi="Arial" w:cs="Arial"/>
          <w:kern w:val="0"/>
          <w:sz w:val="20"/>
          <w:szCs w:val="20"/>
        </w:rPr>
        <w:t>1 GHz</w:t>
      </w:r>
      <w:r>
        <w:rPr>
          <w:rFonts w:ascii="Arial" w:eastAsia="宋体铫.籡.." w:hAnsi="Arial" w:cs="Arial" w:hint="eastAsia"/>
          <w:kern w:val="0"/>
          <w:sz w:val="20"/>
          <w:szCs w:val="20"/>
        </w:rPr>
        <w:t>，特殊情况下依据使用情况测试到</w:t>
      </w:r>
      <w:r>
        <w:rPr>
          <w:rFonts w:ascii="Arial" w:eastAsia="宋体铫.籡.." w:hAnsi="Arial" w:cs="Arial"/>
          <w:kern w:val="0"/>
          <w:sz w:val="20"/>
          <w:szCs w:val="20"/>
        </w:rPr>
        <w:t>1 GHz</w:t>
      </w:r>
      <w:r>
        <w:rPr>
          <w:rFonts w:ascii="Arial" w:eastAsia="宋体铫.籡.." w:hAnsi="Arial" w:cs="Arial" w:hint="eastAsia"/>
          <w:kern w:val="0"/>
          <w:sz w:val="20"/>
          <w:szCs w:val="20"/>
        </w:rPr>
        <w:t>以上。</w:t>
      </w:r>
    </w:p>
    <w:bookmarkEnd w:id="85"/>
    <w:p>
      <w:pPr>
        <w:pStyle w:val="ListParagraph"/>
        <w:numPr>
          <w:ilvl w:val="0"/>
          <w:numId w:val="6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61"/>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或其互认框架下授权的检测机构出具的报告，报告应包含测试位置及布置图等信息，相关内容符合CNAS-CL01-A008的要求。</w:t>
      </w:r>
    </w:p>
    <w:p>
      <w:pPr>
        <w:pStyle w:val="Heading2"/>
        <w:numPr>
          <w:ilvl w:val="0"/>
          <w:numId w:val="60"/>
        </w:numPr>
        <w:spacing w:before="120" w:after="120" w:line="240" w:lineRule="auto"/>
        <w:rPr>
          <w:rFonts w:ascii="Times New Roman" w:hAnsi="Times New Roman" w:eastAsiaTheme="minorEastAsia" w:cs="Times New Roman"/>
          <w:kern w:val="0"/>
          <w:sz w:val="24"/>
          <w:szCs w:val="24"/>
        </w:rPr>
      </w:pPr>
      <w:bookmarkStart w:id="86" w:name="_Toc79135151"/>
      <w:r>
        <w:rPr>
          <w:rFonts w:ascii="Times New Roman" w:hAnsi="Times New Roman" w:eastAsiaTheme="minorEastAsia" w:cs="Times New Roman" w:hint="eastAsia"/>
          <w:kern w:val="0"/>
          <w:sz w:val="24"/>
          <w:szCs w:val="24"/>
        </w:rPr>
        <w:t>接地电阻</w:t>
      </w:r>
      <w:bookmarkEnd w:id="86"/>
    </w:p>
    <w:p>
      <w:pPr>
        <w:pStyle w:val="ListParagraph"/>
        <w:numPr>
          <w:ilvl w:val="0"/>
          <w:numId w:val="6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autoSpaceDE w:val="0"/>
        <w:autoSpaceDN w:val="0"/>
        <w:adjustRightInd w:val="0"/>
        <w:spacing w:line="360" w:lineRule="auto"/>
        <w:ind w:left="840" w:firstLine="0" w:firstLineChars="0"/>
        <w:jc w:val="left"/>
        <w:rPr>
          <w:rFonts w:ascii="Arial" w:eastAsia="宋体铫.籡.." w:hAnsi="Arial" w:cs="Arial"/>
          <w:kern w:val="0"/>
          <w:sz w:val="23"/>
          <w:szCs w:val="23"/>
        </w:rPr>
      </w:pPr>
      <w:r>
        <w:rPr>
          <w:rFonts w:ascii="Times New Roman" w:eastAsia="宋体" w:hAnsi="Times New Roman" w:cs="Arial"/>
          <w:kern w:val="0"/>
          <w:sz w:val="23"/>
          <w:szCs w:val="23"/>
        </w:rPr>
        <w:t xml:space="preserve">GB/T 16895.23 </w:t>
      </w:r>
      <w:r>
        <w:rPr>
          <w:rFonts w:ascii="Times New Roman" w:eastAsia="宋体" w:hAnsi="Times New Roman" w:cs="Arial" w:hint="eastAsia"/>
          <w:kern w:val="0"/>
          <w:sz w:val="23"/>
          <w:szCs w:val="23"/>
        </w:rPr>
        <w:t>低压电气装置 第6部分：检验</w:t>
      </w:r>
    </w:p>
    <w:p>
      <w:pPr>
        <w:pStyle w:val="ListParagraph"/>
        <w:numPr>
          <w:ilvl w:val="0"/>
          <w:numId w:val="6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性能要求：屏蔽室的接地电阻至少应满足</w:t>
      </w:r>
      <w:r>
        <w:rPr>
          <w:rFonts w:ascii="Arial" w:eastAsia="宋体铫.籡.." w:hAnsi="Arial" w:cs="Arial"/>
          <w:kern w:val="0"/>
          <w:sz w:val="23"/>
          <w:szCs w:val="23"/>
        </w:rPr>
        <w:t>CNAS-CL01-A008</w:t>
      </w:r>
      <w:r>
        <w:rPr>
          <w:rFonts w:ascii="Arial" w:eastAsia="宋体铫.籡.." w:hAnsi="Arial" w:cs="Arial" w:hint="eastAsia"/>
          <w:kern w:val="0"/>
          <w:sz w:val="23"/>
          <w:szCs w:val="23"/>
        </w:rPr>
        <w:t>的要求：接地电阻小于</w:t>
      </w:r>
      <w:r>
        <w:rPr>
          <w:rFonts w:ascii="Arial" w:eastAsia="宋体铫.籡.." w:hAnsi="Arial" w:cs="Arial"/>
          <w:kern w:val="0"/>
          <w:sz w:val="23"/>
          <w:szCs w:val="23"/>
        </w:rPr>
        <w:t>4</w:t>
      </w:r>
      <w:r>
        <w:rPr>
          <w:rFonts w:ascii="Arial" w:eastAsia="宋体铫.籡.." w:hAnsi="Arial" w:cs="Arial" w:hint="eastAsia"/>
          <w:kern w:val="0"/>
          <w:sz w:val="23"/>
          <w:szCs w:val="23"/>
        </w:rPr>
        <w:t>Ω。</w:t>
      </w:r>
    </w:p>
    <w:p>
      <w:pPr>
        <w:pStyle w:val="ListParagraph"/>
        <w:numPr>
          <w:ilvl w:val="0"/>
          <w:numId w:val="64"/>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87" w:name="_Hlk79073983"/>
      <w:r>
        <w:rPr>
          <w:rFonts w:ascii="Arial" w:eastAsia="宋体铫.籡.." w:hAnsi="Arial" w:cs="Arial" w:hint="eastAsia"/>
          <w:kern w:val="0"/>
          <w:sz w:val="23"/>
          <w:szCs w:val="23"/>
        </w:rPr>
        <w:t>测量验证频次：首次验证后，每3~5年进行一次验证。</w:t>
      </w:r>
    </w:p>
    <w:p>
      <w:pPr>
        <w:pStyle w:val="ListParagraph"/>
        <w:numPr>
          <w:ilvl w:val="0"/>
          <w:numId w:val="6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或其互认框架下授权的检测机构出具的报告，报告应包含测试点位置等相关信息，相关内容符合CNAS-CL01-A008的要求。</w:t>
      </w:r>
    </w:p>
    <w:bookmarkEnd w:id="87"/>
    <w:p>
      <w:pPr>
        <w:pStyle w:val="Heading2"/>
        <w:numPr>
          <w:ilvl w:val="0"/>
          <w:numId w:val="60"/>
        </w:numPr>
        <w:spacing w:before="120" w:after="120" w:line="240" w:lineRule="auto"/>
        <w:rPr>
          <w:rFonts w:ascii="Times New Roman" w:hAnsi="Times New Roman" w:eastAsiaTheme="minorEastAsia" w:cs="Times New Roman"/>
          <w:kern w:val="0"/>
          <w:sz w:val="24"/>
          <w:szCs w:val="24"/>
        </w:rPr>
      </w:pPr>
      <w:bookmarkStart w:id="88" w:name="_Toc79135152"/>
      <w:r>
        <w:rPr>
          <w:rFonts w:ascii="Times New Roman" w:hAnsi="Times New Roman" w:eastAsiaTheme="minorEastAsia" w:cs="Times New Roman" w:hint="eastAsia"/>
          <w:kern w:val="0"/>
          <w:sz w:val="24"/>
          <w:szCs w:val="24"/>
        </w:rPr>
        <w:t>绝缘电阻</w:t>
      </w:r>
      <w:bookmarkEnd w:id="88"/>
    </w:p>
    <w:p>
      <w:pPr>
        <w:pStyle w:val="ListParagraph"/>
        <w:numPr>
          <w:ilvl w:val="0"/>
          <w:numId w:val="6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autoSpaceDE w:val="0"/>
        <w:autoSpaceDN w:val="0"/>
        <w:adjustRightInd w:val="0"/>
        <w:spacing w:line="360" w:lineRule="auto"/>
        <w:ind w:left="1164" w:firstLine="0" w:firstLineChars="0"/>
        <w:jc w:val="left"/>
        <w:rPr>
          <w:rFonts w:ascii="Arial" w:eastAsia="宋体铫.籡.." w:hAnsi="Arial" w:cs="Arial"/>
          <w:kern w:val="0"/>
          <w:sz w:val="23"/>
          <w:szCs w:val="23"/>
        </w:rPr>
      </w:pPr>
      <w:r>
        <w:rPr>
          <w:rFonts w:ascii="Times New Roman" w:eastAsia="宋体" w:hAnsi="Times New Roman" w:cs="Arial"/>
          <w:kern w:val="0"/>
          <w:sz w:val="23"/>
          <w:szCs w:val="23"/>
        </w:rPr>
        <w:t xml:space="preserve">GB/T 16895.23 </w:t>
      </w:r>
      <w:r>
        <w:rPr>
          <w:rFonts w:ascii="Times New Roman" w:eastAsia="宋体" w:hAnsi="Times New Roman" w:cs="Arial" w:hint="eastAsia"/>
          <w:kern w:val="0"/>
          <w:sz w:val="23"/>
          <w:szCs w:val="23"/>
        </w:rPr>
        <w:t>低压电气装置 第6部分：检验</w:t>
      </w:r>
    </w:p>
    <w:p>
      <w:pPr>
        <w:pStyle w:val="ListParagraph"/>
        <w:numPr>
          <w:ilvl w:val="0"/>
          <w:numId w:val="6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firstLine="460"/>
        <w:jc w:val="left"/>
        <w:rPr>
          <w:rFonts w:ascii="Arial" w:eastAsia="宋体铫.籡.." w:hAnsi="Arial" w:cs="Arial"/>
          <w:kern w:val="0"/>
          <w:sz w:val="23"/>
          <w:szCs w:val="23"/>
        </w:rPr>
      </w:pPr>
      <w:r>
        <w:rPr>
          <w:rFonts w:ascii="Arial" w:eastAsia="宋体铫.籡.." w:hAnsi="Arial" w:cs="Arial" w:hint="eastAsia"/>
          <w:kern w:val="0"/>
          <w:sz w:val="23"/>
          <w:szCs w:val="23"/>
        </w:rPr>
        <w:t>屏蔽室的绝缘电阻至少应满足CNAS-CL01-A008的要求：电源进线对屏蔽室金属壁的绝缘电阻及导线与导线之间的绝缘电阻应大于2</w:t>
      </w:r>
      <w:r>
        <w:rPr>
          <w:rFonts w:ascii="Arial" w:eastAsia="宋体铫.籡.." w:hAnsi="Arial" w:cs="Arial"/>
          <w:kern w:val="0"/>
          <w:sz w:val="23"/>
          <w:szCs w:val="23"/>
        </w:rPr>
        <w:t xml:space="preserve"> </w:t>
      </w:r>
      <w:r>
        <w:rPr>
          <w:rFonts w:ascii="Arial" w:eastAsia="宋体铫.籡.." w:hAnsi="Arial" w:cs="Arial" w:hint="eastAsia"/>
          <w:kern w:val="0"/>
          <w:sz w:val="23"/>
          <w:szCs w:val="23"/>
        </w:rPr>
        <w:t>MΩ。</w:t>
      </w:r>
    </w:p>
    <w:p>
      <w:pPr>
        <w:pStyle w:val="ListParagraph"/>
        <w:numPr>
          <w:ilvl w:val="0"/>
          <w:numId w:val="65"/>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89" w:name="_Hlk78964516"/>
      <w:r>
        <w:rPr>
          <w:rFonts w:ascii="Arial" w:eastAsia="宋体铫.籡.." w:hAnsi="Arial" w:cs="Arial" w:hint="eastAsia"/>
          <w:kern w:val="0"/>
          <w:sz w:val="23"/>
          <w:szCs w:val="23"/>
        </w:rPr>
        <w:t>测量验证频次：首次验证后，每3~5年进行一次验证。</w:t>
      </w:r>
    </w:p>
    <w:p>
      <w:pPr>
        <w:pStyle w:val="ListParagraph"/>
        <w:numPr>
          <w:ilvl w:val="0"/>
          <w:numId w:val="65"/>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报告要求：应由CNAS或其互认框架下授权的检测机构出具的报告，报告相关内容符合CNAS-CL01-A008的要求。</w:t>
      </w:r>
      <w:bookmarkEnd w:id="89"/>
    </w:p>
    <w:p>
      <w:pPr>
        <w:pStyle w:val="Heading2"/>
        <w:numPr>
          <w:ilvl w:val="0"/>
          <w:numId w:val="60"/>
        </w:numPr>
        <w:spacing w:before="120" w:after="120" w:line="240" w:lineRule="auto"/>
        <w:rPr>
          <w:rFonts w:ascii="Times New Roman" w:hAnsi="Times New Roman" w:eastAsiaTheme="minorEastAsia" w:cs="Times New Roman"/>
          <w:kern w:val="0"/>
          <w:sz w:val="24"/>
          <w:szCs w:val="24"/>
        </w:rPr>
      </w:pPr>
      <w:bookmarkStart w:id="90" w:name="_Toc79135153"/>
      <w:r>
        <w:rPr>
          <w:rFonts w:ascii="Times New Roman" w:hAnsi="Times New Roman" w:eastAsiaTheme="minorEastAsia" w:cs="Times New Roman" w:hint="eastAsia"/>
          <w:kern w:val="0"/>
          <w:sz w:val="24"/>
          <w:szCs w:val="24"/>
        </w:rPr>
        <w:t>环境噪声电平</w:t>
      </w:r>
      <w:bookmarkEnd w:id="90"/>
    </w:p>
    <w:p>
      <w:pPr>
        <w:pStyle w:val="ListParagraph"/>
        <w:numPr>
          <w:ilvl w:val="0"/>
          <w:numId w:val="6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67"/>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 xml:space="preserve">GB/T </w:t>
      </w:r>
      <w:r>
        <w:rPr>
          <w:rFonts w:ascii="Times New Roman" w:eastAsia="宋体" w:hAnsi="Times New Roman" w:cs="Arial" w:hint="eastAsia"/>
          <w:kern w:val="0"/>
          <w:sz w:val="23"/>
          <w:szCs w:val="23"/>
        </w:rPr>
        <w:t xml:space="preserve">18655 </w:t>
      </w:r>
      <w:r>
        <w:rPr>
          <w:rFonts w:ascii="Arial" w:hAnsi="Arial" w:cs="Arial" w:hint="eastAsia"/>
          <w:color w:val="333333"/>
          <w:szCs w:val="21"/>
          <w:shd w:val="clear" w:color="auto" w:fill="FFFFFF"/>
        </w:rPr>
        <w:t>车辆、船和内燃机 无线电骚扰特性 用于保护车载接收机的限值和测量方法</w:t>
      </w:r>
    </w:p>
    <w:p>
      <w:pPr>
        <w:pStyle w:val="ListParagraph"/>
        <w:numPr>
          <w:ilvl w:val="0"/>
          <w:numId w:val="67"/>
        </w:numPr>
        <w:spacing w:before="40" w:after="40" w:line="360" w:lineRule="auto"/>
        <w:ind w:left="945" w:leftChars="250" w:firstLineChars="0"/>
        <w:jc w:val="left"/>
        <w:rPr>
          <w:rFonts w:ascii="Times New Roman" w:eastAsia="宋体" w:hAnsi="Times New Roman" w:cs="Arial"/>
          <w:kern w:val="0"/>
          <w:sz w:val="23"/>
          <w:szCs w:val="23"/>
        </w:rPr>
        <w:sectPr>
          <w:headerReference w:type="default" r:id="rId84"/>
          <w:footerReference w:type="default" r:id="rId85"/>
          <w:headerReference w:type="first" r:id="rId86"/>
          <w:footerReference w:type="first" r:id="rId87"/>
          <w:type w:val="nextPage"/>
          <w:pgSz w:w="11906" w:h="16838"/>
          <w:pgMar w:top="1418" w:right="1418" w:bottom="1418" w:left="1701" w:header="851" w:footer="992" w:gutter="0"/>
          <w:pgNumType w:start="20"/>
          <w:cols w:num="1" w:space="425"/>
          <w:titlePg w:val="0"/>
          <w:docGrid w:linePitch="312" w:charSpace="0"/>
        </w:sectPr>
      </w:pPr>
      <w:r>
        <w:rPr>
          <w:rFonts w:ascii="Times New Roman" w:eastAsia="宋体" w:hAnsi="Times New Roman" w:cs="Arial" w:hint="eastAsia"/>
          <w:kern w:val="0"/>
          <w:sz w:val="23"/>
          <w:szCs w:val="23"/>
        </w:rPr>
        <w:t xml:space="preserve">CISPR 25 </w:t>
      </w:r>
      <w:r>
        <w:rPr>
          <w:rFonts w:ascii="Times New Roman" w:eastAsia="宋体" w:hAnsi="Times New Roman" w:cs="Arial"/>
          <w:kern w:val="0"/>
          <w:sz w:val="23"/>
          <w:szCs w:val="23"/>
        </w:rPr>
        <w:t>Vehicles, boats and internal combustion engines – Radio disturbance</w:t>
      </w:r>
      <w:r>
        <w:rPr>
          <w:rFonts w:ascii="Times New Roman" w:eastAsia="宋体" w:hAnsi="Times New Roman" w:cs="Arial" w:hint="eastAsia"/>
          <w:kern w:val="0"/>
          <w:sz w:val="23"/>
          <w:szCs w:val="23"/>
        </w:rPr>
        <w:t xml:space="preserve"> </w:t>
      </w:r>
    </w:p>
    <w:p>
      <w:pPr>
        <w:pStyle w:val="ListParagraph"/>
        <w:numPr>
          <w:ilvl w:val="0"/>
          <w:numId w:val="0"/>
        </w:numPr>
        <w:spacing w:before="40" w:after="40" w:line="360" w:lineRule="auto"/>
        <w:ind w:left="42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characteristics – Limits and methods of measurement for the protection of</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on-board receivers</w:t>
      </w:r>
    </w:p>
    <w:p>
      <w:pPr>
        <w:pStyle w:val="ListParagraph"/>
        <w:numPr>
          <w:ilvl w:val="0"/>
          <w:numId w:val="208"/>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相关标准等</w:t>
      </w:r>
    </w:p>
    <w:p>
      <w:pPr>
        <w:pStyle w:val="ListParagraph"/>
        <w:numPr>
          <w:ilvl w:val="0"/>
          <w:numId w:val="6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35"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屏蔽室的环境噪声电平应比规定的限值至少低6</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66"/>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91" w:name="_Hlk79074557"/>
      <w:r>
        <w:rPr>
          <w:rFonts w:ascii="Arial" w:eastAsia="宋体铫.籡.." w:hAnsi="Arial" w:cs="Arial" w:hint="eastAsia"/>
          <w:kern w:val="0"/>
          <w:sz w:val="23"/>
          <w:szCs w:val="23"/>
        </w:rPr>
        <w:t>测量验证频次：首次验证，其后实验室可自行规范每次测试前的环境噪声电平确认。</w:t>
      </w:r>
    </w:p>
    <w:p>
      <w:pPr>
        <w:pStyle w:val="ListParagraph"/>
        <w:numPr>
          <w:ilvl w:val="0"/>
          <w:numId w:val="6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报告要求：首次验证报告应由CNAS或其互认框架下授权的检测机构出具。</w:t>
      </w:r>
    </w:p>
    <w:bookmarkEnd w:id="91"/>
    <w:p>
      <w:pPr>
        <w:pStyle w:val="Heading2"/>
        <w:numPr>
          <w:ilvl w:val="0"/>
          <w:numId w:val="59"/>
        </w:numPr>
        <w:spacing w:before="120" w:after="120" w:line="240" w:lineRule="auto"/>
        <w:rPr>
          <w:rFonts w:ascii="Times New Roman" w:hAnsi="Times New Roman" w:eastAsiaTheme="minorEastAsia" w:cs="Times New Roman"/>
          <w:kern w:val="0"/>
          <w:sz w:val="24"/>
          <w:szCs w:val="24"/>
        </w:rPr>
      </w:pPr>
      <w:bookmarkStart w:id="92" w:name="_Toc79135154"/>
      <w:r>
        <w:rPr>
          <w:rFonts w:ascii="Times New Roman" w:hAnsi="Times New Roman" w:eastAsiaTheme="minorEastAsia" w:cs="Times New Roman" w:hint="eastAsia"/>
          <w:kern w:val="0"/>
          <w:sz w:val="24"/>
          <w:szCs w:val="24"/>
        </w:rPr>
        <w:t>半电波暗室（整车）</w:t>
      </w:r>
      <w:bookmarkEnd w:id="92"/>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3" w:name="_Toc79135155"/>
      <w:r>
        <w:rPr>
          <w:rFonts w:ascii="Times New Roman" w:hAnsi="Times New Roman" w:eastAsiaTheme="minorEastAsia" w:cs="Times New Roman" w:hint="eastAsia"/>
          <w:kern w:val="0"/>
          <w:sz w:val="24"/>
          <w:szCs w:val="24"/>
        </w:rPr>
        <w:t>屏蔽效能</w:t>
      </w:r>
      <w:bookmarkEnd w:id="93"/>
    </w:p>
    <w:p>
      <w:pPr>
        <w:pStyle w:val="ListParagraph"/>
        <w:numPr>
          <w:ilvl w:val="0"/>
          <w:numId w:val="6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70"/>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GB/T 12190</w:t>
      </w:r>
      <w:r>
        <w:rPr>
          <w:rFonts w:ascii="Times New Roman" w:eastAsia="宋体" w:hAnsi="Times New Roman" w:cs="Arial" w:hint="eastAsia"/>
          <w:kern w:val="0"/>
          <w:sz w:val="23"/>
          <w:szCs w:val="23"/>
        </w:rPr>
        <w:t xml:space="preserve"> </w:t>
      </w:r>
      <w:r>
        <w:rPr>
          <w:rFonts w:ascii="Times New Roman" w:eastAsia="宋体" w:hAnsi="Times New Roman" w:cs="Arial"/>
          <w:kern w:val="0"/>
          <w:sz w:val="23"/>
          <w:szCs w:val="23"/>
        </w:rPr>
        <w:t>电磁屏蔽室屏蔽效能的测量方法</w:t>
      </w:r>
    </w:p>
    <w:p>
      <w:pPr>
        <w:pStyle w:val="ListParagraph"/>
        <w:numPr>
          <w:ilvl w:val="0"/>
          <w:numId w:val="70"/>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EN 50147-1 Anechoic chambers - Part1.Shield attenuation measurement</w:t>
      </w:r>
    </w:p>
    <w:p>
      <w:pPr>
        <w:pStyle w:val="ListParagraph"/>
        <w:autoSpaceDE w:val="0"/>
        <w:autoSpaceDN w:val="0"/>
        <w:adjustRightInd w:val="0"/>
        <w:spacing w:line="360" w:lineRule="auto"/>
        <w:ind w:left="567" w:firstLine="0" w:firstLineChars="0"/>
        <w:rPr>
          <w:rFonts w:ascii="Times New Roman" w:eastAsia="宋体" w:hAnsi="Times New Roman" w:cs="Arial"/>
          <w:kern w:val="0"/>
          <w:sz w:val="20"/>
          <w:szCs w:val="20"/>
        </w:rPr>
      </w:pPr>
      <w:r>
        <w:rPr>
          <w:rFonts w:ascii="Times New Roman" w:eastAsia="宋体" w:hAnsi="Times New Roman" w:cs="Arial" w:hint="eastAsia"/>
          <w:kern w:val="0"/>
          <w:sz w:val="20"/>
          <w:szCs w:val="20"/>
        </w:rPr>
        <w:t>备注：进行复测时，由于吸波材料已布置好，此时仅在天线能按照标准布置的部位进行屏蔽效能的测试。</w:t>
      </w:r>
    </w:p>
    <w:p>
      <w:pPr>
        <w:pStyle w:val="ListParagraph"/>
        <w:numPr>
          <w:ilvl w:val="0"/>
          <w:numId w:val="6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autoSpaceDE w:val="0"/>
        <w:autoSpaceDN w:val="0"/>
        <w:adjustRightInd w:val="0"/>
        <w:snapToGrid w:val="0"/>
        <w:spacing w:before="120" w:beforeLines="50" w:line="360" w:lineRule="auto"/>
        <w:ind w:firstLine="345" w:firstLineChars="150"/>
        <w:rPr>
          <w:rFonts w:ascii="Arial" w:eastAsia="宋体铫.籡.." w:hAnsi="Arial" w:cs="Arial"/>
          <w:kern w:val="0"/>
          <w:sz w:val="23"/>
          <w:szCs w:val="23"/>
        </w:rPr>
      </w:pPr>
      <w:r>
        <w:rPr>
          <w:rFonts w:ascii="Arial" w:eastAsia="宋体铫.籡.." w:hAnsi="Arial" w:cs="Arial" w:hint="eastAsia"/>
          <w:kern w:val="0"/>
          <w:sz w:val="23"/>
          <w:szCs w:val="23"/>
        </w:rPr>
        <w:t>半电波暗室的屏蔽效能应至少满足</w:t>
      </w:r>
      <w:r>
        <w:rPr>
          <w:rFonts w:ascii="Arial" w:eastAsia="宋体铫.籡.." w:hAnsi="Arial" w:cs="Arial"/>
          <w:kern w:val="0"/>
          <w:sz w:val="23"/>
          <w:szCs w:val="23"/>
        </w:rPr>
        <w:t>CNAS-CL01-A008</w:t>
      </w:r>
      <w:r>
        <w:rPr>
          <w:rFonts w:ascii="Arial" w:eastAsia="宋体铫.籡.." w:hAnsi="Arial" w:cs="Arial" w:hint="eastAsia"/>
          <w:kern w:val="0"/>
          <w:sz w:val="23"/>
          <w:szCs w:val="23"/>
        </w:rPr>
        <w:t>的要求：</w:t>
      </w:r>
    </w:p>
    <w:p>
      <w:pPr>
        <w:pStyle w:val="ListParagraph"/>
        <w:numPr>
          <w:ilvl w:val="0"/>
          <w:numId w:val="71"/>
        </w:numPr>
        <w:autoSpaceDE w:val="0"/>
        <w:autoSpaceDN w:val="0"/>
        <w:adjustRightInd w:val="0"/>
        <w:snapToGrid w:val="0"/>
        <w:spacing w:before="120" w:beforeLines="50" w:line="360" w:lineRule="auto"/>
        <w:ind w:left="987" w:firstLineChars="0"/>
        <w:rPr>
          <w:rFonts w:ascii="Arial" w:eastAsia="宋体铫.籡.." w:hAnsi="Arial" w:cs="Arial"/>
          <w:kern w:val="0"/>
          <w:sz w:val="23"/>
          <w:szCs w:val="23"/>
        </w:rPr>
      </w:pPr>
      <w:r>
        <w:rPr>
          <w:rFonts w:ascii="Arial" w:eastAsia="宋体铫.籡.." w:hAnsi="Arial" w:cs="Arial" w:hint="eastAsia"/>
          <w:kern w:val="0"/>
          <w:sz w:val="23"/>
          <w:szCs w:val="23"/>
        </w:rPr>
        <w:t>14</w:t>
      </w:r>
      <w:r>
        <w:rPr>
          <w:rFonts w:ascii="Arial" w:eastAsia="宋体铫.籡.." w:hAnsi="Arial" w:cs="Arial"/>
          <w:kern w:val="0"/>
          <w:sz w:val="23"/>
          <w:szCs w:val="23"/>
        </w:rPr>
        <w:t xml:space="preserve"> </w:t>
      </w:r>
      <w:r>
        <w:rPr>
          <w:rFonts w:ascii="Arial" w:eastAsia="宋体铫.籡.." w:hAnsi="Arial" w:cs="Arial" w:hint="eastAsia"/>
          <w:kern w:val="0"/>
          <w:sz w:val="23"/>
          <w:szCs w:val="23"/>
        </w:rPr>
        <w:t>kHz-1</w:t>
      </w:r>
      <w:r>
        <w:rPr>
          <w:rFonts w:ascii="Arial" w:eastAsia="宋体铫.籡.." w:hAnsi="Arial" w:cs="Arial"/>
          <w:kern w:val="0"/>
          <w:sz w:val="23"/>
          <w:szCs w:val="23"/>
        </w:rPr>
        <w:t xml:space="preserve"> </w:t>
      </w:r>
      <w:r>
        <w:rPr>
          <w:rFonts w:ascii="Arial" w:eastAsia="宋体铫.籡.." w:hAnsi="Arial" w:cs="Arial" w:hint="eastAsia"/>
          <w:kern w:val="0"/>
          <w:sz w:val="23"/>
          <w:szCs w:val="23"/>
        </w:rPr>
        <w:t xml:space="preserve">MHz  </w:t>
      </w:r>
      <w:r>
        <w:rPr>
          <w:rFonts w:ascii="Arial" w:eastAsia="宋体铫.籡.." w:hAnsi="Arial" w:cs="Arial"/>
          <w:kern w:val="0"/>
          <w:sz w:val="23"/>
          <w:szCs w:val="23"/>
        </w:rPr>
        <w:t xml:space="preserve">   </w:t>
      </w:r>
      <w:r>
        <w:rPr>
          <w:rFonts w:ascii="Arial" w:eastAsia="宋体铫.籡.." w:hAnsi="Arial" w:cs="Arial" w:hint="eastAsia"/>
          <w:kern w:val="0"/>
          <w:sz w:val="23"/>
          <w:szCs w:val="23"/>
        </w:rPr>
        <w:t xml:space="preserve"> ＞60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71"/>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MHz-1000</w:t>
      </w:r>
      <w:r>
        <w:rPr>
          <w:rFonts w:ascii="Arial" w:eastAsia="宋体铫.籡.." w:hAnsi="Arial" w:cs="Arial"/>
          <w:kern w:val="0"/>
          <w:sz w:val="23"/>
          <w:szCs w:val="23"/>
        </w:rPr>
        <w:t xml:space="preserve"> </w:t>
      </w:r>
      <w:r>
        <w:rPr>
          <w:rFonts w:ascii="Arial" w:eastAsia="宋体铫.籡.." w:hAnsi="Arial" w:cs="Arial" w:hint="eastAsia"/>
          <w:kern w:val="0"/>
          <w:sz w:val="23"/>
          <w:szCs w:val="23"/>
        </w:rPr>
        <w:t>MHz   ＞90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71"/>
        </w:numPr>
        <w:autoSpaceDE w:val="0"/>
        <w:autoSpaceDN w:val="0"/>
        <w:adjustRightInd w:val="0"/>
        <w:spacing w:line="360" w:lineRule="auto"/>
        <w:ind w:left="987" w:firstLineChars="0"/>
        <w:jc w:val="left"/>
        <w:rPr>
          <w:rFonts w:ascii="Arial" w:eastAsia="宋体铫.籡.." w:hAnsi="Arial" w:cs="Arial"/>
          <w:kern w:val="0"/>
          <w:sz w:val="23"/>
          <w:szCs w:val="23"/>
        </w:rPr>
      </w:pPr>
      <w:r>
        <w:rPr>
          <w:rFonts w:ascii="Arial" w:eastAsia="宋体铫.籡.." w:hAnsi="Arial" w:cs="Arial" w:hint="eastAsia"/>
          <w:kern w:val="0"/>
          <w:sz w:val="23"/>
          <w:szCs w:val="23"/>
        </w:rPr>
        <w:t>1</w:t>
      </w:r>
      <w:r>
        <w:rPr>
          <w:rFonts w:ascii="Arial" w:eastAsia="宋体铫.籡.." w:hAnsi="Arial" w:cs="Arial"/>
          <w:kern w:val="0"/>
          <w:sz w:val="23"/>
          <w:szCs w:val="23"/>
        </w:rPr>
        <w:t xml:space="preserve"> </w:t>
      </w:r>
      <w:r>
        <w:rPr>
          <w:rFonts w:ascii="Arial" w:eastAsia="宋体铫.籡.." w:hAnsi="Arial" w:cs="Arial" w:hint="eastAsia"/>
          <w:kern w:val="0"/>
          <w:sz w:val="23"/>
          <w:szCs w:val="23"/>
        </w:rPr>
        <w:t>GHz-18</w:t>
      </w:r>
      <w:r>
        <w:rPr>
          <w:rFonts w:ascii="Arial" w:eastAsia="宋体铫.籡.." w:hAnsi="Arial" w:cs="Arial"/>
          <w:kern w:val="0"/>
          <w:sz w:val="23"/>
          <w:szCs w:val="23"/>
        </w:rPr>
        <w:t xml:space="preserve"> </w:t>
      </w:r>
      <w:r>
        <w:rPr>
          <w:rFonts w:ascii="Arial" w:eastAsia="宋体铫.籡.." w:hAnsi="Arial" w:cs="Arial" w:hint="eastAsia"/>
          <w:kern w:val="0"/>
          <w:sz w:val="23"/>
          <w:szCs w:val="23"/>
        </w:rPr>
        <w:t>GHz      ＞80</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6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测量验证频次：首次验证后，每3~5年进行一次验证。</w:t>
      </w:r>
    </w:p>
    <w:p>
      <w:pPr>
        <w:pStyle w:val="ListParagraph"/>
        <w:numPr>
          <w:ilvl w:val="0"/>
          <w:numId w:val="69"/>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w:t>
      </w:r>
      <w:r>
        <w:rPr>
          <w:rFonts w:ascii="Arial" w:eastAsia="宋体铫.籡.." w:hAnsi="Arial" w:cs="Arial"/>
          <w:kern w:val="0"/>
          <w:sz w:val="23"/>
          <w:szCs w:val="23"/>
        </w:rPr>
        <w:t>NAS</w:t>
      </w:r>
      <w:r>
        <w:rPr>
          <w:rFonts w:ascii="Arial" w:eastAsia="宋体铫.籡.." w:hAnsi="Arial" w:cs="Arial" w:hint="eastAsia"/>
          <w:kern w:val="0"/>
          <w:sz w:val="23"/>
          <w:szCs w:val="23"/>
        </w:rPr>
        <w:t>或其互认框架下授权的检测机构出具的报告，报告应包含测试位置及布置图等信息，相关内容符合CNAS-CL01-A008的要求。</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4" w:name="_Toc79135156"/>
      <w:r>
        <w:rPr>
          <w:rFonts w:ascii="Times New Roman" w:hAnsi="Times New Roman" w:eastAsiaTheme="minorEastAsia" w:cs="Times New Roman" w:hint="eastAsia"/>
          <w:kern w:val="0"/>
          <w:sz w:val="24"/>
          <w:szCs w:val="24"/>
        </w:rPr>
        <w:t>接地电阻</w:t>
      </w:r>
      <w:bookmarkEnd w:id="94"/>
    </w:p>
    <w:p>
      <w:pPr>
        <w:ind w:firstLine="460" w:firstLineChars="200"/>
      </w:pPr>
      <w:r>
        <w:rPr>
          <w:rFonts w:ascii="Arial" w:eastAsia="宋体铫.籡.." w:hAnsi="Arial" w:cs="Arial" w:hint="eastAsia"/>
          <w:kern w:val="0"/>
          <w:sz w:val="23"/>
          <w:szCs w:val="23"/>
        </w:rPr>
        <w:t>同6.1.2要求</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5" w:name="_Toc79135157"/>
      <w:r>
        <w:rPr>
          <w:rFonts w:ascii="Times New Roman" w:hAnsi="Times New Roman" w:eastAsiaTheme="minorEastAsia" w:cs="Times New Roman" w:hint="eastAsia"/>
          <w:kern w:val="0"/>
          <w:sz w:val="24"/>
          <w:szCs w:val="24"/>
        </w:rPr>
        <w:t>绝缘电阻</w:t>
      </w:r>
      <w:bookmarkEnd w:id="95"/>
    </w:p>
    <w:p>
      <w:pPr>
        <w:ind w:firstLine="460" w:firstLineChars="200"/>
      </w:pPr>
      <w:r>
        <w:rPr>
          <w:rFonts w:ascii="Arial" w:eastAsia="宋体铫.籡.." w:hAnsi="Arial" w:cs="Arial" w:hint="eastAsia"/>
          <w:kern w:val="0"/>
          <w:sz w:val="23"/>
          <w:szCs w:val="23"/>
        </w:rPr>
        <w:t>同6.1.3要求</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6" w:name="_Toc79135158"/>
      <w:r>
        <w:rPr>
          <w:rFonts w:ascii="Times New Roman" w:hAnsi="Times New Roman" w:eastAsiaTheme="minorEastAsia" w:cs="Times New Roman" w:hint="eastAsia"/>
          <w:kern w:val="0"/>
          <w:sz w:val="24"/>
          <w:szCs w:val="24"/>
        </w:rPr>
        <w:t>归一化场地衰减</w:t>
      </w:r>
      <w:bookmarkEnd w:id="96"/>
    </w:p>
    <w:p>
      <w:pPr>
        <w:pStyle w:val="ListParagraph"/>
        <w:numPr>
          <w:ilvl w:val="0"/>
          <w:numId w:val="7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73"/>
        </w:numPr>
        <w:spacing w:before="40" w:after="40" w:line="360" w:lineRule="auto"/>
        <w:ind w:left="945" w:leftChars="250" w:firstLineChars="0"/>
        <w:jc w:val="left"/>
        <w:rPr>
          <w:rFonts w:ascii="Times New Roman" w:eastAsia="宋体" w:hAnsi="Times New Roman" w:cs="Arial"/>
          <w:kern w:val="0"/>
          <w:sz w:val="23"/>
          <w:szCs w:val="23"/>
        </w:rPr>
        <w:sectPr>
          <w:headerReference w:type="default" r:id="rId88"/>
          <w:footerReference w:type="default" r:id="rId89"/>
          <w:headerReference w:type="first" r:id="rId90"/>
          <w:footerReference w:type="first" r:id="rId91"/>
          <w:type w:val="nextPage"/>
          <w:pgSz w:w="11906" w:h="16838"/>
          <w:pgMar w:top="1418" w:right="1418" w:bottom="1418" w:left="1701" w:header="851" w:footer="992" w:gutter="0"/>
          <w:pgNumType w:start="21"/>
          <w:cols w:num="1" w:space="425"/>
          <w:titlePg w:val="0"/>
          <w:docGrid w:linePitch="312" w:charSpace="0"/>
        </w:sectPr>
      </w:pPr>
      <w:r>
        <w:rPr>
          <w:rFonts w:ascii="Times New Roman" w:eastAsia="宋体" w:hAnsi="Times New Roman" w:cs="Arial"/>
          <w:kern w:val="0"/>
          <w:sz w:val="23"/>
          <w:szCs w:val="23"/>
        </w:rPr>
        <w:t>CISPR 16-1-4</w:t>
      </w:r>
      <w:r>
        <w:rPr>
          <w:rFonts w:ascii="Times New Roman" w:eastAsia="宋体" w:hAnsi="Times New Roman" w:cs="Arial" w:hint="eastAsia"/>
          <w:kern w:val="0"/>
          <w:sz w:val="23"/>
          <w:szCs w:val="23"/>
        </w:rPr>
        <w:t xml:space="preserve"> </w:t>
      </w:r>
      <w:r>
        <w:rPr>
          <w:rFonts w:ascii="Times New Roman" w:eastAsia="宋体" w:hAnsi="Times New Roman"/>
        </w:rPr>
        <w:t>Specification</w:t>
      </w:r>
      <w:r>
        <w:rPr>
          <w:rFonts w:ascii="Times New Roman" w:eastAsia="宋体" w:hAnsi="Times New Roman"/>
        </w:rPr>
        <w:t xml:space="preserve"> for</w:t>
      </w:r>
      <w:r>
        <w:rPr>
          <w:rFonts w:ascii="Times New Roman" w:eastAsia="宋体" w:hAnsi="Times New Roman"/>
        </w:rPr>
        <w:t xml:space="preserve"> radio</w:t>
      </w:r>
      <w:r>
        <w:rPr>
          <w:rFonts w:ascii="Times New Roman" w:eastAsia="宋体" w:hAnsi="Times New Roman"/>
        </w:rPr>
        <w:t xml:space="preserve"> disturbance</w:t>
      </w:r>
      <w:r>
        <w:rPr>
          <w:rFonts w:ascii="Times New Roman" w:eastAsia="宋体" w:hAnsi="Times New Roman"/>
        </w:rPr>
        <w:t xml:space="preserve"> and</w:t>
      </w:r>
      <w:r>
        <w:rPr>
          <w:rFonts w:ascii="Times New Roman" w:eastAsia="宋体" w:hAnsi="Times New Roman"/>
        </w:rPr>
        <w:t xml:space="preserve"> immunity</w:t>
      </w:r>
      <w:r>
        <w:rPr>
          <w:rFonts w:ascii="Times New Roman" w:eastAsia="宋体" w:hAnsi="Times New Roman"/>
        </w:rPr>
        <w:t xml:space="preserve"> measuring</w:t>
      </w:r>
      <w:r>
        <w:rPr>
          <w:rFonts w:ascii="Times New Roman" w:eastAsia="宋体" w:hAnsi="Times New Roman"/>
        </w:rPr>
        <w:t xml:space="preserve"> apparatus</w:t>
      </w:r>
      <w:r>
        <w:rPr>
          <w:rFonts w:ascii="Times New Roman" w:eastAsia="宋体" w:hAnsi="Times New Roman"/>
        </w:rPr>
        <w:t xml:space="preserve"> and</w:t>
      </w:r>
      <w:r>
        <w:rPr>
          <w:rFonts w:ascii="Times New Roman" w:eastAsia="宋体" w:hAnsi="Times New Roman"/>
        </w:rPr>
        <w:t xml:space="preserve"> methods</w:t>
      </w:r>
      <w:r>
        <w:rPr>
          <w:rFonts w:ascii="Times New Roman" w:eastAsia="宋体" w:hAnsi="Times New Roman"/>
        </w:rPr>
        <w:t xml:space="preserve"> -</w:t>
      </w:r>
      <w:r>
        <w:rPr>
          <w:rFonts w:ascii="Times New Roman" w:eastAsia="宋体" w:hAnsi="Times New Roman"/>
        </w:rPr>
        <w:t xml:space="preserve"> Part</w:t>
      </w:r>
      <w:r>
        <w:rPr>
          <w:rFonts w:ascii="Times New Roman" w:eastAsia="宋体" w:hAnsi="Times New Roman"/>
        </w:rPr>
        <w:t xml:space="preserve"> 1-4:</w:t>
      </w:r>
      <w:r>
        <w:rPr>
          <w:rFonts w:ascii="Times New Roman" w:eastAsia="宋体" w:hAnsi="Times New Roman"/>
        </w:rPr>
        <w:t xml:space="preserve"> Radio</w:t>
      </w:r>
      <w:r>
        <w:rPr>
          <w:rFonts w:ascii="Times New Roman" w:eastAsia="宋体" w:hAnsi="Times New Roman"/>
        </w:rPr>
        <w:t xml:space="preserve"> disturbance</w:t>
      </w:r>
      <w:r>
        <w:rPr>
          <w:rFonts w:ascii="Times New Roman" w:eastAsia="宋体" w:hAnsi="Times New Roman"/>
        </w:rPr>
        <w:t xml:space="preserve"> and</w:t>
      </w:r>
      <w:r>
        <w:rPr>
          <w:rFonts w:ascii="Times New Roman" w:eastAsia="宋体" w:hAnsi="Times New Roman"/>
        </w:rPr>
        <w:t xml:space="preserve"> immunity</w:t>
      </w:r>
      <w:r>
        <w:rPr>
          <w:rFonts w:ascii="Times New Roman" w:eastAsia="宋体" w:hAnsi="Times New Roman"/>
        </w:rPr>
        <w:t xml:space="preserve"> measuring</w:t>
      </w:r>
      <w:r>
        <w:rPr>
          <w:rFonts w:ascii="Times New Roman" w:eastAsia="宋体" w:hAnsi="Times New Roman"/>
        </w:rPr>
        <w:t xml:space="preserve"> apparatus</w:t>
      </w:r>
      <w:r>
        <w:rPr>
          <w:rFonts w:ascii="Times New Roman" w:eastAsia="宋体" w:hAnsi="Times New Roman"/>
        </w:rPr>
        <w:t xml:space="preserve"> -</w:t>
      </w:r>
      <w:r>
        <w:rPr>
          <w:rFonts w:ascii="Times New Roman" w:eastAsia="宋体" w:hAnsi="Times New Roman"/>
        </w:rPr>
        <w:t xml:space="preserve"> Antennas</w:t>
      </w:r>
      <w:r>
        <w:rPr>
          <w:rFonts w:ascii="Times New Roman" w:eastAsia="宋体" w:hAnsi="Times New Roman"/>
        </w:rPr>
        <w:t xml:space="preserve"> and</w:t>
      </w:r>
    </w:p>
    <w:p>
      <w:pPr>
        <w:pStyle w:val="ListParagraph"/>
        <w:numPr>
          <w:ilvl w:val="0"/>
          <w:numId w:val="0"/>
        </w:numPr>
        <w:spacing w:before="40" w:after="40" w:line="360" w:lineRule="auto"/>
        <w:ind w:left="420" w:firstLineChars="0"/>
        <w:jc w:val="left"/>
        <w:rPr>
          <w:rFonts w:ascii="Times New Roman" w:eastAsia="宋体" w:hAnsi="Times New Roman" w:cs="Arial"/>
          <w:kern w:val="0"/>
          <w:sz w:val="23"/>
          <w:szCs w:val="23"/>
        </w:rPr>
      </w:pPr>
      <w:r>
        <w:rPr>
          <w:rFonts w:ascii="Times New Roman" w:eastAsia="宋体" w:hAnsi="Times New Roman"/>
        </w:rPr>
        <w:t xml:space="preserve"> test</w:t>
      </w:r>
      <w:r>
        <w:rPr>
          <w:rFonts w:ascii="Times New Roman" w:eastAsia="宋体" w:hAnsi="Times New Roman"/>
        </w:rPr>
        <w:t xml:space="preserve"> sites</w:t>
      </w:r>
      <w:r>
        <w:rPr>
          <w:rFonts w:ascii="Times New Roman" w:eastAsia="宋体" w:hAnsi="Times New Roman"/>
        </w:rPr>
        <w:t xml:space="preserve"> for</w:t>
      </w:r>
      <w:r>
        <w:rPr>
          <w:rFonts w:ascii="Times New Roman" w:eastAsia="宋体" w:hAnsi="Times New Roman"/>
        </w:rPr>
        <w:t xml:space="preserve"> radiated</w:t>
      </w:r>
      <w:r>
        <w:rPr>
          <w:rFonts w:ascii="Times New Roman" w:eastAsia="宋体" w:hAnsi="Times New Roman"/>
        </w:rPr>
        <w:t xml:space="preserve"> disturbance</w:t>
      </w:r>
      <w:r>
        <w:rPr>
          <w:rFonts w:ascii="Times New Roman" w:eastAsia="宋体" w:hAnsi="Times New Roman" w:hint="eastAsia"/>
        </w:rPr>
        <w:t xml:space="preserve"> </w:t>
      </w:r>
      <w:r>
        <w:rPr>
          <w:rFonts w:ascii="Times New Roman" w:eastAsia="宋体" w:hAnsi="Times New Roman"/>
        </w:rPr>
        <w:t>measurements</w:t>
      </w:r>
    </w:p>
    <w:p>
      <w:pPr>
        <w:pStyle w:val="ListParagraph"/>
        <w:numPr>
          <w:ilvl w:val="0"/>
          <w:numId w:val="20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hint="eastAsia"/>
        </w:rPr>
        <w:t xml:space="preserve">GB/T 6113.104 </w:t>
      </w:r>
      <w:r>
        <w:rPr>
          <w:rFonts w:ascii="Times New Roman" w:eastAsia="宋体" w:hAnsi="Times New Roman"/>
        </w:rPr>
        <w:t>无线电骚扰和抗扰度测量设备和测量方法规范 第1-4部分: 无线电骚扰和抗扰度测量设备 辐射骚扰测量用天线和试验场地</w:t>
      </w:r>
    </w:p>
    <w:p>
      <w:pPr>
        <w:pStyle w:val="ListParagraph"/>
        <w:numPr>
          <w:ilvl w:val="0"/>
          <w:numId w:val="20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hint="eastAsia"/>
        </w:rPr>
        <w:t xml:space="preserve">EN 55016-1-4 </w:t>
      </w:r>
      <w:r>
        <w:rPr>
          <w:rFonts w:ascii="Times New Roman" w:eastAsia="宋体" w:hAnsi="Times New Roman"/>
        </w:rPr>
        <w:t>Specification for radio disturbance and immunity measuring apparatus and methods - Part 1-4: Radio disturbance and immunity measuring apparatus - Antennas and test sites for</w:t>
      </w:r>
      <w:r>
        <w:rPr>
          <w:rFonts w:ascii="Times New Roman" w:eastAsia="宋体" w:hAnsi="Times New Roman" w:hint="eastAsia"/>
        </w:rPr>
        <w:t xml:space="preserve"> </w:t>
      </w:r>
      <w:r>
        <w:rPr>
          <w:rFonts w:ascii="Times New Roman" w:eastAsia="宋体" w:hAnsi="Times New Roman"/>
        </w:rPr>
        <w:t>radiated disturbance</w:t>
      </w:r>
      <w:r>
        <w:rPr>
          <w:rFonts w:ascii="Times New Roman" w:eastAsia="宋体" w:hAnsi="Times New Roman" w:hint="eastAsia"/>
        </w:rPr>
        <w:t xml:space="preserve"> </w:t>
      </w:r>
      <w:r>
        <w:rPr>
          <w:rFonts w:ascii="Times New Roman" w:eastAsia="宋体" w:hAnsi="Times New Roman"/>
        </w:rPr>
        <w:t>measurements</w:t>
      </w:r>
    </w:p>
    <w:p>
      <w:pPr>
        <w:pStyle w:val="ListParagraph"/>
        <w:numPr>
          <w:ilvl w:val="0"/>
          <w:numId w:val="20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hint="eastAsia"/>
        </w:rPr>
        <w:t xml:space="preserve">ANSI C63.4 </w:t>
      </w:r>
      <w:r>
        <w:rPr>
          <w:rFonts w:ascii="Times New Roman" w:eastAsia="宋体" w:hAnsi="Times New Roman"/>
        </w:rPr>
        <w:t>American National Standard for</w:t>
      </w:r>
      <w:r>
        <w:rPr>
          <w:rFonts w:ascii="Times New Roman" w:eastAsia="宋体" w:hAnsi="Times New Roman" w:hint="eastAsia"/>
        </w:rPr>
        <w:t xml:space="preserve"> </w:t>
      </w:r>
      <w:r>
        <w:rPr>
          <w:rFonts w:ascii="Times New Roman" w:eastAsia="宋体" w:hAnsi="Times New Roman"/>
        </w:rPr>
        <w:t>Methods of Measurement of RadioNoise Emissions from Low-Voltage</w:t>
      </w:r>
      <w:r>
        <w:rPr>
          <w:rFonts w:ascii="Times New Roman" w:eastAsia="宋体" w:hAnsi="Times New Roman" w:hint="eastAsia"/>
        </w:rPr>
        <w:t xml:space="preserve"> </w:t>
      </w:r>
      <w:r>
        <w:rPr>
          <w:rFonts w:ascii="Times New Roman" w:eastAsia="宋体" w:hAnsi="Times New Roman"/>
        </w:rPr>
        <w:t>Electrical and Electronic Equipment</w:t>
      </w:r>
      <w:r>
        <w:rPr>
          <w:rFonts w:ascii="Times New Roman" w:eastAsia="宋体" w:hAnsi="Times New Roman" w:hint="eastAsia"/>
        </w:rPr>
        <w:t xml:space="preserve"> </w:t>
      </w:r>
      <w:r>
        <w:rPr>
          <w:rFonts w:ascii="Times New Roman" w:eastAsia="宋体" w:hAnsi="Times New Roman"/>
        </w:rPr>
        <w:t>in the Range of 9 kHz to 40 GHz</w:t>
      </w:r>
    </w:p>
    <w:p>
      <w:pPr>
        <w:pStyle w:val="ListParagraph"/>
        <w:numPr>
          <w:ilvl w:val="0"/>
          <w:numId w:val="209"/>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hint="eastAsia"/>
        </w:rPr>
        <w:t xml:space="preserve">ANSI C63.4a </w:t>
      </w:r>
      <w:r>
        <w:rPr>
          <w:rFonts w:ascii="Times New Roman" w:eastAsia="宋体" w:hAnsi="Times New Roman"/>
        </w:rPr>
        <w:t>American National Standard for</w:t>
      </w:r>
      <w:r>
        <w:rPr>
          <w:rFonts w:ascii="Times New Roman" w:eastAsia="宋体" w:hAnsi="Times New Roman" w:hint="eastAsia"/>
        </w:rPr>
        <w:t xml:space="preserve"> </w:t>
      </w:r>
      <w:r>
        <w:rPr>
          <w:rFonts w:ascii="Times New Roman" w:eastAsia="宋体" w:hAnsi="Times New Roman"/>
        </w:rPr>
        <w:t>Methods of Measurement of RadioNoise Emissions from Low-Voltage</w:t>
      </w:r>
      <w:r>
        <w:rPr>
          <w:rFonts w:ascii="Times New Roman" w:eastAsia="宋体" w:hAnsi="Times New Roman" w:hint="eastAsia"/>
        </w:rPr>
        <w:t xml:space="preserve"> </w:t>
      </w:r>
      <w:r>
        <w:rPr>
          <w:rFonts w:ascii="Times New Roman" w:eastAsia="宋体" w:hAnsi="Times New Roman"/>
        </w:rPr>
        <w:t>Electrical and Electronic Equipment</w:t>
      </w:r>
      <w:r>
        <w:rPr>
          <w:rFonts w:ascii="Times New Roman" w:eastAsia="宋体" w:hAnsi="Times New Roman" w:hint="eastAsia"/>
        </w:rPr>
        <w:t xml:space="preserve"> </w:t>
      </w:r>
      <w:r>
        <w:rPr>
          <w:rFonts w:ascii="Times New Roman" w:eastAsia="宋体" w:hAnsi="Times New Roman"/>
        </w:rPr>
        <w:t>in the Range of 9 kHz to 40 GHz</w:t>
      </w:r>
      <w:r>
        <w:rPr>
          <w:rFonts w:ascii="Times New Roman" w:eastAsia="宋体" w:hAnsi="Times New Roman" w:hint="eastAsia"/>
        </w:rPr>
        <w:t xml:space="preserve"> </w:t>
      </w:r>
      <w:r>
        <w:rPr>
          <w:rFonts w:ascii="Times New Roman" w:eastAsia="宋体" w:hAnsi="Times New Roman"/>
        </w:rPr>
        <w:t>Amendment 1: Test Site Validation</w:t>
      </w:r>
    </w:p>
    <w:p>
      <w:pPr>
        <w:pStyle w:val="ListParagraph"/>
        <w:numPr>
          <w:ilvl w:val="0"/>
          <w:numId w:val="7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35"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半电波暗室的归一化场地衰减（NSA）满足CNAS-CL01-A008的要求：±4</w:t>
      </w:r>
      <w:r>
        <w:rPr>
          <w:rFonts w:ascii="Arial" w:eastAsia="宋体铫.籡.." w:hAnsi="Arial" w:cs="Arial"/>
          <w:kern w:val="0"/>
          <w:sz w:val="23"/>
          <w:szCs w:val="23"/>
        </w:rPr>
        <w:t xml:space="preserve"> </w:t>
      </w:r>
      <w:r>
        <w:rPr>
          <w:rFonts w:ascii="Arial" w:eastAsia="宋体铫.籡.." w:hAnsi="Arial" w:cs="Arial" w:hint="eastAsia"/>
          <w:kern w:val="0"/>
          <w:sz w:val="23"/>
          <w:szCs w:val="23"/>
        </w:rPr>
        <w:t>dB 场地可接受原则。</w:t>
      </w:r>
    </w:p>
    <w:p>
      <w:pPr>
        <w:pStyle w:val="ListParagraph"/>
        <w:numPr>
          <w:ilvl w:val="0"/>
          <w:numId w:val="7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w:t>
      </w:r>
      <w:bookmarkStart w:id="97" w:name="_Hlk78967939"/>
      <w:r>
        <w:rPr>
          <w:rFonts w:ascii="Arial" w:eastAsia="宋体铫.籡.." w:hAnsi="Arial" w:cs="Arial" w:hint="eastAsia"/>
          <w:kern w:val="0"/>
          <w:sz w:val="23"/>
          <w:szCs w:val="23"/>
        </w:rPr>
        <w:t>首次验证后，每3~5年进行一次验证</w:t>
      </w:r>
      <w:bookmarkEnd w:id="97"/>
      <w:r>
        <w:rPr>
          <w:rFonts w:ascii="Arial" w:eastAsia="宋体铫.籡.." w:hAnsi="Arial" w:cs="Arial" w:hint="eastAsia"/>
          <w:kern w:val="0"/>
          <w:sz w:val="23"/>
          <w:szCs w:val="23"/>
        </w:rPr>
        <w:t>。</w:t>
      </w:r>
    </w:p>
    <w:p>
      <w:pPr>
        <w:pStyle w:val="ListParagraph"/>
        <w:numPr>
          <w:ilvl w:val="0"/>
          <w:numId w:val="72"/>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应包含足够的场地布置信息、测试布置照片，测试轴线的位置，应有根据天线类型分频段给出不同极化方式下的归一化场地衰减偏差的测试曲线和限值线，相关内容符合CNAS-CL01-A008的要求。</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8" w:name="_Toc79135159"/>
      <w:r>
        <w:rPr>
          <w:rFonts w:ascii="Times New Roman" w:hAnsi="Times New Roman" w:eastAsiaTheme="minorEastAsia" w:cs="Times New Roman" w:hint="eastAsia"/>
          <w:kern w:val="0"/>
          <w:sz w:val="24"/>
          <w:szCs w:val="24"/>
        </w:rPr>
        <w:t>场地电压驻波比</w:t>
      </w:r>
      <w:bookmarkEnd w:id="98"/>
    </w:p>
    <w:p>
      <w:pPr>
        <w:pStyle w:val="ListParagraph"/>
        <w:numPr>
          <w:ilvl w:val="0"/>
          <w:numId w:val="7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75"/>
        </w:numPr>
        <w:spacing w:before="40" w:after="40" w:line="360" w:lineRule="auto"/>
        <w:ind w:left="945" w:leftChars="250" w:firstLineChars="0"/>
        <w:jc w:val="left"/>
        <w:rPr>
          <w:rFonts w:ascii="Times New Roman" w:eastAsia="宋体" w:hAnsi="Times New Roman" w:cs="Arial"/>
          <w:kern w:val="0"/>
          <w:sz w:val="22"/>
        </w:rPr>
      </w:pPr>
      <w:r>
        <w:rPr>
          <w:rFonts w:ascii="Arial" w:eastAsia="宋体铫.籡.." w:hAnsi="Arial" w:cs="Arial"/>
          <w:kern w:val="0"/>
          <w:sz w:val="22"/>
        </w:rPr>
        <w:t>CISPR 16-1-4</w:t>
      </w:r>
      <w:r>
        <w:rPr>
          <w:rFonts w:ascii="Arial" w:eastAsia="宋体铫.籡.." w:hAnsi="Arial" w:cs="Arial" w:hint="eastAsia"/>
          <w:kern w:val="0"/>
          <w:sz w:val="22"/>
        </w:rPr>
        <w:t xml:space="preserve"> </w:t>
      </w:r>
      <w:r>
        <w:rPr>
          <w:rFonts w:ascii="Times New Roman" w:eastAsia="宋体" w:hAnsi="Times New Roman"/>
          <w:sz w:val="22"/>
        </w:rPr>
        <w:t>Specification for radio disturbance and immunity measuring apparatus and methods - Part 1-4: Radio disturbance and immunity measuring apparatus - Antennas and test sites for radiated disturbance</w:t>
      </w:r>
      <w:r>
        <w:rPr>
          <w:rFonts w:ascii="Times New Roman" w:eastAsia="宋体" w:hAnsi="Times New Roman" w:hint="eastAsia"/>
          <w:sz w:val="22"/>
        </w:rPr>
        <w:t xml:space="preserve"> m</w:t>
      </w:r>
      <w:r>
        <w:rPr>
          <w:rFonts w:ascii="Times New Roman" w:eastAsia="宋体" w:hAnsi="Times New Roman"/>
          <w:sz w:val="22"/>
        </w:rPr>
        <w:t>easurements</w:t>
      </w:r>
    </w:p>
    <w:p>
      <w:pPr>
        <w:pStyle w:val="ListParagraph"/>
        <w:numPr>
          <w:ilvl w:val="0"/>
          <w:numId w:val="75"/>
        </w:numPr>
        <w:autoSpaceDE w:val="0"/>
        <w:autoSpaceDN w:val="0"/>
        <w:adjustRightInd w:val="0"/>
        <w:spacing w:line="360" w:lineRule="auto"/>
        <w:ind w:left="945" w:leftChars="250" w:firstLineChars="0"/>
        <w:jc w:val="left"/>
        <w:rPr>
          <w:rFonts w:ascii="Times New Roman" w:eastAsia="宋体" w:hAnsi="Times New Roman" w:cs="Arial"/>
          <w:kern w:val="0"/>
          <w:sz w:val="22"/>
        </w:rPr>
      </w:pPr>
      <w:r>
        <w:rPr>
          <w:rFonts w:ascii="Times New Roman" w:eastAsia="宋体" w:hAnsi="Times New Roman" w:hint="eastAsia"/>
          <w:sz w:val="22"/>
        </w:rPr>
        <w:t xml:space="preserve">GB/T 6113.104 </w:t>
      </w:r>
      <w:r>
        <w:rPr>
          <w:rFonts w:ascii="Times New Roman" w:eastAsia="宋体" w:hAnsi="Times New Roman"/>
          <w:sz w:val="22"/>
        </w:rPr>
        <w:t>无线电骚扰和抗扰度测量设备和测量方法规范 第1-4部分: 无线电骚扰和抗扰度测量设备 辐射骚扰测量用天线和试验场地</w:t>
      </w:r>
    </w:p>
    <w:p>
      <w:pPr>
        <w:pStyle w:val="ListParagraph"/>
        <w:numPr>
          <w:ilvl w:val="0"/>
          <w:numId w:val="75"/>
        </w:numPr>
        <w:autoSpaceDE w:val="0"/>
        <w:autoSpaceDN w:val="0"/>
        <w:adjustRightInd w:val="0"/>
        <w:spacing w:line="360" w:lineRule="auto"/>
        <w:ind w:left="945" w:leftChars="250" w:firstLineChars="0"/>
        <w:jc w:val="left"/>
        <w:rPr>
          <w:rFonts w:ascii="Times New Roman" w:eastAsia="宋体" w:hAnsi="Times New Roman" w:cs="Arial"/>
          <w:kern w:val="0"/>
          <w:sz w:val="22"/>
        </w:rPr>
      </w:pPr>
      <w:r>
        <w:rPr>
          <w:rFonts w:ascii="Times New Roman" w:eastAsia="宋体" w:hAnsi="Times New Roman" w:hint="eastAsia"/>
          <w:sz w:val="22"/>
        </w:rPr>
        <w:t xml:space="preserve">EN 55016-1-4 </w:t>
      </w:r>
      <w:r>
        <w:rPr>
          <w:rFonts w:ascii="Times New Roman" w:eastAsia="宋体" w:hAnsi="Times New Roman"/>
          <w:sz w:val="22"/>
        </w:rPr>
        <w:t>Specification for radio disturbance and immunity measuring apparatus and methods - Part 1-4: Radio disturbance and immunity measuring apparatus - Antennas and test sites for</w:t>
      </w:r>
      <w:r>
        <w:rPr>
          <w:rFonts w:ascii="Times New Roman" w:eastAsia="宋体" w:hAnsi="Times New Roman" w:hint="eastAsia"/>
          <w:sz w:val="22"/>
        </w:rPr>
        <w:t xml:space="preserve"> </w:t>
      </w:r>
      <w:r>
        <w:rPr>
          <w:rFonts w:ascii="Times New Roman" w:eastAsia="宋体" w:hAnsi="Times New Roman"/>
          <w:sz w:val="22"/>
        </w:rPr>
        <w:t>radiated disturbance</w:t>
      </w:r>
      <w:r>
        <w:rPr>
          <w:rFonts w:ascii="Times New Roman" w:eastAsia="宋体" w:hAnsi="Times New Roman" w:hint="eastAsia"/>
          <w:sz w:val="22"/>
        </w:rPr>
        <w:t xml:space="preserve"> </w:t>
      </w:r>
      <w:r>
        <w:rPr>
          <w:rFonts w:ascii="Times New Roman" w:eastAsia="宋体" w:hAnsi="Times New Roman"/>
          <w:sz w:val="22"/>
        </w:rPr>
        <w:t>measurements</w:t>
      </w:r>
    </w:p>
    <w:p>
      <w:pPr>
        <w:pStyle w:val="ListParagraph"/>
        <w:numPr>
          <w:ilvl w:val="0"/>
          <w:numId w:val="7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35"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半电波暗室的场地电压驻波比（SVSWR）满足CNAS-CL01-A008的要求：</w:t>
      </w:r>
      <w:r>
        <w:rPr>
          <w:rFonts w:ascii="Arial" w:eastAsia="宋体铫.籡.." w:hAnsi="Arial" w:cs="Arial"/>
          <w:kern w:val="0"/>
          <w:sz w:val="23"/>
          <w:szCs w:val="23"/>
        </w:rPr>
        <w:t xml:space="preserve">≤ </w:t>
      </w:r>
      <w:r>
        <w:rPr>
          <w:rFonts w:ascii="Arial" w:eastAsia="宋体铫.籡.." w:hAnsi="Arial" w:cs="Arial" w:hint="eastAsia"/>
          <w:kern w:val="0"/>
          <w:sz w:val="23"/>
          <w:szCs w:val="23"/>
        </w:rPr>
        <w:t>6</w:t>
      </w:r>
      <w:r>
        <w:rPr>
          <w:rFonts w:ascii="Arial" w:eastAsia="宋体铫.籡.." w:hAnsi="Arial" w:cs="Arial"/>
          <w:kern w:val="0"/>
          <w:sz w:val="23"/>
          <w:szCs w:val="23"/>
        </w:rPr>
        <w:t>.0 dB</w:t>
      </w:r>
      <w:r>
        <w:rPr>
          <w:rFonts w:ascii="Arial" w:eastAsia="宋体铫.籡.." w:hAnsi="Arial" w:cs="Arial" w:hint="eastAsia"/>
          <w:kern w:val="0"/>
          <w:sz w:val="23"/>
          <w:szCs w:val="23"/>
        </w:rPr>
        <w:t>。</w:t>
      </w:r>
    </w:p>
    <w:p>
      <w:pPr>
        <w:pStyle w:val="ListParagraph"/>
        <w:numPr>
          <w:ilvl w:val="0"/>
          <w:numId w:val="74"/>
        </w:numPr>
        <w:autoSpaceDE w:val="0"/>
        <w:autoSpaceDN w:val="0"/>
        <w:adjustRightInd w:val="0"/>
        <w:spacing w:line="360" w:lineRule="auto"/>
        <w:ind w:left="735" w:leftChars="150" w:firstLineChars="0"/>
        <w:jc w:val="left"/>
        <w:rPr>
          <w:rFonts w:ascii="Arial" w:eastAsia="宋体铫.籡.." w:hAnsi="Arial" w:cs="Arial"/>
          <w:kern w:val="0"/>
          <w:sz w:val="23"/>
          <w:szCs w:val="23"/>
        </w:rPr>
        <w:sectPr>
          <w:headerReference w:type="default" r:id="rId92"/>
          <w:footerReference w:type="default" r:id="rId93"/>
          <w:headerReference w:type="first" r:id="rId94"/>
          <w:footerReference w:type="first" r:id="rId95"/>
          <w:type w:val="nextPage"/>
          <w:pgSz w:w="11906" w:h="16838"/>
          <w:pgMar w:top="1418" w:right="1418" w:bottom="1418" w:left="1701" w:header="851" w:footer="992" w:gutter="0"/>
          <w:pgNumType w:start="22"/>
          <w:cols w:num="1" w:space="425"/>
          <w:titlePg w:val="0"/>
          <w:docGrid w:linePitch="312" w:charSpace="0"/>
        </w:sectPr>
      </w:pPr>
      <w:r>
        <w:rPr>
          <w:rFonts w:ascii="Arial" w:eastAsia="宋体铫.籡.." w:hAnsi="Arial" w:cs="Arial" w:hint="eastAsia"/>
          <w:kern w:val="0"/>
          <w:sz w:val="23"/>
          <w:szCs w:val="23"/>
        </w:rPr>
        <w:t>测量验证频次：首次验证后，每3~5年进行一次验证。</w:t>
      </w:r>
    </w:p>
    <w:p>
      <w:pPr>
        <w:pStyle w:val="ListParagraph"/>
        <w:numPr>
          <w:ilvl w:val="0"/>
          <w:numId w:val="74"/>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应由CNAS或其互认框架下授权的检测机构出具的报告，报告应包含足够的场地布置信息、测试布置照片，测试轴线的位置，应有根据天线类型分频段给出不同极化方式下的场地电压驻波比偏差的测试曲线和限值线，相关内容符合CNAS-CL01-A008的要求。</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99" w:name="_Toc79135160"/>
      <w:r>
        <w:rPr>
          <w:rFonts w:ascii="Times New Roman" w:hAnsi="Times New Roman" w:eastAsiaTheme="minorEastAsia" w:cs="Times New Roman" w:hint="eastAsia"/>
          <w:kern w:val="0"/>
          <w:sz w:val="24"/>
          <w:szCs w:val="24"/>
        </w:rPr>
        <w:t>场均匀性</w:t>
      </w:r>
      <w:bookmarkEnd w:id="99"/>
    </w:p>
    <w:p>
      <w:pPr>
        <w:pStyle w:val="ListParagraph"/>
        <w:numPr>
          <w:ilvl w:val="0"/>
          <w:numId w:val="7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numPr>
          <w:ilvl w:val="0"/>
          <w:numId w:val="77"/>
        </w:numPr>
        <w:autoSpaceDE w:val="0"/>
        <w:autoSpaceDN w:val="0"/>
        <w:adjustRightInd w:val="0"/>
        <w:spacing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kern w:val="0"/>
          <w:sz w:val="23"/>
          <w:szCs w:val="23"/>
        </w:rPr>
        <w:t xml:space="preserve">ISO 11451-2 Road vehicles — Vehicle test methods for electrical disturbances from narrowband radiated electromagnetic energy — Part 2: Off-vehicle radiation sources </w:t>
      </w:r>
      <w:r>
        <w:rPr>
          <w:rFonts w:ascii="Times New Roman" w:eastAsia="宋体" w:hAnsi="Times New Roman" w:cs="Arial" w:hint="eastAsia"/>
          <w:kern w:val="0"/>
          <w:sz w:val="23"/>
          <w:szCs w:val="23"/>
        </w:rPr>
        <w:t xml:space="preserve"> </w:t>
      </w:r>
    </w:p>
    <w:p>
      <w:pPr>
        <w:pStyle w:val="ListParagraph"/>
        <w:numPr>
          <w:ilvl w:val="0"/>
          <w:numId w:val="77"/>
        </w:numPr>
        <w:spacing w:before="40" w:after="40" w:line="360" w:lineRule="auto"/>
        <w:ind w:left="945" w:leftChars="25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 xml:space="preserve">GB/T </w:t>
      </w:r>
      <w:r>
        <w:rPr>
          <w:rFonts w:ascii="Times New Roman" w:eastAsia="宋体" w:hAnsi="Times New Roman" w:cs="Arial"/>
          <w:kern w:val="0"/>
          <w:sz w:val="23"/>
          <w:szCs w:val="23"/>
        </w:rPr>
        <w:t xml:space="preserve">33012.2 </w:t>
      </w:r>
      <w:r>
        <w:rPr>
          <w:rFonts w:ascii="Times New Roman" w:eastAsia="宋体" w:hAnsi="Times New Roman" w:cs="Arial" w:hint="eastAsia"/>
          <w:kern w:val="0"/>
          <w:sz w:val="23"/>
          <w:szCs w:val="23"/>
        </w:rPr>
        <w:t>道路车辆 车辆对窄带辐射电磁能的抗扰性试验方法 第2部分：车外辐射源法</w:t>
      </w:r>
    </w:p>
    <w:p>
      <w:pPr>
        <w:pStyle w:val="ListParagraph"/>
        <w:numPr>
          <w:ilvl w:val="0"/>
          <w:numId w:val="7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性能要求：</w:t>
      </w:r>
    </w:p>
    <w:p>
      <w:pPr>
        <w:pStyle w:val="ListParagraph"/>
        <w:autoSpaceDE w:val="0"/>
        <w:autoSpaceDN w:val="0"/>
        <w:adjustRightInd w:val="0"/>
        <w:spacing w:line="360" w:lineRule="auto"/>
        <w:ind w:left="735"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频率在200</w:t>
      </w:r>
      <w:r>
        <w:rPr>
          <w:rFonts w:ascii="Arial" w:eastAsia="宋体铫.籡.." w:hAnsi="Arial" w:cs="Arial"/>
          <w:kern w:val="0"/>
          <w:sz w:val="23"/>
          <w:szCs w:val="23"/>
        </w:rPr>
        <w:t xml:space="preserve"> MH</w:t>
      </w:r>
      <w:r>
        <w:rPr>
          <w:rFonts w:ascii="Arial" w:eastAsia="宋体铫.籡.." w:hAnsi="Arial" w:cs="Arial" w:hint="eastAsia"/>
          <w:kern w:val="0"/>
          <w:sz w:val="23"/>
          <w:szCs w:val="23"/>
        </w:rPr>
        <w:t>z以上时场均匀性应满足：参考点两边0.5</w:t>
      </w:r>
      <w:r>
        <w:rPr>
          <w:rFonts w:ascii="Arial" w:eastAsia="宋体铫.籡.." w:hAnsi="Arial" w:cs="Arial"/>
          <w:kern w:val="0"/>
          <w:sz w:val="23"/>
          <w:szCs w:val="23"/>
        </w:rPr>
        <w:t xml:space="preserve"> </w:t>
      </w:r>
      <w:r>
        <w:rPr>
          <w:rFonts w:ascii="Arial" w:eastAsia="宋体铫.籡.." w:hAnsi="Arial" w:cs="Arial" w:hint="eastAsia"/>
          <w:kern w:val="0"/>
          <w:sz w:val="23"/>
          <w:szCs w:val="23"/>
        </w:rPr>
        <w:t>m处位置的场强在至少80%试验频点下位于参考点场强的-6</w:t>
      </w:r>
      <w:r>
        <w:rPr>
          <w:rFonts w:ascii="Arial" w:eastAsia="宋体铫.籡.." w:hAnsi="Arial" w:cs="Arial"/>
          <w:kern w:val="0"/>
          <w:sz w:val="23"/>
          <w:szCs w:val="23"/>
        </w:rPr>
        <w:t xml:space="preserve"> </w:t>
      </w:r>
      <w:r>
        <w:rPr>
          <w:rFonts w:ascii="Arial" w:eastAsia="宋体铫.籡.." w:hAnsi="Arial" w:cs="Arial" w:hint="eastAsia"/>
          <w:kern w:val="0"/>
          <w:sz w:val="23"/>
          <w:szCs w:val="23"/>
        </w:rPr>
        <w:t>dB-~0</w:t>
      </w:r>
      <w:r>
        <w:rPr>
          <w:rFonts w:ascii="Arial" w:eastAsia="宋体铫.籡.." w:hAnsi="Arial" w:cs="Arial"/>
          <w:kern w:val="0"/>
          <w:sz w:val="23"/>
          <w:szCs w:val="23"/>
        </w:rPr>
        <w:t xml:space="preserve"> </w:t>
      </w:r>
      <w:r>
        <w:rPr>
          <w:rFonts w:ascii="Arial" w:eastAsia="宋体铫.籡.." w:hAnsi="Arial" w:cs="Arial" w:hint="eastAsia"/>
          <w:kern w:val="0"/>
          <w:sz w:val="23"/>
          <w:szCs w:val="23"/>
        </w:rPr>
        <w:t>dB范围内。</w:t>
      </w:r>
    </w:p>
    <w:p>
      <w:pPr>
        <w:pStyle w:val="ListParagraph"/>
        <w:numPr>
          <w:ilvl w:val="0"/>
          <w:numId w:val="7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测量验证频次：首次验证后，每3~5年进行一次复测。</w:t>
      </w:r>
    </w:p>
    <w:p>
      <w:pPr>
        <w:pStyle w:val="ListParagraph"/>
        <w:numPr>
          <w:ilvl w:val="0"/>
          <w:numId w:val="76"/>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报告要求：报告应由CNAS或其互认框架下授权的检测机构出具，应在垂直极化和水平极化条件下标定场强，报告中应明确描述场强探头相关位置。</w:t>
      </w:r>
    </w:p>
    <w:p>
      <w:pPr>
        <w:pStyle w:val="Heading2"/>
        <w:numPr>
          <w:ilvl w:val="0"/>
          <w:numId w:val="68"/>
        </w:numPr>
        <w:spacing w:before="120" w:after="120" w:line="240" w:lineRule="auto"/>
        <w:ind w:left="420"/>
        <w:rPr>
          <w:rFonts w:ascii="Times New Roman" w:hAnsi="Times New Roman" w:eastAsiaTheme="minorEastAsia" w:cs="Times New Roman"/>
          <w:kern w:val="0"/>
          <w:sz w:val="24"/>
          <w:szCs w:val="24"/>
        </w:rPr>
      </w:pPr>
      <w:bookmarkStart w:id="100" w:name="_Toc79135161"/>
      <w:r>
        <w:rPr>
          <w:rFonts w:ascii="Times New Roman" w:hAnsi="Times New Roman" w:eastAsiaTheme="minorEastAsia" w:cs="Times New Roman" w:hint="eastAsia"/>
          <w:kern w:val="0"/>
          <w:sz w:val="24"/>
          <w:szCs w:val="24"/>
        </w:rPr>
        <w:t>环境噪声电平</w:t>
      </w:r>
      <w:bookmarkEnd w:id="100"/>
    </w:p>
    <w:p>
      <w:pPr>
        <w:pStyle w:val="ListParagraph"/>
        <w:numPr>
          <w:ilvl w:val="0"/>
          <w:numId w:val="78"/>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依据标准/规范：</w:t>
      </w:r>
    </w:p>
    <w:p>
      <w:pPr>
        <w:pStyle w:val="ListParagraph"/>
        <w:autoSpaceDE w:val="0"/>
        <w:autoSpaceDN w:val="0"/>
        <w:adjustRightInd w:val="0"/>
        <w:spacing w:line="360" w:lineRule="auto"/>
        <w:ind w:left="567" w:firstLine="0" w:firstLineChars="0"/>
        <w:jc w:val="left"/>
        <w:rPr>
          <w:rFonts w:ascii="Times New Roman" w:eastAsia="宋体" w:hAnsi="Times New Roman" w:cs="Arial"/>
          <w:kern w:val="0"/>
          <w:sz w:val="23"/>
          <w:szCs w:val="23"/>
        </w:rPr>
      </w:pPr>
      <w:r>
        <w:rPr>
          <w:rFonts w:ascii="Times New Roman" w:eastAsia="宋体" w:hAnsi="Times New Roman" w:cs="Arial" w:hint="eastAsia"/>
          <w:kern w:val="0"/>
          <w:sz w:val="23"/>
          <w:szCs w:val="23"/>
        </w:rPr>
        <w:t>GB</w:t>
      </w:r>
      <w:r>
        <w:rPr>
          <w:rFonts w:ascii="Times New Roman" w:eastAsia="宋体" w:hAnsi="Times New Roman" w:cs="Arial"/>
          <w:kern w:val="0"/>
          <w:sz w:val="23"/>
          <w:szCs w:val="23"/>
        </w:rPr>
        <w:t xml:space="preserve"> </w:t>
      </w:r>
      <w:r>
        <w:rPr>
          <w:rFonts w:ascii="Times New Roman" w:eastAsia="宋体" w:hAnsi="Times New Roman" w:cs="Arial" w:hint="eastAsia"/>
          <w:kern w:val="0"/>
          <w:sz w:val="23"/>
          <w:szCs w:val="23"/>
        </w:rPr>
        <w:t>34660</w:t>
      </w:r>
      <w:r>
        <w:rPr>
          <w:rFonts w:ascii="Times New Roman" w:eastAsia="宋体" w:hAnsi="Times New Roman" w:cs="Arial"/>
          <w:kern w:val="0"/>
          <w:sz w:val="23"/>
          <w:szCs w:val="23"/>
        </w:rPr>
        <w:t xml:space="preserve"> </w:t>
      </w:r>
      <w:r>
        <w:rPr>
          <w:rFonts w:ascii="Times New Roman" w:eastAsia="宋体" w:hAnsi="Times New Roman" w:cs="Arial" w:hint="eastAsia"/>
          <w:kern w:val="0"/>
          <w:sz w:val="23"/>
          <w:szCs w:val="23"/>
        </w:rPr>
        <w:t xml:space="preserve">道路车辆 电磁兼容性要求和试验方法 </w:t>
      </w:r>
    </w:p>
    <w:p>
      <w:pPr>
        <w:pStyle w:val="ListParagraph"/>
        <w:numPr>
          <w:ilvl w:val="0"/>
          <w:numId w:val="78"/>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限值要求：</w:t>
      </w:r>
    </w:p>
    <w:p>
      <w:pPr>
        <w:pStyle w:val="ListParagraph"/>
        <w:autoSpaceDE w:val="0"/>
        <w:autoSpaceDN w:val="0"/>
        <w:adjustRightInd w:val="0"/>
        <w:spacing w:line="360" w:lineRule="auto"/>
        <w:ind w:left="735" w:firstLine="0" w:firstLineChars="0"/>
        <w:jc w:val="left"/>
        <w:rPr>
          <w:rFonts w:ascii="Arial" w:eastAsia="宋体铫.籡.." w:hAnsi="Arial" w:cs="Arial"/>
          <w:kern w:val="0"/>
          <w:sz w:val="23"/>
          <w:szCs w:val="23"/>
        </w:rPr>
      </w:pPr>
      <w:r>
        <w:rPr>
          <w:rFonts w:ascii="Arial" w:eastAsia="宋体铫.籡.." w:hAnsi="Arial" w:cs="Arial" w:hint="eastAsia"/>
          <w:kern w:val="0"/>
          <w:sz w:val="23"/>
          <w:szCs w:val="23"/>
        </w:rPr>
        <w:t>半电波暗室的环境噪声电平应比规定的限值至少低6</w:t>
      </w:r>
      <w:r>
        <w:rPr>
          <w:rFonts w:ascii="Arial" w:eastAsia="宋体铫.籡.." w:hAnsi="Arial" w:cs="Arial"/>
          <w:kern w:val="0"/>
          <w:sz w:val="23"/>
          <w:szCs w:val="23"/>
        </w:rPr>
        <w:t xml:space="preserve"> </w:t>
      </w:r>
      <w:r>
        <w:rPr>
          <w:rFonts w:ascii="Arial" w:eastAsia="宋体铫.籡.." w:hAnsi="Arial" w:cs="Arial" w:hint="eastAsia"/>
          <w:kern w:val="0"/>
          <w:sz w:val="23"/>
          <w:szCs w:val="23"/>
        </w:rPr>
        <w:t>dB。</w:t>
      </w:r>
    </w:p>
    <w:p>
      <w:pPr>
        <w:pStyle w:val="ListParagraph"/>
        <w:numPr>
          <w:ilvl w:val="0"/>
          <w:numId w:val="78"/>
        </w:numPr>
        <w:autoSpaceDE w:val="0"/>
        <w:autoSpaceDN w:val="0"/>
        <w:adjustRightInd w:val="0"/>
        <w:spacing w:line="360" w:lineRule="auto"/>
        <w:ind w:left="735" w:leftChars="150" w:firstLineChars="0"/>
        <w:jc w:val="left"/>
        <w:rPr>
          <w:rFonts w:ascii="Arial" w:eastAsia="宋体铫.籡.." w:hAnsi="Arial" w:cs="Arial"/>
          <w:kern w:val="0"/>
          <w:sz w:val="23"/>
          <w:szCs w:val="23"/>
        </w:rPr>
      </w:pPr>
      <w:bookmarkStart w:id="101" w:name="_Hlk78990438"/>
      <w:r>
        <w:rPr>
          <w:rFonts w:ascii="Arial" w:eastAsia="宋体铫.籡.." w:hAnsi="Arial" w:cs="Arial" w:hint="eastAsia"/>
          <w:kern w:val="0"/>
          <w:sz w:val="23"/>
          <w:szCs w:val="23"/>
        </w:rPr>
        <w:t>测量验证频次：首次验证，其后实验室可自行规范每次测试前的环境噪声电平确认。</w:t>
      </w:r>
    </w:p>
    <w:p>
      <w:pPr>
        <w:pStyle w:val="ListParagraph"/>
        <w:numPr>
          <w:ilvl w:val="0"/>
          <w:numId w:val="78"/>
        </w:numPr>
        <w:autoSpaceDE w:val="0"/>
        <w:autoSpaceDN w:val="0"/>
        <w:adjustRightInd w:val="0"/>
        <w:spacing w:line="360" w:lineRule="auto"/>
        <w:ind w:left="735" w:leftChars="150" w:firstLineChars="0"/>
        <w:jc w:val="left"/>
        <w:rPr>
          <w:rFonts w:ascii="Arial" w:eastAsia="宋体铫.籡.." w:hAnsi="Arial" w:cs="Arial"/>
          <w:kern w:val="0"/>
          <w:sz w:val="23"/>
          <w:szCs w:val="23"/>
        </w:rPr>
      </w:pPr>
      <w:r>
        <w:rPr>
          <w:rFonts w:ascii="Arial" w:eastAsia="宋体铫.籡.." w:hAnsi="Arial" w:cs="Arial" w:hint="eastAsia"/>
          <w:kern w:val="0"/>
          <w:sz w:val="23"/>
          <w:szCs w:val="23"/>
        </w:rPr>
        <w:t>报告要求：首次验证报告应由</w:t>
      </w:r>
      <w:r>
        <w:rPr>
          <w:rFonts w:ascii="Arial" w:eastAsia="宋体铫.籡.." w:hAnsi="Arial" w:cs="Arial"/>
          <w:kern w:val="0"/>
          <w:sz w:val="23"/>
          <w:szCs w:val="23"/>
        </w:rPr>
        <w:t>CNAS</w:t>
      </w:r>
      <w:r>
        <w:rPr>
          <w:rFonts w:ascii="Arial" w:eastAsia="宋体铫.籡.." w:hAnsi="Arial" w:cs="Arial" w:hint="eastAsia"/>
          <w:kern w:val="0"/>
          <w:sz w:val="23"/>
          <w:szCs w:val="23"/>
        </w:rPr>
        <w:t>或其互认框架下授权的检测机构出具</w:t>
      </w:r>
      <w:bookmarkEnd w:id="101"/>
      <w:r>
        <w:rPr>
          <w:rFonts w:ascii="Arial" w:eastAsia="宋体铫.籡.." w:hAnsi="Arial" w:cs="Arial" w:hint="eastAsia"/>
          <w:kern w:val="0"/>
          <w:sz w:val="23"/>
          <w:szCs w:val="23"/>
        </w:rPr>
        <w:t>。</w:t>
      </w:r>
    </w:p>
    <w:p>
      <w:pPr>
        <w:pStyle w:val="Heading2"/>
        <w:numPr>
          <w:ilvl w:val="0"/>
          <w:numId w:val="59"/>
        </w:numPr>
        <w:spacing w:before="120" w:after="120" w:line="240" w:lineRule="auto"/>
        <w:rPr>
          <w:rFonts w:ascii="Times New Roman" w:hAnsi="Times New Roman" w:eastAsiaTheme="minorEastAsia" w:cs="Times New Roman"/>
          <w:kern w:val="0"/>
          <w:sz w:val="24"/>
          <w:szCs w:val="24"/>
        </w:rPr>
      </w:pPr>
      <w:bookmarkStart w:id="102" w:name="_Toc79135162"/>
      <w:r>
        <w:rPr>
          <w:rFonts w:ascii="Times New Roman" w:hAnsi="Times New Roman" w:eastAsiaTheme="minorEastAsia" w:cs="Times New Roman" w:hint="eastAsia"/>
          <w:kern w:val="0"/>
          <w:sz w:val="24"/>
          <w:szCs w:val="24"/>
        </w:rPr>
        <w:t>半电波暗室（零部件）</w:t>
      </w:r>
      <w:bookmarkEnd w:id="102"/>
    </w:p>
    <w:p>
      <w:pPr>
        <w:pStyle w:val="Heading2"/>
        <w:numPr>
          <w:ilvl w:val="0"/>
          <w:numId w:val="79"/>
        </w:numPr>
        <w:spacing w:before="120" w:after="120" w:line="240" w:lineRule="auto"/>
        <w:rPr>
          <w:rFonts w:ascii="Times New Roman" w:hAnsi="Times New Roman" w:eastAsiaTheme="minorEastAsia" w:cs="Times New Roman"/>
          <w:kern w:val="0"/>
          <w:sz w:val="24"/>
          <w:szCs w:val="24"/>
        </w:rPr>
      </w:pPr>
      <w:bookmarkStart w:id="103" w:name="_Toc79135163"/>
      <w:r>
        <w:rPr>
          <w:rFonts w:ascii="Times New Roman" w:hAnsi="Times New Roman" w:eastAsiaTheme="minorEastAsia" w:cs="Times New Roman" w:hint="eastAsia"/>
          <w:kern w:val="0"/>
          <w:sz w:val="24"/>
          <w:szCs w:val="24"/>
        </w:rPr>
        <w:t>屏蔽效能</w:t>
      </w:r>
      <w:bookmarkEnd w:id="103"/>
    </w:p>
    <w:p>
      <w:pPr>
        <w:ind w:firstLine="460" w:firstLineChars="200"/>
        <w:rPr>
          <w:rFonts w:ascii="Times New Roman" w:hAnsi="Times New Roman"/>
          <w:sz w:val="23"/>
          <w:szCs w:val="23"/>
        </w:rPr>
      </w:pPr>
      <w:r>
        <w:rPr>
          <w:rFonts w:ascii="Times New Roman" w:hAnsi="Times New Roman" w:hint="eastAsia"/>
          <w:sz w:val="23"/>
          <w:szCs w:val="23"/>
        </w:rPr>
        <w:t>同6.2.1要求</w:t>
      </w:r>
    </w:p>
    <w:p>
      <w:pPr>
        <w:pStyle w:val="Heading2"/>
        <w:numPr>
          <w:ilvl w:val="0"/>
          <w:numId w:val="79"/>
        </w:numPr>
        <w:spacing w:before="120" w:after="120" w:line="240" w:lineRule="auto"/>
        <w:rPr>
          <w:rFonts w:ascii="Times New Roman" w:hAnsi="Times New Roman" w:eastAsiaTheme="minorEastAsia" w:cs="Times New Roman"/>
          <w:kern w:val="0"/>
          <w:sz w:val="24"/>
          <w:szCs w:val="24"/>
        </w:rPr>
      </w:pPr>
      <w:bookmarkStart w:id="104" w:name="_Toc79135164"/>
      <w:r>
        <w:rPr>
          <w:rFonts w:ascii="Times New Roman" w:hAnsi="Times New Roman" w:eastAsiaTheme="minorEastAsia" w:cs="Times New Roman" w:hint="eastAsia"/>
          <w:kern w:val="0"/>
          <w:sz w:val="24"/>
          <w:szCs w:val="24"/>
        </w:rPr>
        <w:t>接地电阻</w:t>
      </w:r>
      <w:bookmarkEnd w:id="104"/>
    </w:p>
    <w:p>
      <w:pPr>
        <w:ind w:firstLine="460" w:firstLineChars="200"/>
        <w:rPr>
          <w:rFonts w:ascii="Times New Roman" w:hAnsi="Times New Roman"/>
          <w:sz w:val="23"/>
          <w:szCs w:val="23"/>
        </w:rPr>
      </w:pPr>
      <w:r>
        <w:rPr>
          <w:rFonts w:ascii="Times New Roman" w:hAnsi="Times New Roman" w:hint="eastAsia"/>
          <w:sz w:val="23"/>
          <w:szCs w:val="23"/>
        </w:rPr>
        <w:t>同6.1.2要求</w:t>
      </w:r>
    </w:p>
    <w:p>
      <w:pPr>
        <w:pStyle w:val="Heading2"/>
        <w:numPr>
          <w:ilvl w:val="0"/>
          <w:numId w:val="79"/>
        </w:numPr>
        <w:spacing w:before="120" w:after="120" w:line="240" w:lineRule="auto"/>
        <w:rPr>
          <w:rFonts w:ascii="Times New Roman" w:hAnsi="Times New Roman" w:eastAsiaTheme="minorEastAsia" w:cs="Times New Roman"/>
          <w:kern w:val="0"/>
          <w:sz w:val="24"/>
          <w:szCs w:val="24"/>
        </w:rPr>
      </w:pPr>
      <w:bookmarkStart w:id="105" w:name="_Toc79135165"/>
      <w:r>
        <w:rPr>
          <w:rFonts w:ascii="Times New Roman" w:hAnsi="Times New Roman" w:eastAsiaTheme="minorEastAsia" w:cs="Times New Roman" w:hint="eastAsia"/>
          <w:kern w:val="0"/>
          <w:sz w:val="24"/>
          <w:szCs w:val="24"/>
        </w:rPr>
        <w:t>绝缘电阻</w:t>
      </w:r>
      <w:bookmarkEnd w:id="105"/>
    </w:p>
    <w:p>
      <w:pPr>
        <w:ind w:firstLine="460" w:firstLineChars="200"/>
        <w:rPr>
          <w:rFonts w:ascii="Times New Roman" w:hAnsi="Times New Roman"/>
          <w:sz w:val="23"/>
          <w:szCs w:val="23"/>
        </w:rPr>
      </w:pPr>
      <w:r>
        <w:rPr>
          <w:rFonts w:ascii="Times New Roman" w:hAnsi="Times New Roman" w:hint="eastAsia"/>
          <w:sz w:val="23"/>
          <w:szCs w:val="23"/>
        </w:rPr>
        <w:t>同6.1.3要求</w:t>
      </w:r>
      <w:r>
        <w:rPr>
          <w:rFonts w:ascii="Times New Roman" w:hAnsi="Times New Roman"/>
          <w:sz w:val="23"/>
          <w:szCs w:val="23"/>
        </w:rPr>
        <w:br/>
      </w:r>
      <w:r>
        <w:rPr>
          <w:rFonts w:ascii="Times New Roman" w:hAnsi="Times New Roman"/>
          <w:sz w:val="23"/>
          <w:szCs w:val="23"/>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6" w:history="1">
        <w:r>
          <w:rPr>
            <w:rFonts w:ascii="SimSun" w:eastAsia="SimSun" w:hAnsi="SimSun" w:cs="SimSun"/>
            <w:b/>
            <w:bCs/>
            <w:color w:val="0000EE"/>
            <w:kern w:val="0"/>
            <w:sz w:val="30"/>
            <w:szCs w:val="30"/>
            <w:u w:val="single" w:color="0000EE"/>
          </w:rPr>
          <w:t>https://d.book118.com/925044232341011034</w:t>
        </w:r>
      </w:hyperlink>
    </w:p>
    <w:p>
      <w:pPr>
        <w:ind w:firstLine="460" w:firstLineChars="200"/>
        <w:rPr>
          <w:rFonts w:ascii="Times New Roman" w:hAnsi="Times New Roman"/>
          <w:sz w:val="23"/>
          <w:szCs w:val="23"/>
        </w:rPr>
      </w:pPr>
    </w:p>
    <w:sectPr>
      <w:headerReference w:type="default" r:id="rId97"/>
      <w:footerReference w:type="default" r:id="rId98"/>
      <w:headerReference w:type="first" r:id="rId99"/>
      <w:footerReference w:type="first" r:id="rId100"/>
      <w:type w:val="nextPage"/>
      <w:pgSz w:w="11906" w:h="16838"/>
      <w:pgMar w:top="1418" w:right="1418" w:bottom="1418" w:left="1701" w:header="851" w:footer="992" w:gutter="0"/>
      <w:pgNumType w:start="23"/>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宋体壵....">
    <w:altName w:val="宋体"/>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黑体铫.籡..">
    <w:altName w:val="黑体"/>
    <w:panose1 w:val="00000000000000000000"/>
    <w:charset w:val="86"/>
    <w:family w:val="swiss"/>
    <w:pitch w:val="default"/>
    <w:sig w:usb0="00000000" w:usb1="00000000" w:usb2="00000010" w:usb3="00000000" w:csb0="00040000" w:csb1="00000000"/>
  </w:font>
  <w:font w:name="宋体铫.籡..">
    <w:altName w:val="宋体"/>
    <w:panose1 w:val="00000000000000000000"/>
    <w:charset w:val="86"/>
    <w:family w:val="roma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pPr>
    <w:r>
      <w:rPr>
        <w:rFonts w:ascii="宋体" w:hAnsi="宋体" w:cs="宋体" w:hint="eastAsia"/>
      </w:rPr>
      <w:t>发布日期：XXXX年XX月XX日</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实施日期：XXXX年XX月XX日</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51</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51</w:t>
    </w:r>
    <w:r>
      <w:rPr>
        <w:rFonts w:ascii="Arial" w:hAnsi="Arial"/>
        <w:b/>
        <w:lang w:val="zh-CN"/>
      </w:rPr>
      <w:fldChar w:fldCharType="end"/>
    </w:r>
    <w:r>
      <w:rPr>
        <w:rFonts w:ascii="Arial" w:hAnsi="Arial" w:hint="eastAsia"/>
      </w:rPr>
      <w:t xml:space="preserve"> 页</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2</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3</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4</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5</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6</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7</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8</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9</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10</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11</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12</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13</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14</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15</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16</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17</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18</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19</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20</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21</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22</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Arial" w:hAnsi="Arial"/>
      </w:rPr>
    </w:pPr>
    <w:r>
      <w:rPr>
        <w:rFonts w:ascii="Arial" w:hAnsi="Arial"/>
      </w:rPr>
      <w:t>C</w:t>
    </w:r>
    <w:r>
      <w:rPr>
        <w:rFonts w:ascii="Arial" w:hAnsi="Arial" w:hint="eastAsia"/>
      </w:rPr>
      <w:t>NAS-GLXX：20</w:t>
    </w:r>
    <w:r>
      <w:rPr>
        <w:rFonts w:ascii="Arial" w:hAnsi="Arial"/>
      </w:rPr>
      <w:t>2</w:t>
    </w:r>
    <w:r>
      <w:rPr>
        <w:rFonts w:ascii="Arial" w:hAnsi="Arial" w:hint="eastAsia"/>
      </w:rPr>
      <w:t>X</w:t>
    </w:r>
    <w:r>
      <w:rPr>
        <w:rFonts w:ascii="Arial" w:hAnsi="Arial" w:hint="eastAsia"/>
      </w:rPr>
      <w:tab/>
    </w:r>
    <w:r>
      <w:rPr>
        <w:rFonts w:ascii="Arial" w:hAnsi="Arial" w:hint="eastAsia"/>
      </w:rPr>
      <w:tab/>
    </w:r>
    <w:r>
      <w:rPr>
        <w:rFonts w:ascii="Arial" w:hAnsi="Arial" w:hint="eastAsia"/>
      </w:rPr>
      <w:t>第</w:t>
    </w:r>
    <w:r>
      <w:rPr>
        <w:rFonts w:ascii="Arial" w:hAnsi="Arial"/>
        <w:lang w:val="zh-CN"/>
      </w:rPr>
      <w:t xml:space="preserve"> </w:t>
    </w:r>
    <w:r>
      <w:rPr>
        <w:rFonts w:ascii="Arial" w:hAnsi="Arial"/>
        <w:b/>
      </w:rPr>
      <w:fldChar w:fldCharType="begin"/>
    </w:r>
    <w:r>
      <w:rPr>
        <w:rFonts w:ascii="Arial" w:hAnsi="Arial"/>
        <w:b/>
      </w:rPr>
      <w:instrText>PAGE  \* Arabic  \* MERGEFORMAT</w:instrText>
    </w:r>
    <w:r>
      <w:rPr>
        <w:rFonts w:ascii="Arial" w:hAnsi="Arial"/>
        <w:b/>
      </w:rPr>
      <w:fldChar w:fldCharType="separate"/>
    </w:r>
    <w:r>
      <w:rPr>
        <w:rFonts w:ascii="Arial" w:hAnsi="Arial"/>
        <w:b/>
        <w:lang w:val="zh-CN"/>
      </w:rPr>
      <w:t>23</w:t>
    </w:r>
    <w:r>
      <w:rPr>
        <w:rFonts w:ascii="Arial" w:hAnsi="Arial"/>
        <w:b/>
      </w:rPr>
      <w:fldChar w:fldCharType="end"/>
    </w:r>
    <w:r>
      <w:rPr>
        <w:rFonts w:ascii="Arial" w:hAnsi="Arial"/>
        <w:b/>
      </w:rPr>
      <w:t xml:space="preserve"> </w:t>
    </w:r>
    <w:r>
      <w:rPr>
        <w:rFonts w:ascii="Arial" w:hAnsi="Arial" w:hint="eastAsia"/>
      </w:rPr>
      <w:t>页</w:t>
    </w:r>
    <w:r>
      <w:rPr>
        <w:rFonts w:ascii="Arial" w:hAnsi="Arial" w:hint="eastAsia"/>
        <w:lang w:val="zh-CN"/>
      </w:rPr>
      <w:t xml:space="preserve"> </w:t>
    </w:r>
    <w:r>
      <w:rPr>
        <w:rFonts w:ascii="Arial" w:hAnsi="Arial" w:hint="eastAsia"/>
      </w:rPr>
      <w:t xml:space="preserve">共 </w:t>
    </w:r>
    <w:r>
      <w:rPr>
        <w:rFonts w:ascii="Arial" w:hAnsi="Arial"/>
      </w:rPr>
      <w:fldChar w:fldCharType="begin"/>
    </w:r>
    <w:r>
      <w:rPr>
        <w:rFonts w:ascii="Arial" w:hAnsi="Arial"/>
      </w:rPr>
      <w:instrText>NUMPAGES  \* Arabic  \* MERGEFORMAT</w:instrText>
    </w:r>
    <w:r>
      <w:rPr>
        <w:rFonts w:ascii="Arial" w:hAnsi="Arial"/>
      </w:rPr>
      <w:fldChar w:fldCharType="separate"/>
    </w:r>
    <w:r>
      <w:rPr>
        <w:rFonts w:ascii="Arial" w:hAnsi="Arial"/>
        <w:b/>
        <w:lang w:val="zh-CN"/>
      </w:rPr>
      <w:t>23</w:t>
    </w:r>
    <w:r>
      <w:rPr>
        <w:rFonts w:ascii="Arial" w:hAnsi="Arial"/>
        <w:b/>
        <w:lang w:val="zh-CN"/>
      </w:rPr>
      <w:fldChar w:fldCharType="end"/>
    </w:r>
    <w:r>
      <w:rPr>
        <w:rFonts w:ascii="Arial" w:hAnsi="Arial" w:hint="eastAsia"/>
      </w:rPr>
      <w:t xml:space="preserve"> 页</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A3BAB"/>
    <w:multiLevelType w:val="multilevel"/>
    <w:tmpl w:val="000A3BAB"/>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13B6044"/>
    <w:multiLevelType w:val="multilevel"/>
    <w:tmpl w:val="013B6044"/>
    <w:lvl w:ilvl="0">
      <w:start w:val="1"/>
      <w:numFmt w:val="decimal"/>
      <w:lvlText w:val="8.1.%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
    <w:nsid w:val="020B1DE2"/>
    <w:multiLevelType w:val="multilevel"/>
    <w:tmpl w:val="020B1DE2"/>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02453A37"/>
    <w:multiLevelType w:val="multilevel"/>
    <w:tmpl w:val="02453A3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661657E"/>
    <w:multiLevelType w:val="multilevel"/>
    <w:tmpl w:val="0661657E"/>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075443DA"/>
    <w:multiLevelType w:val="multilevel"/>
    <w:tmpl w:val="075443DA"/>
    <w:lvl w:ilvl="0">
      <w:start w:val="1"/>
      <w:numFmt w:val="decimal"/>
      <w:lvlText w:val="6.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76905D4"/>
    <w:multiLevelType w:val="multilevel"/>
    <w:tmpl w:val="076905D4"/>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07B851A8"/>
    <w:multiLevelType w:val="multilevel"/>
    <w:tmpl w:val="07B851A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07D23407"/>
    <w:multiLevelType w:val="multilevel"/>
    <w:tmpl w:val="07D2340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A4103AB"/>
    <w:multiLevelType w:val="multilevel"/>
    <w:tmpl w:val="0A4103AB"/>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nsid w:val="0AA464DC"/>
    <w:multiLevelType w:val="multilevel"/>
    <w:tmpl w:val="0AA464D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0B09146A"/>
    <w:multiLevelType w:val="multilevel"/>
    <w:tmpl w:val="0B09146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D785FF7"/>
    <w:multiLevelType w:val="multilevel"/>
    <w:tmpl w:val="0D785FF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0DD30EDF"/>
    <w:multiLevelType w:val="multilevel"/>
    <w:tmpl w:val="0DD30ED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1260" w:hanging="420"/>
      </w:pPr>
      <w:rPr>
        <w:rFonts w:hint="default"/>
      </w:rPr>
    </w:lvl>
    <w:lvl w:ilvl="3">
      <w:start w:val="1"/>
      <w:numFmt w:val="decimal"/>
      <w:lvlText w:val="%4)"/>
      <w:lvlJc w:val="left"/>
      <w:pPr>
        <w:ind w:left="1680" w:hanging="420"/>
      </w:pPr>
      <w:rPr>
        <w:rFont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0E6148CA"/>
    <w:multiLevelType w:val="multilevel"/>
    <w:tmpl w:val="0E6148CA"/>
    <w:lvl w:ilvl="0">
      <w:start w:val="1"/>
      <w:numFmt w:val="decimal"/>
      <w:lvlText w:val="7.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E9C34CB"/>
    <w:multiLevelType w:val="multilevel"/>
    <w:tmpl w:val="0E9C34C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EEA4C09"/>
    <w:multiLevelType w:val="multilevel"/>
    <w:tmpl w:val="0EEA4C0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0FA30544"/>
    <w:multiLevelType w:val="multilevel"/>
    <w:tmpl w:val="0FA3054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0FAF58E9"/>
    <w:multiLevelType w:val="multilevel"/>
    <w:tmpl w:val="0FAF58E9"/>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118D7BC4"/>
    <w:multiLevelType w:val="multilevel"/>
    <w:tmpl w:val="118D7BC4"/>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121B5C2A"/>
    <w:multiLevelType w:val="multilevel"/>
    <w:tmpl w:val="121B5C2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122F459E"/>
    <w:multiLevelType w:val="multilevel"/>
    <w:tmpl w:val="122F459E"/>
    <w:lvl w:ilvl="0">
      <w:start w:val="1"/>
      <w:numFmt w:val="decimal"/>
      <w:lvlText w:val="8.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12895222"/>
    <w:multiLevelType w:val="multilevel"/>
    <w:tmpl w:val="1289522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12945FB8"/>
    <w:multiLevelType w:val="multilevel"/>
    <w:tmpl w:val="12945FB8"/>
    <w:lvl w:ilvl="0">
      <w:start w:val="1"/>
      <w:numFmt w:val="decimal"/>
      <w:lvlText w:val="%1)"/>
      <w:lvlJc w:val="left"/>
      <w:pPr>
        <w:ind w:left="880" w:hanging="420"/>
      </w:p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24">
    <w:nsid w:val="12C0167F"/>
    <w:multiLevelType w:val="multilevel"/>
    <w:tmpl w:val="12C0167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137F1F85"/>
    <w:multiLevelType w:val="multilevel"/>
    <w:tmpl w:val="137F1F8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nsid w:val="1419253C"/>
    <w:multiLevelType w:val="multilevel"/>
    <w:tmpl w:val="1419253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nsid w:val="15D54AF0"/>
    <w:multiLevelType w:val="multilevel"/>
    <w:tmpl w:val="15D54AF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15DF4E4B"/>
    <w:multiLevelType w:val="multilevel"/>
    <w:tmpl w:val="15DF4E4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176F28E8"/>
    <w:multiLevelType w:val="multilevel"/>
    <w:tmpl w:val="176F28E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1A60167E"/>
    <w:multiLevelType w:val="multilevel"/>
    <w:tmpl w:val="1A60167E"/>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1">
    <w:nsid w:val="1AEB6C7C"/>
    <w:multiLevelType w:val="multilevel"/>
    <w:tmpl w:val="1AEB6C7C"/>
    <w:lvl w:ilvl="0">
      <w:start w:val="1"/>
      <w:numFmt w:val="decimal"/>
      <w:lvlText w:val="3.1.%1"/>
      <w:lvlJc w:val="left"/>
      <w:pPr>
        <w:ind w:left="880" w:hanging="42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32">
    <w:nsid w:val="1B832576"/>
    <w:multiLevelType w:val="multilevel"/>
    <w:tmpl w:val="1B832576"/>
    <w:lvl w:ilvl="0">
      <w:start w:val="1"/>
      <w:numFmt w:val="decimal"/>
      <w:lvlText w:val="%1)"/>
      <w:lvlJc w:val="left"/>
      <w:pPr>
        <w:ind w:left="880" w:hanging="420"/>
      </w:pPr>
      <w:rPr>
        <w:rFonts w:hint="default"/>
      </w:rPr>
    </w:lvl>
    <w:lvl w:ilvl="1">
      <w:start w:val="1"/>
      <w:numFmt w:val="bullet"/>
      <w:lvlText w:val=""/>
      <w:lvlJc w:val="left"/>
      <w:pPr>
        <w:ind w:left="1300" w:hanging="420"/>
      </w:pPr>
      <w:rPr>
        <w:rFonts w:ascii="Wingdings" w:hAnsi="Wingdings" w:hint="default"/>
      </w:rPr>
    </w:lvl>
    <w:lvl w:ilvl="2">
      <w:start w:val="1"/>
      <w:numFmt w:val="bullet"/>
      <w:lvlText w:val=""/>
      <w:lvlJc w:val="left"/>
      <w:pPr>
        <w:ind w:left="1720" w:hanging="420"/>
      </w:pPr>
      <w:rPr>
        <w:rFonts w:ascii="Wingdings" w:hAnsi="Wingdings" w:hint="default"/>
      </w:rPr>
    </w:lvl>
    <w:lvl w:ilvl="3">
      <w:start w:val="1"/>
      <w:numFmt w:val="bullet"/>
      <w:lvlText w:val=""/>
      <w:lvlJc w:val="left"/>
      <w:pPr>
        <w:ind w:left="2140" w:hanging="420"/>
      </w:pPr>
      <w:rPr>
        <w:rFonts w:ascii="Wingdings" w:hAnsi="Wingdings" w:hint="default"/>
      </w:rPr>
    </w:lvl>
    <w:lvl w:ilvl="4">
      <w:start w:val="1"/>
      <w:numFmt w:val="bullet"/>
      <w:lvlText w:val=""/>
      <w:lvlJc w:val="left"/>
      <w:pPr>
        <w:ind w:left="2560" w:hanging="420"/>
      </w:pPr>
      <w:rPr>
        <w:rFonts w:ascii="Wingdings" w:hAnsi="Wingdings" w:hint="default"/>
      </w:rPr>
    </w:lvl>
    <w:lvl w:ilvl="5">
      <w:start w:val="1"/>
      <w:numFmt w:val="bullet"/>
      <w:lvlText w:val=""/>
      <w:lvlJc w:val="left"/>
      <w:pPr>
        <w:ind w:left="2980" w:hanging="420"/>
      </w:pPr>
      <w:rPr>
        <w:rFonts w:ascii="Wingdings" w:hAnsi="Wingdings" w:hint="default"/>
      </w:rPr>
    </w:lvl>
    <w:lvl w:ilvl="6">
      <w:start w:val="1"/>
      <w:numFmt w:val="bullet"/>
      <w:lvlText w:val=""/>
      <w:lvlJc w:val="left"/>
      <w:pPr>
        <w:ind w:left="3400" w:hanging="420"/>
      </w:pPr>
      <w:rPr>
        <w:rFonts w:ascii="Wingdings" w:hAnsi="Wingdings" w:hint="default"/>
      </w:rPr>
    </w:lvl>
    <w:lvl w:ilvl="7">
      <w:start w:val="1"/>
      <w:numFmt w:val="bullet"/>
      <w:lvlText w:val=""/>
      <w:lvlJc w:val="left"/>
      <w:pPr>
        <w:ind w:left="3820" w:hanging="420"/>
      </w:pPr>
      <w:rPr>
        <w:rFonts w:ascii="Wingdings" w:hAnsi="Wingdings" w:hint="default"/>
      </w:rPr>
    </w:lvl>
    <w:lvl w:ilvl="8">
      <w:start w:val="1"/>
      <w:numFmt w:val="bullet"/>
      <w:lvlText w:val=""/>
      <w:lvlJc w:val="left"/>
      <w:pPr>
        <w:ind w:left="4240" w:hanging="420"/>
      </w:pPr>
      <w:rPr>
        <w:rFonts w:ascii="Wingdings" w:hAnsi="Wingdings" w:hint="default"/>
      </w:rPr>
    </w:lvl>
  </w:abstractNum>
  <w:abstractNum w:abstractNumId="33">
    <w:nsid w:val="1C4C380E"/>
    <w:multiLevelType w:val="multilevel"/>
    <w:tmpl w:val="1C4C380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1C8A1BDA"/>
    <w:multiLevelType w:val="multilevel"/>
    <w:tmpl w:val="1C8A1BDA"/>
    <w:lvl w:ilvl="0">
      <w:start w:val="1"/>
      <w:numFmt w:val="decimal"/>
      <w:lvlText w:val="%1"/>
      <w:lvlJc w:val="left"/>
      <w:pPr>
        <w:ind w:left="420" w:hanging="420"/>
      </w:pPr>
      <w:rPr>
        <w:rFonts w:hint="eastAsia"/>
      </w:rPr>
    </w:lvl>
    <w:lvl w:ilvl="1">
      <w:start w:val="1"/>
      <w:numFmt w:val="decimal"/>
      <w:isLgl/>
      <w:lvlText w:val="%1.%2"/>
      <w:lvlJc w:val="left"/>
      <w:pPr>
        <w:ind w:left="420" w:hanging="420"/>
      </w:pPr>
      <w:rPr>
        <w:rFonts w:hAnsi="Times New Roman" w:hint="default"/>
      </w:rPr>
    </w:lvl>
    <w:lvl w:ilvl="2">
      <w:start w:val="1"/>
      <w:numFmt w:val="decimal"/>
      <w:isLgl/>
      <w:lvlText w:val="%1.%2.%3"/>
      <w:lvlJc w:val="left"/>
      <w:pPr>
        <w:ind w:left="720" w:hanging="720"/>
      </w:pPr>
      <w:rPr>
        <w:rFonts w:hAnsi="Times New Roman" w:hint="default"/>
      </w:rPr>
    </w:lvl>
    <w:lvl w:ilvl="3">
      <w:start w:val="1"/>
      <w:numFmt w:val="decimal"/>
      <w:isLgl/>
      <w:lvlText w:val="%1.%2.%3.%4"/>
      <w:lvlJc w:val="left"/>
      <w:pPr>
        <w:ind w:left="720" w:hanging="720"/>
      </w:pPr>
      <w:rPr>
        <w:rFonts w:hAnsi="Times New Roman" w:hint="default"/>
      </w:rPr>
    </w:lvl>
    <w:lvl w:ilvl="4">
      <w:start w:val="1"/>
      <w:numFmt w:val="decimal"/>
      <w:isLgl/>
      <w:lvlText w:val="%1.%2.%3.%4.%5"/>
      <w:lvlJc w:val="left"/>
      <w:pPr>
        <w:ind w:left="1080" w:hanging="1080"/>
      </w:pPr>
      <w:rPr>
        <w:rFonts w:hAnsi="Times New Roman" w:hint="default"/>
      </w:rPr>
    </w:lvl>
    <w:lvl w:ilvl="5">
      <w:start w:val="1"/>
      <w:numFmt w:val="decimal"/>
      <w:isLgl/>
      <w:lvlText w:val="%1.%2.%3.%4.%5.%6"/>
      <w:lvlJc w:val="left"/>
      <w:pPr>
        <w:ind w:left="1080" w:hanging="1080"/>
      </w:pPr>
      <w:rPr>
        <w:rFonts w:hAnsi="Times New Roman" w:hint="default"/>
      </w:rPr>
    </w:lvl>
    <w:lvl w:ilvl="6">
      <w:start w:val="1"/>
      <w:numFmt w:val="decimal"/>
      <w:isLgl/>
      <w:lvlText w:val="%1.%2.%3.%4.%5.%6.%7"/>
      <w:lvlJc w:val="left"/>
      <w:pPr>
        <w:ind w:left="1440" w:hanging="1440"/>
      </w:pPr>
      <w:rPr>
        <w:rFonts w:hAnsi="Times New Roman" w:hint="default"/>
      </w:rPr>
    </w:lvl>
    <w:lvl w:ilvl="7">
      <w:start w:val="1"/>
      <w:numFmt w:val="decimal"/>
      <w:isLgl/>
      <w:lvlText w:val="%1.%2.%3.%4.%5.%6.%7.%8"/>
      <w:lvlJc w:val="left"/>
      <w:pPr>
        <w:ind w:left="1440" w:hanging="1440"/>
      </w:pPr>
      <w:rPr>
        <w:rFonts w:hAnsi="Times New Roman" w:hint="default"/>
      </w:rPr>
    </w:lvl>
    <w:lvl w:ilvl="8">
      <w:start w:val="1"/>
      <w:numFmt w:val="decimal"/>
      <w:isLgl/>
      <w:lvlText w:val="%1.%2.%3.%4.%5.%6.%7.%8.%9"/>
      <w:lvlJc w:val="left"/>
      <w:pPr>
        <w:ind w:left="1800" w:hanging="1800"/>
      </w:pPr>
      <w:rPr>
        <w:rFonts w:hAnsi="Times New Roman" w:hint="default"/>
      </w:rPr>
    </w:lvl>
  </w:abstractNum>
  <w:abstractNum w:abstractNumId="35">
    <w:nsid w:val="1C92517D"/>
    <w:multiLevelType w:val="multilevel"/>
    <w:tmpl w:val="1C92517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1CDA150D"/>
    <w:multiLevelType w:val="multilevel"/>
    <w:tmpl w:val="1CDA150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7">
    <w:nsid w:val="1CE66D90"/>
    <w:multiLevelType w:val="multilevel"/>
    <w:tmpl w:val="1CE66D90"/>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8">
    <w:nsid w:val="1D0046E1"/>
    <w:multiLevelType w:val="multilevel"/>
    <w:tmpl w:val="1D0046E1"/>
    <w:lvl w:ilvl="0">
      <w:start w:val="1"/>
      <w:numFmt w:val="decimal"/>
      <w:lvlText w:val="6.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1D272728"/>
    <w:multiLevelType w:val="multilevel"/>
    <w:tmpl w:val="1D27272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0">
    <w:nsid w:val="1D2C6ADE"/>
    <w:multiLevelType w:val="multilevel"/>
    <w:tmpl w:val="1D2C6ADE"/>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1">
    <w:nsid w:val="1D434B78"/>
    <w:multiLevelType w:val="multilevel"/>
    <w:tmpl w:val="1D434B7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1E321201"/>
    <w:multiLevelType w:val="multilevel"/>
    <w:tmpl w:val="1E32120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1EEB5CD4"/>
    <w:multiLevelType w:val="multilevel"/>
    <w:tmpl w:val="1EEB5CD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2071494D"/>
    <w:multiLevelType w:val="multilevel"/>
    <w:tmpl w:val="2071494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213806AA"/>
    <w:multiLevelType w:val="multilevel"/>
    <w:tmpl w:val="213806AA"/>
    <w:lvl w:ilvl="0">
      <w:start w:val="1"/>
      <w:numFmt w:val="decimal"/>
      <w:lvlText w:val="7.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2155702B"/>
    <w:multiLevelType w:val="multilevel"/>
    <w:tmpl w:val="2155702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21754FF6"/>
    <w:multiLevelType w:val="multilevel"/>
    <w:tmpl w:val="21754FF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223F056F"/>
    <w:multiLevelType w:val="multilevel"/>
    <w:tmpl w:val="223F056F"/>
    <w:lvl w:ilvl="0">
      <w:start w:val="1"/>
      <w:numFmt w:val="decimal"/>
      <w:lvlText w:val="5.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235660ED"/>
    <w:multiLevelType w:val="multilevel"/>
    <w:tmpl w:val="235660ED"/>
    <w:lvl w:ilvl="0">
      <w:start w:val="1"/>
      <w:numFmt w:val="decimal"/>
      <w:lvlText w:val="%1)"/>
      <w:lvlJc w:val="left"/>
      <w:pPr>
        <w:ind w:left="880" w:hanging="420"/>
      </w:p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50">
    <w:nsid w:val="238279CF"/>
    <w:multiLevelType w:val="multilevel"/>
    <w:tmpl w:val="238279CF"/>
    <w:lvl w:ilvl="0">
      <w:start w:val="1"/>
      <w:numFmt w:val="decimal"/>
      <w:lvlText w:val="7.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238C6F96"/>
    <w:multiLevelType w:val="multilevel"/>
    <w:tmpl w:val="238C6F96"/>
    <w:lvl w:ilvl="0">
      <w:start w:val="1"/>
      <w:numFmt w:val="decimal"/>
      <w:lvlText w:val="8.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23A765F3"/>
    <w:multiLevelType w:val="multilevel"/>
    <w:tmpl w:val="23A765F3"/>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3">
    <w:nsid w:val="245223D9"/>
    <w:multiLevelType w:val="multilevel"/>
    <w:tmpl w:val="245223D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24522928"/>
    <w:multiLevelType w:val="multilevel"/>
    <w:tmpl w:val="24522928"/>
    <w:lvl w:ilvl="0">
      <w:start w:val="1"/>
      <w:numFmt w:val="decimal"/>
      <w:lvlText w:val="5.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24DC4F5F"/>
    <w:multiLevelType w:val="multilevel"/>
    <w:tmpl w:val="24DC4F5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6">
    <w:nsid w:val="26955375"/>
    <w:multiLevelType w:val="multilevel"/>
    <w:tmpl w:val="2695537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7">
    <w:nsid w:val="26F53496"/>
    <w:multiLevelType w:val="multilevel"/>
    <w:tmpl w:val="26F5349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27977CE6"/>
    <w:multiLevelType w:val="multilevel"/>
    <w:tmpl w:val="27977CE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27F81345"/>
    <w:multiLevelType w:val="multilevel"/>
    <w:tmpl w:val="27F8134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0">
    <w:nsid w:val="282140F7"/>
    <w:multiLevelType w:val="multilevel"/>
    <w:tmpl w:val="282140F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2973538F"/>
    <w:multiLevelType w:val="multilevel"/>
    <w:tmpl w:val="2973538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29B957A7"/>
    <w:multiLevelType w:val="multilevel"/>
    <w:tmpl w:val="29B957A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3">
    <w:nsid w:val="2AC63484"/>
    <w:multiLevelType w:val="multilevel"/>
    <w:tmpl w:val="2AC6348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2B2B4282"/>
    <w:multiLevelType w:val="multilevel"/>
    <w:tmpl w:val="2B2B4282"/>
    <w:lvl w:ilvl="0">
      <w:start w:val="1"/>
      <w:numFmt w:val="decimal"/>
      <w:lvlText w:val="5.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2BDC4C94"/>
    <w:multiLevelType w:val="multilevel"/>
    <w:tmpl w:val="2BDC4C94"/>
    <w:lvl w:ilvl="0">
      <w:start w:val="1"/>
      <w:numFmt w:val="decimal"/>
      <w:lvlText w:val="7.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2CE51B23"/>
    <w:multiLevelType w:val="multilevel"/>
    <w:tmpl w:val="2CE51B23"/>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2CFE4A65"/>
    <w:multiLevelType w:val="multilevel"/>
    <w:tmpl w:val="2CFE4A65"/>
    <w:lvl w:ilvl="0">
      <w:start w:val="1"/>
      <w:numFmt w:val="decimal"/>
      <w:lvlText w:val="6.2.%1"/>
      <w:lvlJc w:val="left"/>
      <w:pPr>
        <w:ind w:left="562" w:hanging="420"/>
      </w:pPr>
      <w:rPr>
        <w:rFonts w:hint="eastAsia"/>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68">
    <w:nsid w:val="2D0B3FCA"/>
    <w:multiLevelType w:val="multilevel"/>
    <w:tmpl w:val="2D0B3FC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9">
    <w:nsid w:val="2D2173EC"/>
    <w:multiLevelType w:val="multilevel"/>
    <w:tmpl w:val="2D2173E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0">
    <w:nsid w:val="2D7D4212"/>
    <w:multiLevelType w:val="multilevel"/>
    <w:tmpl w:val="2D7D4212"/>
    <w:lvl w:ilvl="0">
      <w:start w:val="1"/>
      <w:numFmt w:val="decimal"/>
      <w:lvlText w:val="%1)"/>
      <w:lvlJc w:val="left"/>
      <w:pPr>
        <w:ind w:left="880" w:hanging="420"/>
      </w:p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71">
    <w:nsid w:val="2D984D52"/>
    <w:multiLevelType w:val="multilevel"/>
    <w:tmpl w:val="2D984D5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2DA95EA7"/>
    <w:multiLevelType w:val="multilevel"/>
    <w:tmpl w:val="2DA95E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2E2D421C"/>
    <w:multiLevelType w:val="multilevel"/>
    <w:tmpl w:val="2E2D421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4">
    <w:nsid w:val="30323DB5"/>
    <w:multiLevelType w:val="multilevel"/>
    <w:tmpl w:val="30323DB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5">
    <w:nsid w:val="319435E0"/>
    <w:multiLevelType w:val="multilevel"/>
    <w:tmpl w:val="319435E0"/>
    <w:lvl w:ilvl="0">
      <w:start w:val="1"/>
      <w:numFmt w:val="decimal"/>
      <w:lvlText w:val="%1)"/>
      <w:lvlJc w:val="left"/>
      <w:pPr>
        <w:ind w:left="880" w:hanging="420"/>
      </w:pPr>
      <w:rPr>
        <w:rFonts w:hint="default"/>
      </w:rPr>
    </w:lvl>
    <w:lvl w:ilvl="1">
      <w:start w:val="1"/>
      <w:numFmt w:val="bullet"/>
      <w:lvlText w:val=""/>
      <w:lvlJc w:val="left"/>
      <w:pPr>
        <w:ind w:left="1300" w:hanging="420"/>
      </w:pPr>
      <w:rPr>
        <w:rFonts w:ascii="Wingdings" w:hAnsi="Wingdings" w:hint="default"/>
      </w:rPr>
    </w:lvl>
    <w:lvl w:ilvl="2">
      <w:start w:val="1"/>
      <w:numFmt w:val="bullet"/>
      <w:lvlText w:val=""/>
      <w:lvlJc w:val="left"/>
      <w:pPr>
        <w:ind w:left="1720" w:hanging="420"/>
      </w:pPr>
      <w:rPr>
        <w:rFonts w:ascii="Wingdings" w:hAnsi="Wingdings" w:hint="default"/>
      </w:rPr>
    </w:lvl>
    <w:lvl w:ilvl="3">
      <w:start w:val="1"/>
      <w:numFmt w:val="bullet"/>
      <w:lvlText w:val=""/>
      <w:lvlJc w:val="left"/>
      <w:pPr>
        <w:ind w:left="2140" w:hanging="420"/>
      </w:pPr>
      <w:rPr>
        <w:rFonts w:ascii="Wingdings" w:hAnsi="Wingdings" w:hint="default"/>
      </w:rPr>
    </w:lvl>
    <w:lvl w:ilvl="4">
      <w:start w:val="1"/>
      <w:numFmt w:val="bullet"/>
      <w:lvlText w:val=""/>
      <w:lvlJc w:val="left"/>
      <w:pPr>
        <w:ind w:left="2560" w:hanging="420"/>
      </w:pPr>
      <w:rPr>
        <w:rFonts w:ascii="Wingdings" w:hAnsi="Wingdings" w:hint="default"/>
      </w:rPr>
    </w:lvl>
    <w:lvl w:ilvl="5">
      <w:start w:val="1"/>
      <w:numFmt w:val="bullet"/>
      <w:lvlText w:val=""/>
      <w:lvlJc w:val="left"/>
      <w:pPr>
        <w:ind w:left="2980" w:hanging="420"/>
      </w:pPr>
      <w:rPr>
        <w:rFonts w:ascii="Wingdings" w:hAnsi="Wingdings" w:hint="default"/>
      </w:rPr>
    </w:lvl>
    <w:lvl w:ilvl="6">
      <w:start w:val="1"/>
      <w:numFmt w:val="bullet"/>
      <w:lvlText w:val=""/>
      <w:lvlJc w:val="left"/>
      <w:pPr>
        <w:ind w:left="3400" w:hanging="420"/>
      </w:pPr>
      <w:rPr>
        <w:rFonts w:ascii="Wingdings" w:hAnsi="Wingdings" w:hint="default"/>
      </w:rPr>
    </w:lvl>
    <w:lvl w:ilvl="7">
      <w:start w:val="1"/>
      <w:numFmt w:val="bullet"/>
      <w:lvlText w:val=""/>
      <w:lvlJc w:val="left"/>
      <w:pPr>
        <w:ind w:left="3820" w:hanging="420"/>
      </w:pPr>
      <w:rPr>
        <w:rFonts w:ascii="Wingdings" w:hAnsi="Wingdings" w:hint="default"/>
      </w:rPr>
    </w:lvl>
    <w:lvl w:ilvl="8">
      <w:start w:val="1"/>
      <w:numFmt w:val="bullet"/>
      <w:lvlText w:val=""/>
      <w:lvlJc w:val="left"/>
      <w:pPr>
        <w:ind w:left="4240" w:hanging="420"/>
      </w:pPr>
      <w:rPr>
        <w:rFonts w:ascii="Wingdings" w:hAnsi="Wingdings" w:hint="default"/>
      </w:rPr>
    </w:lvl>
  </w:abstractNum>
  <w:abstractNum w:abstractNumId="76">
    <w:nsid w:val="322B656F"/>
    <w:multiLevelType w:val="multilevel"/>
    <w:tmpl w:val="322B656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nsid w:val="323C544F"/>
    <w:multiLevelType w:val="multilevel"/>
    <w:tmpl w:val="323C544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8">
    <w:nsid w:val="337D0D39"/>
    <w:multiLevelType w:val="multilevel"/>
    <w:tmpl w:val="337D0D39"/>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9">
    <w:nsid w:val="340A0F52"/>
    <w:multiLevelType w:val="multilevel"/>
    <w:tmpl w:val="340A0F52"/>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0">
    <w:nsid w:val="34E26D0E"/>
    <w:multiLevelType w:val="multilevel"/>
    <w:tmpl w:val="34E26D0E"/>
    <w:lvl w:ilvl="0">
      <w:start w:val="1"/>
      <w:numFmt w:val="decimal"/>
      <w:lvlText w:val="5.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nsid w:val="35DB4C23"/>
    <w:multiLevelType w:val="multilevel"/>
    <w:tmpl w:val="35DB4C23"/>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360C3035"/>
    <w:multiLevelType w:val="multilevel"/>
    <w:tmpl w:val="360C303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3">
    <w:nsid w:val="36692245"/>
    <w:multiLevelType w:val="multilevel"/>
    <w:tmpl w:val="36692245"/>
    <w:lvl w:ilvl="0">
      <w:start w:val="1"/>
      <w:numFmt w:val="decimal"/>
      <w:lvlText w:val="%1)"/>
      <w:lvlJc w:val="left"/>
      <w:pPr>
        <w:ind w:left="880" w:hanging="420"/>
      </w:pPr>
      <w:rPr>
        <w:rFonts w:hint="default"/>
      </w:rPr>
    </w:lvl>
    <w:lvl w:ilvl="1">
      <w:start w:val="1"/>
      <w:numFmt w:val="bullet"/>
      <w:lvlText w:val=""/>
      <w:lvlJc w:val="left"/>
      <w:pPr>
        <w:ind w:left="1300" w:hanging="420"/>
      </w:pPr>
      <w:rPr>
        <w:rFonts w:ascii="Wingdings" w:hAnsi="Wingdings" w:hint="default"/>
      </w:rPr>
    </w:lvl>
    <w:lvl w:ilvl="2">
      <w:start w:val="1"/>
      <w:numFmt w:val="bullet"/>
      <w:lvlText w:val=""/>
      <w:lvlJc w:val="left"/>
      <w:pPr>
        <w:ind w:left="1720" w:hanging="420"/>
      </w:pPr>
      <w:rPr>
        <w:rFonts w:ascii="Wingdings" w:hAnsi="Wingdings" w:hint="default"/>
      </w:rPr>
    </w:lvl>
    <w:lvl w:ilvl="3">
      <w:start w:val="1"/>
      <w:numFmt w:val="bullet"/>
      <w:lvlText w:val=""/>
      <w:lvlJc w:val="left"/>
      <w:pPr>
        <w:ind w:left="2140" w:hanging="420"/>
      </w:pPr>
      <w:rPr>
        <w:rFonts w:ascii="Wingdings" w:hAnsi="Wingdings" w:hint="default"/>
      </w:rPr>
    </w:lvl>
    <w:lvl w:ilvl="4">
      <w:start w:val="1"/>
      <w:numFmt w:val="bullet"/>
      <w:lvlText w:val=""/>
      <w:lvlJc w:val="left"/>
      <w:pPr>
        <w:ind w:left="2560" w:hanging="420"/>
      </w:pPr>
      <w:rPr>
        <w:rFonts w:ascii="Wingdings" w:hAnsi="Wingdings" w:hint="default"/>
      </w:rPr>
    </w:lvl>
    <w:lvl w:ilvl="5">
      <w:start w:val="1"/>
      <w:numFmt w:val="bullet"/>
      <w:lvlText w:val=""/>
      <w:lvlJc w:val="left"/>
      <w:pPr>
        <w:ind w:left="2980" w:hanging="420"/>
      </w:pPr>
      <w:rPr>
        <w:rFonts w:ascii="Wingdings" w:hAnsi="Wingdings" w:hint="default"/>
      </w:rPr>
    </w:lvl>
    <w:lvl w:ilvl="6">
      <w:start w:val="1"/>
      <w:numFmt w:val="bullet"/>
      <w:lvlText w:val=""/>
      <w:lvlJc w:val="left"/>
      <w:pPr>
        <w:ind w:left="3400" w:hanging="420"/>
      </w:pPr>
      <w:rPr>
        <w:rFonts w:ascii="Wingdings" w:hAnsi="Wingdings" w:hint="default"/>
      </w:rPr>
    </w:lvl>
    <w:lvl w:ilvl="7">
      <w:start w:val="1"/>
      <w:numFmt w:val="bullet"/>
      <w:lvlText w:val=""/>
      <w:lvlJc w:val="left"/>
      <w:pPr>
        <w:ind w:left="3820" w:hanging="420"/>
      </w:pPr>
      <w:rPr>
        <w:rFonts w:ascii="Wingdings" w:hAnsi="Wingdings" w:hint="default"/>
      </w:rPr>
    </w:lvl>
    <w:lvl w:ilvl="8">
      <w:start w:val="1"/>
      <w:numFmt w:val="bullet"/>
      <w:lvlText w:val=""/>
      <w:lvlJc w:val="left"/>
      <w:pPr>
        <w:ind w:left="4240" w:hanging="420"/>
      </w:pPr>
      <w:rPr>
        <w:rFonts w:ascii="Wingdings" w:hAnsi="Wingdings" w:hint="default"/>
      </w:rPr>
    </w:lvl>
  </w:abstractNum>
  <w:abstractNum w:abstractNumId="84">
    <w:nsid w:val="376C6470"/>
    <w:multiLevelType w:val="multilevel"/>
    <w:tmpl w:val="376C647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nsid w:val="3787780C"/>
    <w:multiLevelType w:val="multilevel"/>
    <w:tmpl w:val="3787780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nsid w:val="37946159"/>
    <w:multiLevelType w:val="multilevel"/>
    <w:tmpl w:val="37946159"/>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7">
    <w:nsid w:val="384B4BA7"/>
    <w:multiLevelType w:val="multilevel"/>
    <w:tmpl w:val="384B4BA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8">
    <w:nsid w:val="38E2755D"/>
    <w:multiLevelType w:val="multilevel"/>
    <w:tmpl w:val="38E2755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nsid w:val="392A3189"/>
    <w:multiLevelType w:val="multilevel"/>
    <w:tmpl w:val="392A318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3BA26D60"/>
    <w:multiLevelType w:val="multilevel"/>
    <w:tmpl w:val="3BA26D6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nsid w:val="3BFB4BF9"/>
    <w:multiLevelType w:val="multilevel"/>
    <w:tmpl w:val="3BFB4BF9"/>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2">
    <w:nsid w:val="3C1115E5"/>
    <w:multiLevelType w:val="multilevel"/>
    <w:tmpl w:val="3C1115E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nsid w:val="3D081A4A"/>
    <w:multiLevelType w:val="multilevel"/>
    <w:tmpl w:val="3D081A4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4">
    <w:nsid w:val="3DA11572"/>
    <w:multiLevelType w:val="multilevel"/>
    <w:tmpl w:val="3DA1157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nsid w:val="41F81904"/>
    <w:multiLevelType w:val="multilevel"/>
    <w:tmpl w:val="41F8190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nsid w:val="44215E6F"/>
    <w:multiLevelType w:val="multilevel"/>
    <w:tmpl w:val="44215E6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7">
    <w:nsid w:val="44E13924"/>
    <w:multiLevelType w:val="multilevel"/>
    <w:tmpl w:val="44E1392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nsid w:val="468F1ECD"/>
    <w:multiLevelType w:val="multilevel"/>
    <w:tmpl w:val="468F1EC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9">
    <w:nsid w:val="46A57AB4"/>
    <w:multiLevelType w:val="multilevel"/>
    <w:tmpl w:val="46A57AB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nsid w:val="46DA50CA"/>
    <w:multiLevelType w:val="multilevel"/>
    <w:tmpl w:val="46DA50C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nsid w:val="47221647"/>
    <w:multiLevelType w:val="multilevel"/>
    <w:tmpl w:val="47221647"/>
    <w:lvl w:ilvl="0">
      <w:start w:val="1"/>
      <w:numFmt w:val="decimal"/>
      <w:lvlText w:val="%1)"/>
      <w:lvlJc w:val="left"/>
      <w:pPr>
        <w:ind w:left="880" w:hanging="420"/>
      </w:pPr>
      <w:rPr>
        <w:rFonts w:hint="default"/>
      </w:rPr>
    </w:lvl>
    <w:lvl w:ilvl="1">
      <w:start w:val="1"/>
      <w:numFmt w:val="bullet"/>
      <w:lvlText w:val=""/>
      <w:lvlJc w:val="left"/>
      <w:pPr>
        <w:ind w:left="1300" w:hanging="420"/>
      </w:pPr>
      <w:rPr>
        <w:rFonts w:ascii="Wingdings" w:hAnsi="Wingdings" w:hint="default"/>
      </w:rPr>
    </w:lvl>
    <w:lvl w:ilvl="2">
      <w:start w:val="1"/>
      <w:numFmt w:val="bullet"/>
      <w:lvlText w:val=""/>
      <w:lvlJc w:val="left"/>
      <w:pPr>
        <w:ind w:left="1720" w:hanging="420"/>
      </w:pPr>
      <w:rPr>
        <w:rFonts w:ascii="Wingdings" w:hAnsi="Wingdings" w:hint="default"/>
      </w:rPr>
    </w:lvl>
    <w:lvl w:ilvl="3">
      <w:start w:val="1"/>
      <w:numFmt w:val="bullet"/>
      <w:lvlText w:val=""/>
      <w:lvlJc w:val="left"/>
      <w:pPr>
        <w:ind w:left="2140" w:hanging="420"/>
      </w:pPr>
      <w:rPr>
        <w:rFonts w:ascii="Wingdings" w:hAnsi="Wingdings" w:hint="default"/>
      </w:rPr>
    </w:lvl>
    <w:lvl w:ilvl="4">
      <w:start w:val="1"/>
      <w:numFmt w:val="bullet"/>
      <w:lvlText w:val=""/>
      <w:lvlJc w:val="left"/>
      <w:pPr>
        <w:ind w:left="2560" w:hanging="420"/>
      </w:pPr>
      <w:rPr>
        <w:rFonts w:ascii="Wingdings" w:hAnsi="Wingdings" w:hint="default"/>
      </w:rPr>
    </w:lvl>
    <w:lvl w:ilvl="5">
      <w:start w:val="1"/>
      <w:numFmt w:val="bullet"/>
      <w:lvlText w:val=""/>
      <w:lvlJc w:val="left"/>
      <w:pPr>
        <w:ind w:left="2980" w:hanging="420"/>
      </w:pPr>
      <w:rPr>
        <w:rFonts w:ascii="Wingdings" w:hAnsi="Wingdings" w:hint="default"/>
      </w:rPr>
    </w:lvl>
    <w:lvl w:ilvl="6">
      <w:start w:val="1"/>
      <w:numFmt w:val="bullet"/>
      <w:lvlText w:val=""/>
      <w:lvlJc w:val="left"/>
      <w:pPr>
        <w:ind w:left="3400" w:hanging="420"/>
      </w:pPr>
      <w:rPr>
        <w:rFonts w:ascii="Wingdings" w:hAnsi="Wingdings" w:hint="default"/>
      </w:rPr>
    </w:lvl>
    <w:lvl w:ilvl="7">
      <w:start w:val="1"/>
      <w:numFmt w:val="bullet"/>
      <w:lvlText w:val=""/>
      <w:lvlJc w:val="left"/>
      <w:pPr>
        <w:ind w:left="3820" w:hanging="420"/>
      </w:pPr>
      <w:rPr>
        <w:rFonts w:ascii="Wingdings" w:hAnsi="Wingdings" w:hint="default"/>
      </w:rPr>
    </w:lvl>
    <w:lvl w:ilvl="8">
      <w:start w:val="1"/>
      <w:numFmt w:val="bullet"/>
      <w:lvlText w:val=""/>
      <w:lvlJc w:val="left"/>
      <w:pPr>
        <w:ind w:left="4240" w:hanging="420"/>
      </w:pPr>
      <w:rPr>
        <w:rFonts w:ascii="Wingdings" w:hAnsi="Wingdings" w:hint="default"/>
      </w:rPr>
    </w:lvl>
  </w:abstractNum>
  <w:abstractNum w:abstractNumId="102">
    <w:nsid w:val="479F5FED"/>
    <w:multiLevelType w:val="multilevel"/>
    <w:tmpl w:val="479F5FE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3">
    <w:nsid w:val="47DC7A1E"/>
    <w:multiLevelType w:val="multilevel"/>
    <w:tmpl w:val="47DC7A1E"/>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4">
    <w:nsid w:val="47EF6AC5"/>
    <w:multiLevelType w:val="multilevel"/>
    <w:tmpl w:val="47EF6AC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nsid w:val="494819AB"/>
    <w:multiLevelType w:val="multilevel"/>
    <w:tmpl w:val="494819AB"/>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6">
    <w:nsid w:val="498256B0"/>
    <w:multiLevelType w:val="multilevel"/>
    <w:tmpl w:val="498256B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nsid w:val="4A5969AD"/>
    <w:multiLevelType w:val="multilevel"/>
    <w:tmpl w:val="4A5969A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nsid w:val="4AEE42D8"/>
    <w:multiLevelType w:val="multilevel"/>
    <w:tmpl w:val="4AEE42D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9">
    <w:nsid w:val="4B357119"/>
    <w:multiLevelType w:val="multilevel"/>
    <w:tmpl w:val="4B357119"/>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0">
    <w:nsid w:val="4C536207"/>
    <w:multiLevelType w:val="multilevel"/>
    <w:tmpl w:val="4C53620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1">
    <w:nsid w:val="4C7C6B34"/>
    <w:multiLevelType w:val="multilevel"/>
    <w:tmpl w:val="4C7C6B34"/>
    <w:lvl w:ilvl="0">
      <w:start w:val="1"/>
      <w:numFmt w:val="decimal"/>
      <w:lvlText w:val="%1)"/>
      <w:lvlJc w:val="left"/>
      <w:pPr>
        <w:ind w:left="1600" w:hanging="420"/>
      </w:pPr>
      <w:rPr>
        <w:rFonts w:hint="default"/>
      </w:rPr>
    </w:lvl>
    <w:lvl w:ilvl="1">
      <w:start w:val="1"/>
      <w:numFmt w:val="bullet"/>
      <w:lvlText w:val=""/>
      <w:lvlJc w:val="left"/>
      <w:pPr>
        <w:ind w:left="2020" w:hanging="420"/>
      </w:pPr>
      <w:rPr>
        <w:rFonts w:ascii="Wingdings" w:hAnsi="Wingdings" w:hint="default"/>
      </w:rPr>
    </w:lvl>
    <w:lvl w:ilvl="2">
      <w:start w:val="1"/>
      <w:numFmt w:val="bullet"/>
      <w:lvlText w:val=""/>
      <w:lvlJc w:val="left"/>
      <w:pPr>
        <w:ind w:left="2440" w:hanging="420"/>
      </w:pPr>
      <w:rPr>
        <w:rFonts w:ascii="Wingdings" w:hAnsi="Wingdings" w:hint="default"/>
      </w:rPr>
    </w:lvl>
    <w:lvl w:ilvl="3">
      <w:start w:val="1"/>
      <w:numFmt w:val="bullet"/>
      <w:lvlText w:val=""/>
      <w:lvlJc w:val="left"/>
      <w:pPr>
        <w:ind w:left="2860" w:hanging="420"/>
      </w:pPr>
      <w:rPr>
        <w:rFonts w:ascii="Wingdings" w:hAnsi="Wingdings" w:hint="default"/>
      </w:rPr>
    </w:lvl>
    <w:lvl w:ilvl="4">
      <w:start w:val="1"/>
      <w:numFmt w:val="bullet"/>
      <w:lvlText w:val=""/>
      <w:lvlJc w:val="left"/>
      <w:pPr>
        <w:ind w:left="3280" w:hanging="420"/>
      </w:pPr>
      <w:rPr>
        <w:rFonts w:ascii="Wingdings" w:hAnsi="Wingdings" w:hint="default"/>
      </w:rPr>
    </w:lvl>
    <w:lvl w:ilvl="5">
      <w:start w:val="1"/>
      <w:numFmt w:val="bullet"/>
      <w:lvlText w:val=""/>
      <w:lvlJc w:val="left"/>
      <w:pPr>
        <w:ind w:left="3700" w:hanging="420"/>
      </w:pPr>
      <w:rPr>
        <w:rFonts w:ascii="Wingdings" w:hAnsi="Wingdings" w:hint="default"/>
      </w:rPr>
    </w:lvl>
    <w:lvl w:ilvl="6">
      <w:start w:val="1"/>
      <w:numFmt w:val="bullet"/>
      <w:lvlText w:val=""/>
      <w:lvlJc w:val="left"/>
      <w:pPr>
        <w:ind w:left="4120" w:hanging="420"/>
      </w:pPr>
      <w:rPr>
        <w:rFonts w:ascii="Wingdings" w:hAnsi="Wingdings" w:hint="default"/>
      </w:rPr>
    </w:lvl>
    <w:lvl w:ilvl="7">
      <w:start w:val="1"/>
      <w:numFmt w:val="bullet"/>
      <w:lvlText w:val=""/>
      <w:lvlJc w:val="left"/>
      <w:pPr>
        <w:ind w:left="4540" w:hanging="420"/>
      </w:pPr>
      <w:rPr>
        <w:rFonts w:ascii="Wingdings" w:hAnsi="Wingdings" w:hint="default"/>
      </w:rPr>
    </w:lvl>
    <w:lvl w:ilvl="8">
      <w:start w:val="1"/>
      <w:numFmt w:val="bullet"/>
      <w:lvlText w:val=""/>
      <w:lvlJc w:val="left"/>
      <w:pPr>
        <w:ind w:left="4960" w:hanging="420"/>
      </w:pPr>
      <w:rPr>
        <w:rFonts w:ascii="Wingdings" w:hAnsi="Wingdings" w:hint="default"/>
      </w:rPr>
    </w:lvl>
  </w:abstractNum>
  <w:abstractNum w:abstractNumId="112">
    <w:nsid w:val="4C94112E"/>
    <w:multiLevelType w:val="multilevel"/>
    <w:tmpl w:val="4C94112E"/>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nsid w:val="4D306FDD"/>
    <w:multiLevelType w:val="multilevel"/>
    <w:tmpl w:val="4D306FDD"/>
    <w:lvl w:ilvl="0">
      <w:start w:val="1"/>
      <w:numFmt w:val="decimal"/>
      <w:lvlText w:val="6.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nsid w:val="4D5E6574"/>
    <w:multiLevelType w:val="multilevel"/>
    <w:tmpl w:val="4D5E657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nsid w:val="4DA920F0"/>
    <w:multiLevelType w:val="multilevel"/>
    <w:tmpl w:val="4DA920F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nsid w:val="4E0C588B"/>
    <w:multiLevelType w:val="multilevel"/>
    <w:tmpl w:val="4E0C588B"/>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7">
    <w:nsid w:val="4E205949"/>
    <w:multiLevelType w:val="multilevel"/>
    <w:tmpl w:val="4E20594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nsid w:val="4E2D6B93"/>
    <w:multiLevelType w:val="multilevel"/>
    <w:tmpl w:val="4E2D6B93"/>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9">
    <w:nsid w:val="4E73680D"/>
    <w:multiLevelType w:val="multilevel"/>
    <w:tmpl w:val="4E73680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nsid w:val="4EDE4FA8"/>
    <w:multiLevelType w:val="multilevel"/>
    <w:tmpl w:val="4EDE4FA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nsid w:val="4EEB534F"/>
    <w:multiLevelType w:val="multilevel"/>
    <w:tmpl w:val="4EEB534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nsid w:val="506F7E1D"/>
    <w:multiLevelType w:val="multilevel"/>
    <w:tmpl w:val="506F7E1D"/>
    <w:lvl w:ilvl="0">
      <w:start w:val="1"/>
      <w:numFmt w:val="decimal"/>
      <w:lvlText w:val="7.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nsid w:val="50F20E50"/>
    <w:multiLevelType w:val="multilevel"/>
    <w:tmpl w:val="50F20E5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nsid w:val="51C1297D"/>
    <w:multiLevelType w:val="multilevel"/>
    <w:tmpl w:val="51C1297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5">
    <w:nsid w:val="52610924"/>
    <w:multiLevelType w:val="multilevel"/>
    <w:tmpl w:val="52610924"/>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nsid w:val="533C591A"/>
    <w:multiLevelType w:val="multilevel"/>
    <w:tmpl w:val="533C591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7">
    <w:nsid w:val="54406AAF"/>
    <w:multiLevelType w:val="multilevel"/>
    <w:tmpl w:val="54406AA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8">
    <w:nsid w:val="54C13D5A"/>
    <w:multiLevelType w:val="multilevel"/>
    <w:tmpl w:val="54C13D5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9">
    <w:nsid w:val="55B70C3D"/>
    <w:multiLevelType w:val="multilevel"/>
    <w:tmpl w:val="55B70C3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0">
    <w:nsid w:val="57034924"/>
    <w:multiLevelType w:val="multilevel"/>
    <w:tmpl w:val="5703492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1">
    <w:nsid w:val="57791195"/>
    <w:multiLevelType w:val="multilevel"/>
    <w:tmpl w:val="5779119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nsid w:val="579D5922"/>
    <w:multiLevelType w:val="multilevel"/>
    <w:tmpl w:val="579D5922"/>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3">
    <w:nsid w:val="5862005D"/>
    <w:multiLevelType w:val="multilevel"/>
    <w:tmpl w:val="5862005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4">
    <w:nsid w:val="5A2802F8"/>
    <w:multiLevelType w:val="multilevel"/>
    <w:tmpl w:val="5A2802F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5">
    <w:nsid w:val="5A9D7B28"/>
    <w:multiLevelType w:val="multilevel"/>
    <w:tmpl w:val="5A9D7B2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6">
    <w:nsid w:val="5B3A7EF0"/>
    <w:multiLevelType w:val="multilevel"/>
    <w:tmpl w:val="5B3A7EF0"/>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7">
    <w:nsid w:val="5BB5003C"/>
    <w:multiLevelType w:val="multilevel"/>
    <w:tmpl w:val="5BB5003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8">
    <w:nsid w:val="5D1F2D2D"/>
    <w:multiLevelType w:val="multilevel"/>
    <w:tmpl w:val="5D1F2D2D"/>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9">
    <w:nsid w:val="5E15102D"/>
    <w:multiLevelType w:val="multilevel"/>
    <w:tmpl w:val="5E15102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0">
    <w:nsid w:val="5E510294"/>
    <w:multiLevelType w:val="multilevel"/>
    <w:tmpl w:val="5E510294"/>
    <w:lvl w:ilvl="0">
      <w:start w:val="1"/>
      <w:numFmt w:val="decimal"/>
      <w:lvlText w:val="%1)"/>
      <w:lvlJc w:val="left"/>
      <w:pPr>
        <w:ind w:left="1140" w:hanging="420"/>
      </w:pPr>
      <w:rPr>
        <w:rFonts w:hint="default"/>
      </w:rPr>
    </w:lvl>
    <w:lvl w:ilvl="1">
      <w:start w:val="1"/>
      <w:numFmt w:val="bullet"/>
      <w:lvlText w:val=""/>
      <w:lvlJc w:val="left"/>
      <w:pPr>
        <w:ind w:left="1560" w:hanging="420"/>
      </w:pPr>
      <w:rPr>
        <w:rFonts w:ascii="Wingdings" w:hAnsi="Wingdings" w:hint="default"/>
      </w:rPr>
    </w:lvl>
    <w:lvl w:ilvl="2">
      <w:start w:val="1"/>
      <w:numFmt w:val="bullet"/>
      <w:lvlText w:val=""/>
      <w:lvlJc w:val="left"/>
      <w:pPr>
        <w:ind w:left="1980" w:hanging="420"/>
      </w:pPr>
      <w:rPr>
        <w:rFonts w:ascii="Wingdings" w:hAnsi="Wingdings" w:hint="default"/>
      </w:rPr>
    </w:lvl>
    <w:lvl w:ilvl="3">
      <w:start w:val="1"/>
      <w:numFmt w:val="bullet"/>
      <w:lvlText w:val=""/>
      <w:lvlJc w:val="left"/>
      <w:pPr>
        <w:ind w:left="2400" w:hanging="420"/>
      </w:pPr>
      <w:rPr>
        <w:rFonts w:ascii="Wingdings" w:hAnsi="Wingdings" w:hint="default"/>
      </w:rPr>
    </w:lvl>
    <w:lvl w:ilvl="4">
      <w:start w:val="1"/>
      <w:numFmt w:val="bullet"/>
      <w:lvlText w:val=""/>
      <w:lvlJc w:val="left"/>
      <w:pPr>
        <w:ind w:left="2820" w:hanging="420"/>
      </w:pPr>
      <w:rPr>
        <w:rFonts w:ascii="Wingdings" w:hAnsi="Wingdings" w:hint="default"/>
      </w:rPr>
    </w:lvl>
    <w:lvl w:ilvl="5">
      <w:start w:val="1"/>
      <w:numFmt w:val="bullet"/>
      <w:lvlText w:val=""/>
      <w:lvlJc w:val="left"/>
      <w:pPr>
        <w:ind w:left="3240" w:hanging="420"/>
      </w:pPr>
      <w:rPr>
        <w:rFonts w:ascii="Wingdings" w:hAnsi="Wingdings" w:hint="default"/>
      </w:rPr>
    </w:lvl>
    <w:lvl w:ilvl="6">
      <w:start w:val="1"/>
      <w:numFmt w:val="bullet"/>
      <w:lvlText w:val=""/>
      <w:lvlJc w:val="left"/>
      <w:pPr>
        <w:ind w:left="3660" w:hanging="420"/>
      </w:pPr>
      <w:rPr>
        <w:rFonts w:ascii="Wingdings" w:hAnsi="Wingdings" w:hint="default"/>
      </w:rPr>
    </w:lvl>
    <w:lvl w:ilvl="7">
      <w:start w:val="1"/>
      <w:numFmt w:val="bullet"/>
      <w:lvlText w:val=""/>
      <w:lvlJc w:val="left"/>
      <w:pPr>
        <w:ind w:left="4080" w:hanging="420"/>
      </w:pPr>
      <w:rPr>
        <w:rFonts w:ascii="Wingdings" w:hAnsi="Wingdings" w:hint="default"/>
      </w:rPr>
    </w:lvl>
    <w:lvl w:ilvl="8">
      <w:start w:val="1"/>
      <w:numFmt w:val="bullet"/>
      <w:lvlText w:val=""/>
      <w:lvlJc w:val="left"/>
      <w:pPr>
        <w:ind w:left="4500" w:hanging="420"/>
      </w:pPr>
      <w:rPr>
        <w:rFonts w:ascii="Wingdings" w:hAnsi="Wingdings" w:hint="default"/>
      </w:rPr>
    </w:lvl>
  </w:abstractNum>
  <w:abstractNum w:abstractNumId="141">
    <w:nsid w:val="5E830563"/>
    <w:multiLevelType w:val="multilevel"/>
    <w:tmpl w:val="5E830563"/>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2">
    <w:nsid w:val="5EC03FF7"/>
    <w:multiLevelType w:val="multilevel"/>
    <w:tmpl w:val="5EC03FF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3">
    <w:nsid w:val="5F3A0ABF"/>
    <w:multiLevelType w:val="multilevel"/>
    <w:tmpl w:val="5F3A0AB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4">
    <w:nsid w:val="5F5627BD"/>
    <w:multiLevelType w:val="multilevel"/>
    <w:tmpl w:val="5F5627BD"/>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5">
    <w:nsid w:val="5F63A10F"/>
    <w:multiLevelType w:val="multilevel"/>
    <w:tmpl w:val="4AEE42D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6">
    <w:nsid w:val="5F6E47A5"/>
    <w:multiLevelType w:val="multilevel"/>
    <w:tmpl w:val="5F6E47A5"/>
    <w:lvl w:ilvl="0">
      <w:start w:val="1"/>
      <w:numFmt w:val="decimal"/>
      <w:lvlText w:val="5.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7">
    <w:nsid w:val="5FA05484"/>
    <w:multiLevelType w:val="multilevel"/>
    <w:tmpl w:val="5FA0548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8">
    <w:nsid w:val="612A5DCB"/>
    <w:multiLevelType w:val="multilevel"/>
    <w:tmpl w:val="612A5DCB"/>
    <w:lvl w:ilvl="0">
      <w:start w:val="1"/>
      <w:numFmt w:val="decimal"/>
      <w:lvlText w:val="6.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9">
    <w:nsid w:val="61566610"/>
    <w:multiLevelType w:val="multilevel"/>
    <w:tmpl w:val="615666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0">
    <w:nsid w:val="61B07570"/>
    <w:multiLevelType w:val="multilevel"/>
    <w:tmpl w:val="61B0757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1">
    <w:nsid w:val="61C20E41"/>
    <w:multiLevelType w:val="multilevel"/>
    <w:tmpl w:val="61C20E4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2">
    <w:nsid w:val="62842D90"/>
    <w:multiLevelType w:val="multilevel"/>
    <w:tmpl w:val="62842D90"/>
    <w:lvl w:ilvl="0">
      <w:start w:val="1"/>
      <w:numFmt w:val="decimal"/>
      <w:lvlText w:val="7.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3">
    <w:nsid w:val="632D0577"/>
    <w:multiLevelType w:val="multilevel"/>
    <w:tmpl w:val="632D0577"/>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4">
    <w:nsid w:val="63347D2F"/>
    <w:multiLevelType w:val="multilevel"/>
    <w:tmpl w:val="63347D2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5">
    <w:nsid w:val="64357FCC"/>
    <w:multiLevelType w:val="multilevel"/>
    <w:tmpl w:val="64357FC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6">
    <w:nsid w:val="644A415D"/>
    <w:multiLevelType w:val="multilevel"/>
    <w:tmpl w:val="644A415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7">
    <w:nsid w:val="64CD50DF"/>
    <w:multiLevelType w:val="multilevel"/>
    <w:tmpl w:val="64CD50DF"/>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8">
    <w:nsid w:val="656634B8"/>
    <w:multiLevelType w:val="multilevel"/>
    <w:tmpl w:val="656634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9">
    <w:nsid w:val="660A62A6"/>
    <w:multiLevelType w:val="multilevel"/>
    <w:tmpl w:val="660A62A6"/>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0">
    <w:nsid w:val="66E774EB"/>
    <w:multiLevelType w:val="multilevel"/>
    <w:tmpl w:val="66E774E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1">
    <w:nsid w:val="678C40FF"/>
    <w:multiLevelType w:val="multilevel"/>
    <w:tmpl w:val="678C40FF"/>
    <w:lvl w:ilvl="0">
      <w:start w:val="1"/>
      <w:numFmt w:val="lowerLetter"/>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2">
    <w:nsid w:val="67BF5286"/>
    <w:multiLevelType w:val="multilevel"/>
    <w:tmpl w:val="67BF528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3">
    <w:nsid w:val="69146006"/>
    <w:multiLevelType w:val="multilevel"/>
    <w:tmpl w:val="69146006"/>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4">
    <w:nsid w:val="6A4F2B9C"/>
    <w:multiLevelType w:val="multilevel"/>
    <w:tmpl w:val="6A4F2B9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5">
    <w:nsid w:val="6A8958DF"/>
    <w:multiLevelType w:val="multilevel"/>
    <w:tmpl w:val="6A8958DF"/>
    <w:lvl w:ilvl="0">
      <w:start w:val="1"/>
      <w:numFmt w:val="decimal"/>
      <w:lvlText w:val="6.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6">
    <w:nsid w:val="6ADF29D8"/>
    <w:multiLevelType w:val="multilevel"/>
    <w:tmpl w:val="6ADF29D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7">
    <w:nsid w:val="6B75417E"/>
    <w:multiLevelType w:val="multilevel"/>
    <w:tmpl w:val="6B75417E"/>
    <w:lvl w:ilvl="0">
      <w:start w:val="1"/>
      <w:numFmt w:val="decimal"/>
      <w:lvlText w:val="5.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8">
    <w:nsid w:val="6BA72457"/>
    <w:multiLevelType w:val="multilevel"/>
    <w:tmpl w:val="6BA7245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9">
    <w:nsid w:val="6BD50836"/>
    <w:multiLevelType w:val="multilevel"/>
    <w:tmpl w:val="6BD50836"/>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0">
    <w:nsid w:val="6C636767"/>
    <w:multiLevelType w:val="multilevel"/>
    <w:tmpl w:val="6C63676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1">
    <w:nsid w:val="6C7874EA"/>
    <w:multiLevelType w:val="multilevel"/>
    <w:tmpl w:val="6C7874E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2">
    <w:nsid w:val="6D675554"/>
    <w:multiLevelType w:val="multilevel"/>
    <w:tmpl w:val="6D675554"/>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1260" w:hanging="420"/>
      </w:pPr>
      <w:rPr>
        <w:rFonts w:hint="default"/>
      </w:rPr>
    </w:lvl>
    <w:lvl w:ilvl="3">
      <w:start w:val="1"/>
      <w:numFmt w:val="decimal"/>
      <w:lvlText w:val="%4)"/>
      <w:lvlJc w:val="left"/>
      <w:pPr>
        <w:ind w:left="1680" w:hanging="420"/>
      </w:pPr>
      <w:rPr>
        <w:rFont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3">
    <w:nsid w:val="6D9B1421"/>
    <w:multiLevelType w:val="multilevel"/>
    <w:tmpl w:val="6D9B1421"/>
    <w:lvl w:ilvl="0">
      <w:start w:val="1"/>
      <w:numFmt w:val="decimal"/>
      <w:lvlText w:val="7.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4">
    <w:nsid w:val="6DBE6834"/>
    <w:multiLevelType w:val="multilevel"/>
    <w:tmpl w:val="6DBE6834"/>
    <w:lvl w:ilvl="0">
      <w:start w:val="1"/>
      <w:numFmt w:val="decimal"/>
      <w:lvlText w:val="8.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5">
    <w:nsid w:val="6E70065D"/>
    <w:multiLevelType w:val="multilevel"/>
    <w:tmpl w:val="6E70065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6">
    <w:nsid w:val="6E9E6A3B"/>
    <w:multiLevelType w:val="multilevel"/>
    <w:tmpl w:val="6E9E6A3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7">
    <w:nsid w:val="6F24766C"/>
    <w:multiLevelType w:val="multilevel"/>
    <w:tmpl w:val="6F24766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8">
    <w:nsid w:val="6FAF675C"/>
    <w:multiLevelType w:val="multilevel"/>
    <w:tmpl w:val="6FAF675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9">
    <w:nsid w:val="705E141C"/>
    <w:multiLevelType w:val="multilevel"/>
    <w:tmpl w:val="705E141C"/>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0">
    <w:nsid w:val="71162E84"/>
    <w:multiLevelType w:val="multilevel"/>
    <w:tmpl w:val="71162E84"/>
    <w:lvl w:ilvl="0">
      <w:start w:val="1"/>
      <w:numFmt w:val="decimal"/>
      <w:lvlText w:val="7.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1">
    <w:nsid w:val="711D3F2B"/>
    <w:multiLevelType w:val="multilevel"/>
    <w:tmpl w:val="711D3F2B"/>
    <w:lvl w:ilvl="0">
      <w:start w:val="1"/>
      <w:numFmt w:val="decimal"/>
      <w:lvlText w:val="6.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2">
    <w:nsid w:val="72A564D5"/>
    <w:multiLevelType w:val="multilevel"/>
    <w:tmpl w:val="72A564D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3">
    <w:nsid w:val="72FB6532"/>
    <w:multiLevelType w:val="multilevel"/>
    <w:tmpl w:val="72FB653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4">
    <w:nsid w:val="741E71AE"/>
    <w:multiLevelType w:val="multilevel"/>
    <w:tmpl w:val="741E71AE"/>
    <w:lvl w:ilvl="0">
      <w:start w:val="1"/>
      <w:numFmt w:val="decimal"/>
      <w:lvlText w:val="8.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5">
    <w:nsid w:val="74802508"/>
    <w:multiLevelType w:val="multilevel"/>
    <w:tmpl w:val="7480250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6">
    <w:nsid w:val="75340A67"/>
    <w:multiLevelType w:val="multilevel"/>
    <w:tmpl w:val="75340A6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7">
    <w:nsid w:val="755E6D72"/>
    <w:multiLevelType w:val="multilevel"/>
    <w:tmpl w:val="755E6D72"/>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8">
    <w:nsid w:val="7573EE60"/>
    <w:multiLevelType w:val="multilevel"/>
    <w:tmpl w:val="27F81345"/>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9">
    <w:nsid w:val="760449CF"/>
    <w:multiLevelType w:val="multilevel"/>
    <w:tmpl w:val="760449C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0">
    <w:nsid w:val="765B5646"/>
    <w:multiLevelType w:val="multilevel"/>
    <w:tmpl w:val="765B5646"/>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1">
    <w:nsid w:val="765C68FF"/>
    <w:multiLevelType w:val="multilevel"/>
    <w:tmpl w:val="765C68F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2">
    <w:nsid w:val="76864030"/>
    <w:multiLevelType w:val="multilevel"/>
    <w:tmpl w:val="76864030"/>
    <w:lvl w:ilvl="0">
      <w:start w:val="1"/>
      <w:numFmt w:val="decimal"/>
      <w:lvlText w:val="8.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3">
    <w:nsid w:val="76EA4E51"/>
    <w:multiLevelType w:val="multilevel"/>
    <w:tmpl w:val="76EA4E51"/>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4">
    <w:nsid w:val="7716C837"/>
    <w:multiLevelType w:val="multilevel"/>
    <w:tmpl w:val="765B5646"/>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5">
    <w:nsid w:val="78872A8A"/>
    <w:multiLevelType w:val="multilevel"/>
    <w:tmpl w:val="78872A8A"/>
    <w:lvl w:ilvl="0">
      <w:start w:val="1"/>
      <w:numFmt w:val="decimal"/>
      <w:lvlText w:val="%1)"/>
      <w:lvlJc w:val="left"/>
      <w:pPr>
        <w:ind w:left="1600" w:hanging="420"/>
      </w:pPr>
      <w:rPr>
        <w:rFonts w:hint="default"/>
      </w:rPr>
    </w:lvl>
    <w:lvl w:ilvl="1">
      <w:start w:val="1"/>
      <w:numFmt w:val="bullet"/>
      <w:lvlText w:val=""/>
      <w:lvlJc w:val="left"/>
      <w:pPr>
        <w:ind w:left="2020" w:hanging="420"/>
      </w:pPr>
      <w:rPr>
        <w:rFonts w:ascii="Wingdings" w:hAnsi="Wingdings" w:hint="default"/>
      </w:rPr>
    </w:lvl>
    <w:lvl w:ilvl="2">
      <w:start w:val="1"/>
      <w:numFmt w:val="bullet"/>
      <w:lvlText w:val=""/>
      <w:lvlJc w:val="left"/>
      <w:pPr>
        <w:ind w:left="2440" w:hanging="420"/>
      </w:pPr>
      <w:rPr>
        <w:rFonts w:ascii="Wingdings" w:hAnsi="Wingdings" w:hint="default"/>
      </w:rPr>
    </w:lvl>
    <w:lvl w:ilvl="3">
      <w:start w:val="1"/>
      <w:numFmt w:val="bullet"/>
      <w:lvlText w:val=""/>
      <w:lvlJc w:val="left"/>
      <w:pPr>
        <w:ind w:left="2860" w:hanging="420"/>
      </w:pPr>
      <w:rPr>
        <w:rFonts w:ascii="Wingdings" w:hAnsi="Wingdings" w:hint="default"/>
      </w:rPr>
    </w:lvl>
    <w:lvl w:ilvl="4">
      <w:start w:val="1"/>
      <w:numFmt w:val="bullet"/>
      <w:lvlText w:val=""/>
      <w:lvlJc w:val="left"/>
      <w:pPr>
        <w:ind w:left="3280" w:hanging="420"/>
      </w:pPr>
      <w:rPr>
        <w:rFonts w:ascii="Wingdings" w:hAnsi="Wingdings" w:hint="default"/>
      </w:rPr>
    </w:lvl>
    <w:lvl w:ilvl="5">
      <w:start w:val="1"/>
      <w:numFmt w:val="bullet"/>
      <w:lvlText w:val=""/>
      <w:lvlJc w:val="left"/>
      <w:pPr>
        <w:ind w:left="3700" w:hanging="420"/>
      </w:pPr>
      <w:rPr>
        <w:rFonts w:ascii="Wingdings" w:hAnsi="Wingdings" w:hint="default"/>
      </w:rPr>
    </w:lvl>
    <w:lvl w:ilvl="6">
      <w:start w:val="1"/>
      <w:numFmt w:val="bullet"/>
      <w:lvlText w:val=""/>
      <w:lvlJc w:val="left"/>
      <w:pPr>
        <w:ind w:left="4120" w:hanging="420"/>
      </w:pPr>
      <w:rPr>
        <w:rFonts w:ascii="Wingdings" w:hAnsi="Wingdings" w:hint="default"/>
      </w:rPr>
    </w:lvl>
    <w:lvl w:ilvl="7">
      <w:start w:val="1"/>
      <w:numFmt w:val="bullet"/>
      <w:lvlText w:val=""/>
      <w:lvlJc w:val="left"/>
      <w:pPr>
        <w:ind w:left="4540" w:hanging="420"/>
      </w:pPr>
      <w:rPr>
        <w:rFonts w:ascii="Wingdings" w:hAnsi="Wingdings" w:hint="default"/>
      </w:rPr>
    </w:lvl>
    <w:lvl w:ilvl="8">
      <w:start w:val="1"/>
      <w:numFmt w:val="bullet"/>
      <w:lvlText w:val=""/>
      <w:lvlJc w:val="left"/>
      <w:pPr>
        <w:ind w:left="4960" w:hanging="420"/>
      </w:pPr>
      <w:rPr>
        <w:rFonts w:ascii="Wingdings" w:hAnsi="Wingdings" w:hint="default"/>
      </w:rPr>
    </w:lvl>
  </w:abstractNum>
  <w:abstractNum w:abstractNumId="196">
    <w:nsid w:val="78BC2118"/>
    <w:multiLevelType w:val="multilevel"/>
    <w:tmpl w:val="78BC211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7">
    <w:nsid w:val="78F767BB"/>
    <w:multiLevelType w:val="multilevel"/>
    <w:tmpl w:val="78F767BB"/>
    <w:lvl w:ilvl="0">
      <w:start w:val="1"/>
      <w:numFmt w:val="decimal"/>
      <w:lvlText w:val="%1)"/>
      <w:lvlJc w:val="left"/>
      <w:pPr>
        <w:ind w:left="880" w:hanging="420"/>
      </w:p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198">
    <w:nsid w:val="792B2862"/>
    <w:multiLevelType w:val="multilevel"/>
    <w:tmpl w:val="792B2862"/>
    <w:lvl w:ilvl="0">
      <w:start w:val="1"/>
      <w:numFmt w:val="decimal"/>
      <w:lvlText w:val="5.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9">
    <w:nsid w:val="79AD2951"/>
    <w:multiLevelType w:val="multilevel"/>
    <w:tmpl w:val="79AD2951"/>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0">
    <w:nsid w:val="79EF06BF"/>
    <w:multiLevelType w:val="multilevel"/>
    <w:tmpl w:val="79EF06B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1">
    <w:nsid w:val="7A137A47"/>
    <w:multiLevelType w:val="multilevel"/>
    <w:tmpl w:val="7A137A4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2">
    <w:nsid w:val="7BC57C62"/>
    <w:multiLevelType w:val="multilevel"/>
    <w:tmpl w:val="7BC57C6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3">
    <w:nsid w:val="7BC809BD"/>
    <w:multiLevelType w:val="multilevel"/>
    <w:tmpl w:val="7BC809B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4">
    <w:nsid w:val="7CD24C03"/>
    <w:multiLevelType w:val="multilevel"/>
    <w:tmpl w:val="7CD24C03"/>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5">
    <w:nsid w:val="7CF05F0A"/>
    <w:multiLevelType w:val="multilevel"/>
    <w:tmpl w:val="7CF05F0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6">
    <w:nsid w:val="7D6E4BB5"/>
    <w:multiLevelType w:val="multilevel"/>
    <w:tmpl w:val="7D6E4BB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7">
    <w:nsid w:val="7D9F186C"/>
    <w:multiLevelType w:val="multilevel"/>
    <w:tmpl w:val="7D9F186C"/>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8">
    <w:nsid w:val="7E1249B3"/>
    <w:multiLevelType w:val="multilevel"/>
    <w:tmpl w:val="7E1249B3"/>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4"/>
  </w:num>
  <w:num w:numId="2">
    <w:abstractNumId w:val="31"/>
  </w:num>
  <w:num w:numId="3">
    <w:abstractNumId w:val="187"/>
  </w:num>
  <w:num w:numId="4">
    <w:abstractNumId w:val="18"/>
  </w:num>
  <w:num w:numId="5">
    <w:abstractNumId w:val="207"/>
  </w:num>
  <w:num w:numId="6">
    <w:abstractNumId w:val="161"/>
  </w:num>
  <w:num w:numId="7">
    <w:abstractNumId w:val="109"/>
  </w:num>
  <w:num w:numId="8">
    <w:abstractNumId w:val="13"/>
  </w:num>
  <w:num w:numId="9">
    <w:abstractNumId w:val="200"/>
  </w:num>
  <w:num w:numId="10">
    <w:abstractNumId w:val="33"/>
  </w:num>
  <w:num w:numId="11">
    <w:abstractNumId w:val="11"/>
  </w:num>
  <w:num w:numId="12">
    <w:abstractNumId w:val="154"/>
  </w:num>
  <w:num w:numId="13">
    <w:abstractNumId w:val="80"/>
  </w:num>
  <w:num w:numId="14">
    <w:abstractNumId w:val="170"/>
  </w:num>
  <w:num w:numId="15">
    <w:abstractNumId w:val="110"/>
  </w:num>
  <w:num w:numId="16">
    <w:abstractNumId w:val="32"/>
  </w:num>
  <w:num w:numId="17">
    <w:abstractNumId w:val="201"/>
  </w:num>
  <w:num w:numId="18">
    <w:abstractNumId w:val="129"/>
  </w:num>
  <w:num w:numId="19">
    <w:abstractNumId w:val="162"/>
  </w:num>
  <w:num w:numId="20">
    <w:abstractNumId w:val="91"/>
  </w:num>
  <w:num w:numId="21">
    <w:abstractNumId w:val="169"/>
  </w:num>
  <w:num w:numId="22">
    <w:abstractNumId w:val="25"/>
  </w:num>
  <w:num w:numId="23">
    <w:abstractNumId w:val="92"/>
  </w:num>
  <w:num w:numId="24">
    <w:abstractNumId w:val="163"/>
  </w:num>
  <w:num w:numId="25">
    <w:abstractNumId w:val="114"/>
  </w:num>
  <w:num w:numId="26">
    <w:abstractNumId w:val="62"/>
  </w:num>
  <w:num w:numId="27">
    <w:abstractNumId w:val="167"/>
  </w:num>
  <w:num w:numId="28">
    <w:abstractNumId w:val="64"/>
  </w:num>
  <w:num w:numId="29">
    <w:abstractNumId w:val="89"/>
  </w:num>
  <w:num w:numId="30">
    <w:abstractNumId w:val="19"/>
  </w:num>
  <w:num w:numId="31">
    <w:abstractNumId w:val="95"/>
  </w:num>
  <w:num w:numId="32">
    <w:abstractNumId w:val="12"/>
  </w:num>
  <w:num w:numId="33">
    <w:abstractNumId w:val="197"/>
  </w:num>
  <w:num w:numId="34">
    <w:abstractNumId w:val="54"/>
  </w:num>
  <w:num w:numId="35">
    <w:abstractNumId w:val="151"/>
  </w:num>
  <w:num w:numId="36">
    <w:abstractNumId w:val="9"/>
  </w:num>
  <w:num w:numId="37">
    <w:abstractNumId w:val="63"/>
  </w:num>
  <w:num w:numId="38">
    <w:abstractNumId w:val="199"/>
  </w:num>
  <w:num w:numId="39">
    <w:abstractNumId w:val="81"/>
  </w:num>
  <w:num w:numId="40">
    <w:abstractNumId w:val="105"/>
  </w:num>
  <w:num w:numId="41">
    <w:abstractNumId w:val="117"/>
  </w:num>
  <w:num w:numId="42">
    <w:abstractNumId w:val="158"/>
  </w:num>
  <w:num w:numId="43">
    <w:abstractNumId w:val="146"/>
  </w:num>
  <w:num w:numId="44">
    <w:abstractNumId w:val="156"/>
  </w:num>
  <w:num w:numId="45">
    <w:abstractNumId w:val="196"/>
  </w:num>
  <w:num w:numId="46">
    <w:abstractNumId w:val="130"/>
  </w:num>
  <w:num w:numId="47">
    <w:abstractNumId w:val="108"/>
  </w:num>
  <w:num w:numId="48">
    <w:abstractNumId w:val="134"/>
  </w:num>
  <w:num w:numId="49">
    <w:abstractNumId w:val="78"/>
  </w:num>
  <w:num w:numId="50">
    <w:abstractNumId w:val="107"/>
  </w:num>
  <w:num w:numId="51">
    <w:abstractNumId w:val="208"/>
  </w:num>
  <w:num w:numId="52">
    <w:abstractNumId w:val="202"/>
  </w:num>
  <w:num w:numId="53">
    <w:abstractNumId w:val="4"/>
  </w:num>
  <w:num w:numId="54">
    <w:abstractNumId w:val="48"/>
  </w:num>
  <w:num w:numId="55">
    <w:abstractNumId w:val="198"/>
  </w:num>
  <w:num w:numId="56">
    <w:abstractNumId w:val="191"/>
  </w:num>
  <w:num w:numId="57">
    <w:abstractNumId w:val="39"/>
  </w:num>
  <w:num w:numId="58">
    <w:abstractNumId w:val="111"/>
  </w:num>
  <w:num w:numId="59">
    <w:abstractNumId w:val="112"/>
  </w:num>
  <w:num w:numId="60">
    <w:abstractNumId w:val="165"/>
  </w:num>
  <w:num w:numId="61">
    <w:abstractNumId w:val="24"/>
  </w:num>
  <w:num w:numId="62">
    <w:abstractNumId w:val="171"/>
  </w:num>
  <w:num w:numId="63">
    <w:abstractNumId w:val="172"/>
  </w:num>
  <w:num w:numId="64">
    <w:abstractNumId w:val="53"/>
  </w:num>
  <w:num w:numId="65">
    <w:abstractNumId w:val="183"/>
  </w:num>
  <w:num w:numId="66">
    <w:abstractNumId w:val="84"/>
  </w:num>
  <w:num w:numId="67">
    <w:abstractNumId w:val="190"/>
  </w:num>
  <w:num w:numId="68">
    <w:abstractNumId w:val="67"/>
  </w:num>
  <w:num w:numId="69">
    <w:abstractNumId w:val="88"/>
  </w:num>
  <w:num w:numId="70">
    <w:abstractNumId w:val="204"/>
  </w:num>
  <w:num w:numId="71">
    <w:abstractNumId w:val="101"/>
  </w:num>
  <w:num w:numId="72">
    <w:abstractNumId w:val="133"/>
  </w:num>
  <w:num w:numId="73">
    <w:abstractNumId w:val="59"/>
  </w:num>
  <w:num w:numId="74">
    <w:abstractNumId w:val="142"/>
  </w:num>
  <w:num w:numId="75">
    <w:abstractNumId w:val="132"/>
  </w:num>
  <w:num w:numId="76">
    <w:abstractNumId w:val="127"/>
  </w:num>
  <w:num w:numId="77">
    <w:abstractNumId w:val="96"/>
  </w:num>
  <w:num w:numId="78">
    <w:abstractNumId w:val="17"/>
  </w:num>
  <w:num w:numId="79">
    <w:abstractNumId w:val="38"/>
  </w:num>
  <w:num w:numId="80">
    <w:abstractNumId w:val="149"/>
  </w:num>
  <w:num w:numId="81">
    <w:abstractNumId w:val="138"/>
  </w:num>
  <w:num w:numId="82">
    <w:abstractNumId w:val="147"/>
  </w:num>
  <w:num w:numId="83">
    <w:abstractNumId w:val="157"/>
  </w:num>
  <w:num w:numId="84">
    <w:abstractNumId w:val="120"/>
  </w:num>
  <w:num w:numId="85">
    <w:abstractNumId w:val="98"/>
  </w:num>
  <w:num w:numId="86">
    <w:abstractNumId w:val="121"/>
  </w:num>
  <w:num w:numId="87">
    <w:abstractNumId w:val="7"/>
  </w:num>
  <w:num w:numId="88">
    <w:abstractNumId w:val="113"/>
  </w:num>
  <w:num w:numId="89">
    <w:abstractNumId w:val="99"/>
  </w:num>
  <w:num w:numId="90">
    <w:abstractNumId w:val="103"/>
  </w:num>
  <w:num w:numId="91">
    <w:abstractNumId w:val="85"/>
  </w:num>
  <w:num w:numId="92">
    <w:abstractNumId w:val="179"/>
  </w:num>
  <w:num w:numId="93">
    <w:abstractNumId w:val="70"/>
  </w:num>
  <w:num w:numId="94">
    <w:abstractNumId w:val="5"/>
  </w:num>
  <w:num w:numId="95">
    <w:abstractNumId w:val="15"/>
  </w:num>
  <w:num w:numId="96">
    <w:abstractNumId w:val="3"/>
  </w:num>
  <w:num w:numId="97">
    <w:abstractNumId w:val="60"/>
  </w:num>
  <w:num w:numId="98">
    <w:abstractNumId w:val="181"/>
  </w:num>
  <w:num w:numId="99">
    <w:abstractNumId w:val="164"/>
  </w:num>
  <w:num w:numId="100">
    <w:abstractNumId w:val="87"/>
  </w:num>
  <w:num w:numId="101">
    <w:abstractNumId w:val="94"/>
  </w:num>
  <w:num w:numId="102">
    <w:abstractNumId w:val="6"/>
  </w:num>
  <w:num w:numId="103">
    <w:abstractNumId w:val="168"/>
  </w:num>
  <w:num w:numId="104">
    <w:abstractNumId w:val="93"/>
  </w:num>
  <w:num w:numId="105">
    <w:abstractNumId w:val="44"/>
  </w:num>
  <w:num w:numId="106">
    <w:abstractNumId w:val="141"/>
  </w:num>
  <w:num w:numId="107">
    <w:abstractNumId w:val="72"/>
  </w:num>
  <w:num w:numId="108">
    <w:abstractNumId w:val="135"/>
  </w:num>
  <w:num w:numId="109">
    <w:abstractNumId w:val="148"/>
  </w:num>
  <w:num w:numId="110">
    <w:abstractNumId w:val="137"/>
  </w:num>
  <w:num w:numId="111">
    <w:abstractNumId w:val="79"/>
  </w:num>
  <w:num w:numId="112">
    <w:abstractNumId w:val="144"/>
  </w:num>
  <w:num w:numId="113">
    <w:abstractNumId w:val="45"/>
  </w:num>
  <w:num w:numId="114">
    <w:abstractNumId w:val="186"/>
  </w:num>
  <w:num w:numId="115">
    <w:abstractNumId w:val="82"/>
  </w:num>
  <w:num w:numId="116">
    <w:abstractNumId w:val="193"/>
  </w:num>
  <w:num w:numId="117">
    <w:abstractNumId w:val="119"/>
  </w:num>
  <w:num w:numId="118">
    <w:abstractNumId w:val="97"/>
  </w:num>
  <w:num w:numId="119">
    <w:abstractNumId w:val="160"/>
  </w:num>
  <w:num w:numId="120">
    <w:abstractNumId w:val="124"/>
  </w:num>
  <w:num w:numId="121">
    <w:abstractNumId w:val="122"/>
  </w:num>
  <w:num w:numId="122">
    <w:abstractNumId w:val="205"/>
  </w:num>
  <w:num w:numId="123">
    <w:abstractNumId w:val="36"/>
  </w:num>
  <w:num w:numId="124">
    <w:abstractNumId w:val="83"/>
  </w:num>
  <w:num w:numId="125">
    <w:abstractNumId w:val="104"/>
  </w:num>
  <w:num w:numId="126">
    <w:abstractNumId w:val="118"/>
  </w:num>
  <w:num w:numId="127">
    <w:abstractNumId w:val="20"/>
  </w:num>
  <w:num w:numId="128">
    <w:abstractNumId w:val="2"/>
  </w:num>
  <w:num w:numId="129">
    <w:abstractNumId w:val="140"/>
  </w:num>
  <w:num w:numId="130">
    <w:abstractNumId w:val="152"/>
  </w:num>
  <w:num w:numId="131">
    <w:abstractNumId w:val="50"/>
  </w:num>
  <w:num w:numId="132">
    <w:abstractNumId w:val="47"/>
  </w:num>
  <w:num w:numId="133">
    <w:abstractNumId w:val="143"/>
  </w:num>
  <w:num w:numId="134">
    <w:abstractNumId w:val="159"/>
  </w:num>
  <w:num w:numId="135">
    <w:abstractNumId w:val="23"/>
  </w:num>
  <w:num w:numId="136">
    <w:abstractNumId w:val="180"/>
  </w:num>
  <w:num w:numId="137">
    <w:abstractNumId w:val="61"/>
  </w:num>
  <w:num w:numId="138">
    <w:abstractNumId w:val="28"/>
  </w:num>
  <w:num w:numId="139">
    <w:abstractNumId w:val="176"/>
  </w:num>
  <w:num w:numId="140">
    <w:abstractNumId w:val="203"/>
  </w:num>
  <w:num w:numId="141">
    <w:abstractNumId w:val="173"/>
  </w:num>
  <w:num w:numId="142">
    <w:abstractNumId w:val="46"/>
  </w:num>
  <w:num w:numId="143">
    <w:abstractNumId w:val="136"/>
  </w:num>
  <w:num w:numId="144">
    <w:abstractNumId w:val="175"/>
  </w:num>
  <w:num w:numId="145">
    <w:abstractNumId w:val="102"/>
  </w:num>
  <w:num w:numId="146">
    <w:abstractNumId w:val="115"/>
  </w:num>
  <w:num w:numId="147">
    <w:abstractNumId w:val="68"/>
  </w:num>
  <w:num w:numId="148">
    <w:abstractNumId w:val="57"/>
  </w:num>
  <w:num w:numId="149">
    <w:abstractNumId w:val="166"/>
  </w:num>
  <w:num w:numId="150">
    <w:abstractNumId w:val="71"/>
  </w:num>
  <w:num w:numId="151">
    <w:abstractNumId w:val="14"/>
  </w:num>
  <w:num w:numId="152">
    <w:abstractNumId w:val="65"/>
  </w:num>
  <w:num w:numId="153">
    <w:abstractNumId w:val="177"/>
  </w:num>
  <w:num w:numId="154">
    <w:abstractNumId w:val="125"/>
  </w:num>
  <w:num w:numId="155">
    <w:abstractNumId w:val="1"/>
  </w:num>
  <w:num w:numId="156">
    <w:abstractNumId w:val="123"/>
  </w:num>
  <w:num w:numId="157">
    <w:abstractNumId w:val="55"/>
  </w:num>
  <w:num w:numId="158">
    <w:abstractNumId w:val="150"/>
  </w:num>
  <w:num w:numId="159">
    <w:abstractNumId w:val="139"/>
  </w:num>
  <w:num w:numId="160">
    <w:abstractNumId w:val="66"/>
  </w:num>
  <w:num w:numId="161">
    <w:abstractNumId w:val="30"/>
  </w:num>
  <w:num w:numId="162">
    <w:abstractNumId w:val="184"/>
  </w:num>
  <w:num w:numId="163">
    <w:abstractNumId w:val="131"/>
  </w:num>
  <w:num w:numId="164">
    <w:abstractNumId w:val="37"/>
  </w:num>
  <w:num w:numId="165">
    <w:abstractNumId w:val="75"/>
  </w:num>
  <w:num w:numId="166">
    <w:abstractNumId w:val="16"/>
  </w:num>
  <w:num w:numId="167">
    <w:abstractNumId w:val="8"/>
  </w:num>
  <w:num w:numId="168">
    <w:abstractNumId w:val="76"/>
  </w:num>
  <w:num w:numId="169">
    <w:abstractNumId w:val="69"/>
  </w:num>
  <w:num w:numId="170">
    <w:abstractNumId w:val="58"/>
  </w:num>
  <w:num w:numId="171">
    <w:abstractNumId w:val="128"/>
  </w:num>
  <w:num w:numId="172">
    <w:abstractNumId w:val="206"/>
  </w:num>
  <w:num w:numId="173">
    <w:abstractNumId w:val="56"/>
  </w:num>
  <w:num w:numId="174">
    <w:abstractNumId w:val="182"/>
  </w:num>
  <w:num w:numId="175">
    <w:abstractNumId w:val="10"/>
  </w:num>
  <w:num w:numId="176">
    <w:abstractNumId w:val="51"/>
  </w:num>
  <w:num w:numId="177">
    <w:abstractNumId w:val="174"/>
  </w:num>
  <w:num w:numId="178">
    <w:abstractNumId w:val="189"/>
  </w:num>
  <w:num w:numId="179">
    <w:abstractNumId w:val="116"/>
  </w:num>
  <w:num w:numId="180">
    <w:abstractNumId w:val="35"/>
  </w:num>
  <w:num w:numId="181">
    <w:abstractNumId w:val="74"/>
  </w:num>
  <w:num w:numId="182">
    <w:abstractNumId w:val="49"/>
  </w:num>
  <w:num w:numId="183">
    <w:abstractNumId w:val="21"/>
  </w:num>
  <w:num w:numId="184">
    <w:abstractNumId w:val="106"/>
  </w:num>
  <w:num w:numId="185">
    <w:abstractNumId w:val="153"/>
  </w:num>
  <w:num w:numId="186">
    <w:abstractNumId w:val="185"/>
  </w:num>
  <w:num w:numId="187">
    <w:abstractNumId w:val="86"/>
  </w:num>
  <w:num w:numId="188">
    <w:abstractNumId w:val="29"/>
  </w:num>
  <w:num w:numId="189">
    <w:abstractNumId w:val="26"/>
  </w:num>
  <w:num w:numId="190">
    <w:abstractNumId w:val="100"/>
  </w:num>
  <w:num w:numId="191">
    <w:abstractNumId w:val="73"/>
  </w:num>
  <w:num w:numId="192">
    <w:abstractNumId w:val="192"/>
  </w:num>
  <w:num w:numId="193">
    <w:abstractNumId w:val="22"/>
  </w:num>
  <w:num w:numId="194">
    <w:abstractNumId w:val="155"/>
  </w:num>
  <w:num w:numId="195">
    <w:abstractNumId w:val="41"/>
  </w:num>
  <w:num w:numId="196">
    <w:abstractNumId w:val="52"/>
  </w:num>
  <w:num w:numId="197">
    <w:abstractNumId w:val="43"/>
  </w:num>
  <w:num w:numId="198">
    <w:abstractNumId w:val="40"/>
  </w:num>
  <w:num w:numId="199">
    <w:abstractNumId w:val="42"/>
  </w:num>
  <w:num w:numId="200">
    <w:abstractNumId w:val="0"/>
  </w:num>
  <w:num w:numId="201">
    <w:abstractNumId w:val="178"/>
  </w:num>
  <w:num w:numId="202">
    <w:abstractNumId w:val="126"/>
  </w:num>
  <w:num w:numId="203">
    <w:abstractNumId w:val="90"/>
  </w:num>
  <w:num w:numId="204">
    <w:abstractNumId w:val="27"/>
  </w:num>
  <w:num w:numId="205">
    <w:abstractNumId w:val="77"/>
  </w:num>
  <w:num w:numId="206">
    <w:abstractNumId w:val="195"/>
  </w:num>
  <w:num w:numId="207">
    <w:abstractNumId w:val="145"/>
  </w:num>
  <w:num w:numId="208">
    <w:abstractNumId w:val="194"/>
  </w:num>
  <w:num w:numId="209">
    <w:abstractNumId w:val="1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996"/>
    <w:rsid w:val="000007FC"/>
    <w:rsid w:val="000015F9"/>
    <w:rsid w:val="0000181E"/>
    <w:rsid w:val="00003D37"/>
    <w:rsid w:val="00004E63"/>
    <w:rsid w:val="00005CB8"/>
    <w:rsid w:val="000079AE"/>
    <w:rsid w:val="00010149"/>
    <w:rsid w:val="00012FFE"/>
    <w:rsid w:val="00014A76"/>
    <w:rsid w:val="0001714D"/>
    <w:rsid w:val="00025797"/>
    <w:rsid w:val="0002613B"/>
    <w:rsid w:val="000275AB"/>
    <w:rsid w:val="00030C1C"/>
    <w:rsid w:val="00031759"/>
    <w:rsid w:val="0003421A"/>
    <w:rsid w:val="0003474B"/>
    <w:rsid w:val="00034E5F"/>
    <w:rsid w:val="0003502A"/>
    <w:rsid w:val="000357E8"/>
    <w:rsid w:val="0003778D"/>
    <w:rsid w:val="00042F19"/>
    <w:rsid w:val="000433C0"/>
    <w:rsid w:val="00044E09"/>
    <w:rsid w:val="00045648"/>
    <w:rsid w:val="00051FDE"/>
    <w:rsid w:val="00053F02"/>
    <w:rsid w:val="00055C03"/>
    <w:rsid w:val="000564A4"/>
    <w:rsid w:val="00061C82"/>
    <w:rsid w:val="00062370"/>
    <w:rsid w:val="00062F12"/>
    <w:rsid w:val="00063221"/>
    <w:rsid w:val="000646A2"/>
    <w:rsid w:val="000666D5"/>
    <w:rsid w:val="000671CC"/>
    <w:rsid w:val="00067488"/>
    <w:rsid w:val="00072540"/>
    <w:rsid w:val="0007303B"/>
    <w:rsid w:val="00074291"/>
    <w:rsid w:val="00074F47"/>
    <w:rsid w:val="0007529F"/>
    <w:rsid w:val="000821C1"/>
    <w:rsid w:val="000822AC"/>
    <w:rsid w:val="00087992"/>
    <w:rsid w:val="00090569"/>
    <w:rsid w:val="00094473"/>
    <w:rsid w:val="0009572F"/>
    <w:rsid w:val="000A2BC8"/>
    <w:rsid w:val="000A30B3"/>
    <w:rsid w:val="000A6493"/>
    <w:rsid w:val="000A6933"/>
    <w:rsid w:val="000B04F5"/>
    <w:rsid w:val="000B1264"/>
    <w:rsid w:val="000B162F"/>
    <w:rsid w:val="000B1CE0"/>
    <w:rsid w:val="000B54DB"/>
    <w:rsid w:val="000B7066"/>
    <w:rsid w:val="000D02DD"/>
    <w:rsid w:val="000D03F9"/>
    <w:rsid w:val="000D0A7A"/>
    <w:rsid w:val="000D212E"/>
    <w:rsid w:val="000D30AF"/>
    <w:rsid w:val="000D454F"/>
    <w:rsid w:val="000D5506"/>
    <w:rsid w:val="000E1AAE"/>
    <w:rsid w:val="000E5099"/>
    <w:rsid w:val="000E66FD"/>
    <w:rsid w:val="000E6981"/>
    <w:rsid w:val="000F0EBC"/>
    <w:rsid w:val="000F269F"/>
    <w:rsid w:val="000F27AB"/>
    <w:rsid w:val="000F36CD"/>
    <w:rsid w:val="000F571B"/>
    <w:rsid w:val="001000A0"/>
    <w:rsid w:val="00100541"/>
    <w:rsid w:val="00102A86"/>
    <w:rsid w:val="00103457"/>
    <w:rsid w:val="00104F96"/>
    <w:rsid w:val="00105596"/>
    <w:rsid w:val="00105EAC"/>
    <w:rsid w:val="00105EC0"/>
    <w:rsid w:val="00106306"/>
    <w:rsid w:val="00106BFD"/>
    <w:rsid w:val="00107D13"/>
    <w:rsid w:val="00111A90"/>
    <w:rsid w:val="0011303C"/>
    <w:rsid w:val="00117123"/>
    <w:rsid w:val="00121115"/>
    <w:rsid w:val="001220EA"/>
    <w:rsid w:val="001243F8"/>
    <w:rsid w:val="00125D21"/>
    <w:rsid w:val="0013520B"/>
    <w:rsid w:val="0013554F"/>
    <w:rsid w:val="00137C29"/>
    <w:rsid w:val="001400FA"/>
    <w:rsid w:val="00140366"/>
    <w:rsid w:val="0014151D"/>
    <w:rsid w:val="0014265B"/>
    <w:rsid w:val="00144F3C"/>
    <w:rsid w:val="0014518C"/>
    <w:rsid w:val="001452D4"/>
    <w:rsid w:val="001458D3"/>
    <w:rsid w:val="00147DAC"/>
    <w:rsid w:val="001523E5"/>
    <w:rsid w:val="001527F4"/>
    <w:rsid w:val="00152A43"/>
    <w:rsid w:val="001609F2"/>
    <w:rsid w:val="00162F18"/>
    <w:rsid w:val="00170DF9"/>
    <w:rsid w:val="00171430"/>
    <w:rsid w:val="00172709"/>
    <w:rsid w:val="001738B5"/>
    <w:rsid w:val="001742A6"/>
    <w:rsid w:val="00175D02"/>
    <w:rsid w:val="00175DAC"/>
    <w:rsid w:val="00177C02"/>
    <w:rsid w:val="0018575C"/>
    <w:rsid w:val="00187B5E"/>
    <w:rsid w:val="00193623"/>
    <w:rsid w:val="00194B81"/>
    <w:rsid w:val="001A0113"/>
    <w:rsid w:val="001A0226"/>
    <w:rsid w:val="001A0381"/>
    <w:rsid w:val="001A1101"/>
    <w:rsid w:val="001A250D"/>
    <w:rsid w:val="001A2D0B"/>
    <w:rsid w:val="001A5344"/>
    <w:rsid w:val="001A7150"/>
    <w:rsid w:val="001B11CA"/>
    <w:rsid w:val="001B1D47"/>
    <w:rsid w:val="001B3509"/>
    <w:rsid w:val="001B4CAD"/>
    <w:rsid w:val="001B5901"/>
    <w:rsid w:val="001B6198"/>
    <w:rsid w:val="001B79DC"/>
    <w:rsid w:val="001C0B7C"/>
    <w:rsid w:val="001C0CEB"/>
    <w:rsid w:val="001C282B"/>
    <w:rsid w:val="001C330B"/>
    <w:rsid w:val="001C41A5"/>
    <w:rsid w:val="001C4B3E"/>
    <w:rsid w:val="001C658B"/>
    <w:rsid w:val="001D1D5B"/>
    <w:rsid w:val="001D4468"/>
    <w:rsid w:val="001D45E5"/>
    <w:rsid w:val="001D609D"/>
    <w:rsid w:val="001D76D1"/>
    <w:rsid w:val="001E1424"/>
    <w:rsid w:val="001E1D7A"/>
    <w:rsid w:val="001E2E81"/>
    <w:rsid w:val="001E3F09"/>
    <w:rsid w:val="001E5670"/>
    <w:rsid w:val="001F1A57"/>
    <w:rsid w:val="001F232A"/>
    <w:rsid w:val="001F2E67"/>
    <w:rsid w:val="001F2F19"/>
    <w:rsid w:val="001F48D5"/>
    <w:rsid w:val="001F6422"/>
    <w:rsid w:val="001F67A1"/>
    <w:rsid w:val="001F688E"/>
    <w:rsid w:val="001F76A8"/>
    <w:rsid w:val="0020001F"/>
    <w:rsid w:val="00200B72"/>
    <w:rsid w:val="00202CDF"/>
    <w:rsid w:val="00202DEE"/>
    <w:rsid w:val="00206FAD"/>
    <w:rsid w:val="00207F43"/>
    <w:rsid w:val="00210F55"/>
    <w:rsid w:val="00211292"/>
    <w:rsid w:val="002118D6"/>
    <w:rsid w:val="00212770"/>
    <w:rsid w:val="0021329D"/>
    <w:rsid w:val="002135DB"/>
    <w:rsid w:val="00214558"/>
    <w:rsid w:val="00216057"/>
    <w:rsid w:val="00221660"/>
    <w:rsid w:val="002234EA"/>
    <w:rsid w:val="002265FA"/>
    <w:rsid w:val="002316AC"/>
    <w:rsid w:val="00231CD2"/>
    <w:rsid w:val="00232EFD"/>
    <w:rsid w:val="00232FAD"/>
    <w:rsid w:val="00234003"/>
    <w:rsid w:val="002342F4"/>
    <w:rsid w:val="002352AD"/>
    <w:rsid w:val="00236D86"/>
    <w:rsid w:val="00236EFD"/>
    <w:rsid w:val="00237EBB"/>
    <w:rsid w:val="00240C35"/>
    <w:rsid w:val="00242152"/>
    <w:rsid w:val="00242D2B"/>
    <w:rsid w:val="00243872"/>
    <w:rsid w:val="00253F17"/>
    <w:rsid w:val="002544DC"/>
    <w:rsid w:val="002544F5"/>
    <w:rsid w:val="00256013"/>
    <w:rsid w:val="00260019"/>
    <w:rsid w:val="0026193D"/>
    <w:rsid w:val="0026231E"/>
    <w:rsid w:val="00267069"/>
    <w:rsid w:val="00270C34"/>
    <w:rsid w:val="002778C7"/>
    <w:rsid w:val="00277C0D"/>
    <w:rsid w:val="002802AE"/>
    <w:rsid w:val="002805A6"/>
    <w:rsid w:val="00280838"/>
    <w:rsid w:val="00281307"/>
    <w:rsid w:val="00281FCA"/>
    <w:rsid w:val="00286FB8"/>
    <w:rsid w:val="00287B19"/>
    <w:rsid w:val="0029048A"/>
    <w:rsid w:val="002916D4"/>
    <w:rsid w:val="002958BE"/>
    <w:rsid w:val="00296FDF"/>
    <w:rsid w:val="002975E3"/>
    <w:rsid w:val="002A1167"/>
    <w:rsid w:val="002A1EB2"/>
    <w:rsid w:val="002A39E8"/>
    <w:rsid w:val="002A703C"/>
    <w:rsid w:val="002A72D2"/>
    <w:rsid w:val="002B04D5"/>
    <w:rsid w:val="002B05F0"/>
    <w:rsid w:val="002B1069"/>
    <w:rsid w:val="002B2724"/>
    <w:rsid w:val="002B41F0"/>
    <w:rsid w:val="002B5996"/>
    <w:rsid w:val="002C4289"/>
    <w:rsid w:val="002C45E5"/>
    <w:rsid w:val="002D0EB0"/>
    <w:rsid w:val="002D0F27"/>
    <w:rsid w:val="002D1D0E"/>
    <w:rsid w:val="002D5752"/>
    <w:rsid w:val="002D58A2"/>
    <w:rsid w:val="002E0145"/>
    <w:rsid w:val="002E1116"/>
    <w:rsid w:val="002E4349"/>
    <w:rsid w:val="002E5DD6"/>
    <w:rsid w:val="002E67F0"/>
    <w:rsid w:val="002E6966"/>
    <w:rsid w:val="002E7FD2"/>
    <w:rsid w:val="002F0719"/>
    <w:rsid w:val="002F0FA6"/>
    <w:rsid w:val="002F2C9A"/>
    <w:rsid w:val="002F45F9"/>
    <w:rsid w:val="002F5D0E"/>
    <w:rsid w:val="002F635E"/>
    <w:rsid w:val="002F665A"/>
    <w:rsid w:val="00300774"/>
    <w:rsid w:val="00300FB9"/>
    <w:rsid w:val="003019BC"/>
    <w:rsid w:val="00303EB3"/>
    <w:rsid w:val="00305105"/>
    <w:rsid w:val="003076A9"/>
    <w:rsid w:val="003120A9"/>
    <w:rsid w:val="003123F6"/>
    <w:rsid w:val="00316520"/>
    <w:rsid w:val="0031791E"/>
    <w:rsid w:val="00324FF3"/>
    <w:rsid w:val="003254F5"/>
    <w:rsid w:val="003271C7"/>
    <w:rsid w:val="00327D8B"/>
    <w:rsid w:val="003333DF"/>
    <w:rsid w:val="0033571C"/>
    <w:rsid w:val="003367C4"/>
    <w:rsid w:val="00336CF5"/>
    <w:rsid w:val="00342DFF"/>
    <w:rsid w:val="0034642B"/>
    <w:rsid w:val="0035090B"/>
    <w:rsid w:val="00352F09"/>
    <w:rsid w:val="00355CB4"/>
    <w:rsid w:val="0035714B"/>
    <w:rsid w:val="00360064"/>
    <w:rsid w:val="0036526F"/>
    <w:rsid w:val="00365C7E"/>
    <w:rsid w:val="0037013C"/>
    <w:rsid w:val="003705B1"/>
    <w:rsid w:val="003710FB"/>
    <w:rsid w:val="0037240D"/>
    <w:rsid w:val="00375B95"/>
    <w:rsid w:val="0038250B"/>
    <w:rsid w:val="00383E6D"/>
    <w:rsid w:val="00384042"/>
    <w:rsid w:val="00385E1A"/>
    <w:rsid w:val="003868A6"/>
    <w:rsid w:val="00386F02"/>
    <w:rsid w:val="0038779F"/>
    <w:rsid w:val="00392280"/>
    <w:rsid w:val="00394AC2"/>
    <w:rsid w:val="00397C51"/>
    <w:rsid w:val="003A3647"/>
    <w:rsid w:val="003A3F5D"/>
    <w:rsid w:val="003A657B"/>
    <w:rsid w:val="003A6FB3"/>
    <w:rsid w:val="003A74E7"/>
    <w:rsid w:val="003A7787"/>
    <w:rsid w:val="003A7C4F"/>
    <w:rsid w:val="003B05DD"/>
    <w:rsid w:val="003B0E0E"/>
    <w:rsid w:val="003B607C"/>
    <w:rsid w:val="003B7068"/>
    <w:rsid w:val="003C12D0"/>
    <w:rsid w:val="003C287C"/>
    <w:rsid w:val="003C2CBD"/>
    <w:rsid w:val="003C4F4D"/>
    <w:rsid w:val="003C5809"/>
    <w:rsid w:val="003D001A"/>
    <w:rsid w:val="003D058C"/>
    <w:rsid w:val="003D2987"/>
    <w:rsid w:val="003D45E5"/>
    <w:rsid w:val="003D5593"/>
    <w:rsid w:val="003D6432"/>
    <w:rsid w:val="003D65AC"/>
    <w:rsid w:val="003E25E3"/>
    <w:rsid w:val="003E705C"/>
    <w:rsid w:val="003F0B54"/>
    <w:rsid w:val="003F0FAC"/>
    <w:rsid w:val="003F56EA"/>
    <w:rsid w:val="003F608F"/>
    <w:rsid w:val="003F61A0"/>
    <w:rsid w:val="003F7842"/>
    <w:rsid w:val="004016D4"/>
    <w:rsid w:val="00401992"/>
    <w:rsid w:val="00405F73"/>
    <w:rsid w:val="00406407"/>
    <w:rsid w:val="00406B5F"/>
    <w:rsid w:val="004105D0"/>
    <w:rsid w:val="004112ED"/>
    <w:rsid w:val="0041343E"/>
    <w:rsid w:val="00414631"/>
    <w:rsid w:val="00417057"/>
    <w:rsid w:val="00417DE3"/>
    <w:rsid w:val="004200FF"/>
    <w:rsid w:val="004231B3"/>
    <w:rsid w:val="00424474"/>
    <w:rsid w:val="00425CB2"/>
    <w:rsid w:val="00425D5F"/>
    <w:rsid w:val="00426D8C"/>
    <w:rsid w:val="004272D6"/>
    <w:rsid w:val="0043018D"/>
    <w:rsid w:val="00435456"/>
    <w:rsid w:val="00436F58"/>
    <w:rsid w:val="00441FAA"/>
    <w:rsid w:val="00442F0C"/>
    <w:rsid w:val="004430D4"/>
    <w:rsid w:val="00445C6B"/>
    <w:rsid w:val="00447FEE"/>
    <w:rsid w:val="00451798"/>
    <w:rsid w:val="00451BD0"/>
    <w:rsid w:val="00454371"/>
    <w:rsid w:val="00455899"/>
    <w:rsid w:val="00455EA4"/>
    <w:rsid w:val="004561AC"/>
    <w:rsid w:val="0045731A"/>
    <w:rsid w:val="004615B5"/>
    <w:rsid w:val="00461B73"/>
    <w:rsid w:val="004637C2"/>
    <w:rsid w:val="00463AED"/>
    <w:rsid w:val="00467903"/>
    <w:rsid w:val="004679E2"/>
    <w:rsid w:val="004733B1"/>
    <w:rsid w:val="00475008"/>
    <w:rsid w:val="004765AD"/>
    <w:rsid w:val="004809A8"/>
    <w:rsid w:val="00484551"/>
    <w:rsid w:val="0048694A"/>
    <w:rsid w:val="00490408"/>
    <w:rsid w:val="004906F3"/>
    <w:rsid w:val="0049092E"/>
    <w:rsid w:val="00494039"/>
    <w:rsid w:val="0049408E"/>
    <w:rsid w:val="004944F0"/>
    <w:rsid w:val="00497DCC"/>
    <w:rsid w:val="004A0215"/>
    <w:rsid w:val="004A1B5C"/>
    <w:rsid w:val="004A24C8"/>
    <w:rsid w:val="004A46EE"/>
    <w:rsid w:val="004A4F30"/>
    <w:rsid w:val="004B22D0"/>
    <w:rsid w:val="004B3E26"/>
    <w:rsid w:val="004B550D"/>
    <w:rsid w:val="004C1939"/>
    <w:rsid w:val="004C4D99"/>
    <w:rsid w:val="004C545F"/>
    <w:rsid w:val="004C55C2"/>
    <w:rsid w:val="004C630E"/>
    <w:rsid w:val="004C7570"/>
    <w:rsid w:val="004C780A"/>
    <w:rsid w:val="004C7EF4"/>
    <w:rsid w:val="004D46C9"/>
    <w:rsid w:val="004D4925"/>
    <w:rsid w:val="004D4A7F"/>
    <w:rsid w:val="004D7666"/>
    <w:rsid w:val="004D7BD0"/>
    <w:rsid w:val="004E07C2"/>
    <w:rsid w:val="004E1466"/>
    <w:rsid w:val="004E60FF"/>
    <w:rsid w:val="004F0065"/>
    <w:rsid w:val="004F0849"/>
    <w:rsid w:val="004F0A50"/>
    <w:rsid w:val="004F1F87"/>
    <w:rsid w:val="004F2B8D"/>
    <w:rsid w:val="004F30B6"/>
    <w:rsid w:val="004F6827"/>
    <w:rsid w:val="004F7754"/>
    <w:rsid w:val="005012DC"/>
    <w:rsid w:val="00501CF7"/>
    <w:rsid w:val="00504211"/>
    <w:rsid w:val="005109D9"/>
    <w:rsid w:val="005127EE"/>
    <w:rsid w:val="00513002"/>
    <w:rsid w:val="00517157"/>
    <w:rsid w:val="00517602"/>
    <w:rsid w:val="005217C7"/>
    <w:rsid w:val="005219A2"/>
    <w:rsid w:val="0052335C"/>
    <w:rsid w:val="00525A5E"/>
    <w:rsid w:val="00526C56"/>
    <w:rsid w:val="00530CB7"/>
    <w:rsid w:val="00531927"/>
    <w:rsid w:val="00531A58"/>
    <w:rsid w:val="00532B31"/>
    <w:rsid w:val="00533433"/>
    <w:rsid w:val="005357F2"/>
    <w:rsid w:val="005358D6"/>
    <w:rsid w:val="00540FDB"/>
    <w:rsid w:val="005411AE"/>
    <w:rsid w:val="005416EA"/>
    <w:rsid w:val="005419FC"/>
    <w:rsid w:val="00542FC3"/>
    <w:rsid w:val="00543683"/>
    <w:rsid w:val="00544250"/>
    <w:rsid w:val="00546138"/>
    <w:rsid w:val="0055081B"/>
    <w:rsid w:val="00552289"/>
    <w:rsid w:val="00552DA6"/>
    <w:rsid w:val="0055369F"/>
    <w:rsid w:val="00553B34"/>
    <w:rsid w:val="00557A60"/>
    <w:rsid w:val="0056464D"/>
    <w:rsid w:val="00564CB4"/>
    <w:rsid w:val="0056513E"/>
    <w:rsid w:val="005656F6"/>
    <w:rsid w:val="00565CEF"/>
    <w:rsid w:val="00565FB3"/>
    <w:rsid w:val="005661B6"/>
    <w:rsid w:val="00567045"/>
    <w:rsid w:val="00567089"/>
    <w:rsid w:val="00567318"/>
    <w:rsid w:val="0057162E"/>
    <w:rsid w:val="00573B85"/>
    <w:rsid w:val="00574AD8"/>
    <w:rsid w:val="00576ACB"/>
    <w:rsid w:val="00580D87"/>
    <w:rsid w:val="00585608"/>
    <w:rsid w:val="0058718E"/>
    <w:rsid w:val="005922B0"/>
    <w:rsid w:val="005943CF"/>
    <w:rsid w:val="00594585"/>
    <w:rsid w:val="00595A55"/>
    <w:rsid w:val="00597315"/>
    <w:rsid w:val="005A0702"/>
    <w:rsid w:val="005A6511"/>
    <w:rsid w:val="005A76B0"/>
    <w:rsid w:val="005A7E76"/>
    <w:rsid w:val="005B2065"/>
    <w:rsid w:val="005B2910"/>
    <w:rsid w:val="005B3DC3"/>
    <w:rsid w:val="005C019B"/>
    <w:rsid w:val="005C2E27"/>
    <w:rsid w:val="005C3AB5"/>
    <w:rsid w:val="005C6F71"/>
    <w:rsid w:val="005D0E31"/>
    <w:rsid w:val="005D1658"/>
    <w:rsid w:val="005D230F"/>
    <w:rsid w:val="005D3597"/>
    <w:rsid w:val="005D4A21"/>
    <w:rsid w:val="005D59E6"/>
    <w:rsid w:val="005D5E87"/>
    <w:rsid w:val="005D77E4"/>
    <w:rsid w:val="005E38EE"/>
    <w:rsid w:val="005E3979"/>
    <w:rsid w:val="005E5291"/>
    <w:rsid w:val="005F0169"/>
    <w:rsid w:val="005F0ED2"/>
    <w:rsid w:val="005F2150"/>
    <w:rsid w:val="005F7056"/>
    <w:rsid w:val="00604283"/>
    <w:rsid w:val="0060578F"/>
    <w:rsid w:val="006100CB"/>
    <w:rsid w:val="00611063"/>
    <w:rsid w:val="00611371"/>
    <w:rsid w:val="006124C7"/>
    <w:rsid w:val="00613C74"/>
    <w:rsid w:val="0061411F"/>
    <w:rsid w:val="00616269"/>
    <w:rsid w:val="00616914"/>
    <w:rsid w:val="00617385"/>
    <w:rsid w:val="00617CA1"/>
    <w:rsid w:val="00621337"/>
    <w:rsid w:val="00622020"/>
    <w:rsid w:val="00624A65"/>
    <w:rsid w:val="00624D15"/>
    <w:rsid w:val="00625318"/>
    <w:rsid w:val="00625B1B"/>
    <w:rsid w:val="006260B8"/>
    <w:rsid w:val="00627E2A"/>
    <w:rsid w:val="00632E1C"/>
    <w:rsid w:val="00633D07"/>
    <w:rsid w:val="00635689"/>
    <w:rsid w:val="006362F5"/>
    <w:rsid w:val="006368A3"/>
    <w:rsid w:val="00636BC0"/>
    <w:rsid w:val="006377DF"/>
    <w:rsid w:val="0064289D"/>
    <w:rsid w:val="00642CD3"/>
    <w:rsid w:val="006440FD"/>
    <w:rsid w:val="00644726"/>
    <w:rsid w:val="00644A01"/>
    <w:rsid w:val="006467CF"/>
    <w:rsid w:val="00646818"/>
    <w:rsid w:val="00652235"/>
    <w:rsid w:val="00655255"/>
    <w:rsid w:val="006559BA"/>
    <w:rsid w:val="006559BE"/>
    <w:rsid w:val="00660A6F"/>
    <w:rsid w:val="00662E59"/>
    <w:rsid w:val="00664BA5"/>
    <w:rsid w:val="006668D7"/>
    <w:rsid w:val="006702B7"/>
    <w:rsid w:val="00676BA4"/>
    <w:rsid w:val="00680605"/>
    <w:rsid w:val="00682709"/>
    <w:rsid w:val="006838E5"/>
    <w:rsid w:val="00684358"/>
    <w:rsid w:val="00685528"/>
    <w:rsid w:val="006856E4"/>
    <w:rsid w:val="00685A9A"/>
    <w:rsid w:val="00691637"/>
    <w:rsid w:val="0069295C"/>
    <w:rsid w:val="006929BC"/>
    <w:rsid w:val="0069389A"/>
    <w:rsid w:val="006943DE"/>
    <w:rsid w:val="00696B8B"/>
    <w:rsid w:val="0069784F"/>
    <w:rsid w:val="00697BE6"/>
    <w:rsid w:val="00697F07"/>
    <w:rsid w:val="006A1655"/>
    <w:rsid w:val="006A483A"/>
    <w:rsid w:val="006A623C"/>
    <w:rsid w:val="006A71DF"/>
    <w:rsid w:val="006B0897"/>
    <w:rsid w:val="006B111B"/>
    <w:rsid w:val="006B1F07"/>
    <w:rsid w:val="006B354D"/>
    <w:rsid w:val="006B40C0"/>
    <w:rsid w:val="006B4A33"/>
    <w:rsid w:val="006B65EB"/>
    <w:rsid w:val="006B7534"/>
    <w:rsid w:val="006C0365"/>
    <w:rsid w:val="006C3262"/>
    <w:rsid w:val="006C6976"/>
    <w:rsid w:val="006D0C9D"/>
    <w:rsid w:val="006D3BAB"/>
    <w:rsid w:val="006D56B7"/>
    <w:rsid w:val="006D794A"/>
    <w:rsid w:val="006E10B6"/>
    <w:rsid w:val="006E1F92"/>
    <w:rsid w:val="006E25CB"/>
    <w:rsid w:val="006E340B"/>
    <w:rsid w:val="006E3DF1"/>
    <w:rsid w:val="006F1B6D"/>
    <w:rsid w:val="006F756E"/>
    <w:rsid w:val="006F7A04"/>
    <w:rsid w:val="00700412"/>
    <w:rsid w:val="00700786"/>
    <w:rsid w:val="007010DB"/>
    <w:rsid w:val="007015FA"/>
    <w:rsid w:val="00701A83"/>
    <w:rsid w:val="0070570F"/>
    <w:rsid w:val="0070598B"/>
    <w:rsid w:val="00705FC6"/>
    <w:rsid w:val="00711740"/>
    <w:rsid w:val="00711D51"/>
    <w:rsid w:val="00711DC6"/>
    <w:rsid w:val="007123C7"/>
    <w:rsid w:val="00712B8F"/>
    <w:rsid w:val="0071394B"/>
    <w:rsid w:val="007156D3"/>
    <w:rsid w:val="00717B75"/>
    <w:rsid w:val="00720171"/>
    <w:rsid w:val="00720436"/>
    <w:rsid w:val="00720EA5"/>
    <w:rsid w:val="00721487"/>
    <w:rsid w:val="007221A8"/>
    <w:rsid w:val="007231CA"/>
    <w:rsid w:val="00724D27"/>
    <w:rsid w:val="00727383"/>
    <w:rsid w:val="0073069F"/>
    <w:rsid w:val="00733A20"/>
    <w:rsid w:val="007369C0"/>
    <w:rsid w:val="00740863"/>
    <w:rsid w:val="0074269D"/>
    <w:rsid w:val="00747528"/>
    <w:rsid w:val="007477B6"/>
    <w:rsid w:val="007477F3"/>
    <w:rsid w:val="00751B05"/>
    <w:rsid w:val="00754819"/>
    <w:rsid w:val="007555A5"/>
    <w:rsid w:val="00760C87"/>
    <w:rsid w:val="00764865"/>
    <w:rsid w:val="00766483"/>
    <w:rsid w:val="00766692"/>
    <w:rsid w:val="00770E56"/>
    <w:rsid w:val="00773B88"/>
    <w:rsid w:val="007757E4"/>
    <w:rsid w:val="0078036F"/>
    <w:rsid w:val="00781902"/>
    <w:rsid w:val="00781922"/>
    <w:rsid w:val="00790189"/>
    <w:rsid w:val="00790E2C"/>
    <w:rsid w:val="007921A6"/>
    <w:rsid w:val="00794937"/>
    <w:rsid w:val="007958F7"/>
    <w:rsid w:val="007A1FCD"/>
    <w:rsid w:val="007A6BD0"/>
    <w:rsid w:val="007B0611"/>
    <w:rsid w:val="007B0E4C"/>
    <w:rsid w:val="007B55DA"/>
    <w:rsid w:val="007C126F"/>
    <w:rsid w:val="007C21C0"/>
    <w:rsid w:val="007C3A48"/>
    <w:rsid w:val="007C549A"/>
    <w:rsid w:val="007D3F86"/>
    <w:rsid w:val="007D4304"/>
    <w:rsid w:val="007D5852"/>
    <w:rsid w:val="007E0346"/>
    <w:rsid w:val="007E1D8F"/>
    <w:rsid w:val="007E31E1"/>
    <w:rsid w:val="007E3827"/>
    <w:rsid w:val="007E3CDF"/>
    <w:rsid w:val="007E55AA"/>
    <w:rsid w:val="007E7161"/>
    <w:rsid w:val="007F455F"/>
    <w:rsid w:val="007F625D"/>
    <w:rsid w:val="007F6626"/>
    <w:rsid w:val="007F7E83"/>
    <w:rsid w:val="00801140"/>
    <w:rsid w:val="008027AF"/>
    <w:rsid w:val="00811947"/>
    <w:rsid w:val="0081553A"/>
    <w:rsid w:val="008200A6"/>
    <w:rsid w:val="00820697"/>
    <w:rsid w:val="008213BC"/>
    <w:rsid w:val="00823CC1"/>
    <w:rsid w:val="00823E9F"/>
    <w:rsid w:val="0082636F"/>
    <w:rsid w:val="008263CA"/>
    <w:rsid w:val="0083024D"/>
    <w:rsid w:val="00832478"/>
    <w:rsid w:val="00834E6E"/>
    <w:rsid w:val="00835CCA"/>
    <w:rsid w:val="00837450"/>
    <w:rsid w:val="00837CE5"/>
    <w:rsid w:val="00841D6D"/>
    <w:rsid w:val="00842308"/>
    <w:rsid w:val="0084242D"/>
    <w:rsid w:val="008432A3"/>
    <w:rsid w:val="00845287"/>
    <w:rsid w:val="008506B5"/>
    <w:rsid w:val="00856178"/>
    <w:rsid w:val="00857183"/>
    <w:rsid w:val="00861BD6"/>
    <w:rsid w:val="00863E17"/>
    <w:rsid w:val="008648D0"/>
    <w:rsid w:val="00864D29"/>
    <w:rsid w:val="0086562E"/>
    <w:rsid w:val="008666D4"/>
    <w:rsid w:val="00870F75"/>
    <w:rsid w:val="00871214"/>
    <w:rsid w:val="008714DE"/>
    <w:rsid w:val="008724C5"/>
    <w:rsid w:val="00872B05"/>
    <w:rsid w:val="008732F5"/>
    <w:rsid w:val="00873D42"/>
    <w:rsid w:val="0087515B"/>
    <w:rsid w:val="00875B5C"/>
    <w:rsid w:val="008764C1"/>
    <w:rsid w:val="00890063"/>
    <w:rsid w:val="008915F2"/>
    <w:rsid w:val="00894414"/>
    <w:rsid w:val="0089596D"/>
    <w:rsid w:val="00896406"/>
    <w:rsid w:val="008A374D"/>
    <w:rsid w:val="008A4361"/>
    <w:rsid w:val="008A481E"/>
    <w:rsid w:val="008B1129"/>
    <w:rsid w:val="008B3D08"/>
    <w:rsid w:val="008B4BD6"/>
    <w:rsid w:val="008B6AD3"/>
    <w:rsid w:val="008C19A9"/>
    <w:rsid w:val="008C2C82"/>
    <w:rsid w:val="008C3136"/>
    <w:rsid w:val="008C32C8"/>
    <w:rsid w:val="008C46FA"/>
    <w:rsid w:val="008C72CC"/>
    <w:rsid w:val="008D1508"/>
    <w:rsid w:val="008D16F5"/>
    <w:rsid w:val="008D3F84"/>
    <w:rsid w:val="008D5AF5"/>
    <w:rsid w:val="008D6F52"/>
    <w:rsid w:val="008E3002"/>
    <w:rsid w:val="008E63A8"/>
    <w:rsid w:val="008E6AF6"/>
    <w:rsid w:val="008F1098"/>
    <w:rsid w:val="008F21A7"/>
    <w:rsid w:val="008F21F9"/>
    <w:rsid w:val="008F2D7C"/>
    <w:rsid w:val="008F4614"/>
    <w:rsid w:val="008F4DEF"/>
    <w:rsid w:val="008F71D1"/>
    <w:rsid w:val="008F7A57"/>
    <w:rsid w:val="00900AF5"/>
    <w:rsid w:val="00901B93"/>
    <w:rsid w:val="00901C3C"/>
    <w:rsid w:val="00902FBA"/>
    <w:rsid w:val="00905512"/>
    <w:rsid w:val="0091115C"/>
    <w:rsid w:val="009124C7"/>
    <w:rsid w:val="00912F7A"/>
    <w:rsid w:val="00914F74"/>
    <w:rsid w:val="00917367"/>
    <w:rsid w:val="00920ECA"/>
    <w:rsid w:val="009225D3"/>
    <w:rsid w:val="00924C6D"/>
    <w:rsid w:val="00926863"/>
    <w:rsid w:val="00934432"/>
    <w:rsid w:val="00934C0E"/>
    <w:rsid w:val="00936D77"/>
    <w:rsid w:val="0094446C"/>
    <w:rsid w:val="00945A15"/>
    <w:rsid w:val="0094711C"/>
    <w:rsid w:val="009533BA"/>
    <w:rsid w:val="00955B67"/>
    <w:rsid w:val="00956DC5"/>
    <w:rsid w:val="00957093"/>
    <w:rsid w:val="009615F1"/>
    <w:rsid w:val="0096180E"/>
    <w:rsid w:val="00961AA8"/>
    <w:rsid w:val="00962102"/>
    <w:rsid w:val="00964DC5"/>
    <w:rsid w:val="00966240"/>
    <w:rsid w:val="009663CE"/>
    <w:rsid w:val="00966412"/>
    <w:rsid w:val="009666DC"/>
    <w:rsid w:val="00973903"/>
    <w:rsid w:val="00974E02"/>
    <w:rsid w:val="00975EE6"/>
    <w:rsid w:val="009762CC"/>
    <w:rsid w:val="00976EF2"/>
    <w:rsid w:val="009804E4"/>
    <w:rsid w:val="00981A0E"/>
    <w:rsid w:val="009825F7"/>
    <w:rsid w:val="00984B52"/>
    <w:rsid w:val="00986D15"/>
    <w:rsid w:val="0099136C"/>
    <w:rsid w:val="00992D64"/>
    <w:rsid w:val="00992EB0"/>
    <w:rsid w:val="0099482E"/>
    <w:rsid w:val="00995E9C"/>
    <w:rsid w:val="00996AD9"/>
    <w:rsid w:val="00997554"/>
    <w:rsid w:val="009A0BC5"/>
    <w:rsid w:val="009A1F37"/>
    <w:rsid w:val="009A424E"/>
    <w:rsid w:val="009B0F7B"/>
    <w:rsid w:val="009B1328"/>
    <w:rsid w:val="009B355F"/>
    <w:rsid w:val="009B45B4"/>
    <w:rsid w:val="009B5D52"/>
    <w:rsid w:val="009B6787"/>
    <w:rsid w:val="009C0422"/>
    <w:rsid w:val="009C0B4D"/>
    <w:rsid w:val="009C0C93"/>
    <w:rsid w:val="009C35B1"/>
    <w:rsid w:val="009C4FE2"/>
    <w:rsid w:val="009C567C"/>
    <w:rsid w:val="009C58EF"/>
    <w:rsid w:val="009C78F3"/>
    <w:rsid w:val="009C7FB5"/>
    <w:rsid w:val="009D34AA"/>
    <w:rsid w:val="009D3757"/>
    <w:rsid w:val="009D407B"/>
    <w:rsid w:val="009D5058"/>
    <w:rsid w:val="009E082C"/>
    <w:rsid w:val="009E19CD"/>
    <w:rsid w:val="009E3DE0"/>
    <w:rsid w:val="009E4142"/>
    <w:rsid w:val="009E432D"/>
    <w:rsid w:val="009E46D3"/>
    <w:rsid w:val="009E478A"/>
    <w:rsid w:val="009E57BA"/>
    <w:rsid w:val="009E5F08"/>
    <w:rsid w:val="009E6C2A"/>
    <w:rsid w:val="009E707F"/>
    <w:rsid w:val="009F00AA"/>
    <w:rsid w:val="00A00A68"/>
    <w:rsid w:val="00A00CFE"/>
    <w:rsid w:val="00A01425"/>
    <w:rsid w:val="00A02FCA"/>
    <w:rsid w:val="00A04EA5"/>
    <w:rsid w:val="00A06B60"/>
    <w:rsid w:val="00A07604"/>
    <w:rsid w:val="00A10051"/>
    <w:rsid w:val="00A1135A"/>
    <w:rsid w:val="00A122AC"/>
    <w:rsid w:val="00A14F46"/>
    <w:rsid w:val="00A175C0"/>
    <w:rsid w:val="00A17E36"/>
    <w:rsid w:val="00A20A2E"/>
    <w:rsid w:val="00A2139E"/>
    <w:rsid w:val="00A2233C"/>
    <w:rsid w:val="00A22FD1"/>
    <w:rsid w:val="00A24088"/>
    <w:rsid w:val="00A248A1"/>
    <w:rsid w:val="00A248D8"/>
    <w:rsid w:val="00A33BE4"/>
    <w:rsid w:val="00A368D0"/>
    <w:rsid w:val="00A41570"/>
    <w:rsid w:val="00A43B90"/>
    <w:rsid w:val="00A44AC3"/>
    <w:rsid w:val="00A44CBE"/>
    <w:rsid w:val="00A4607C"/>
    <w:rsid w:val="00A46C1B"/>
    <w:rsid w:val="00A4787B"/>
    <w:rsid w:val="00A57CB7"/>
    <w:rsid w:val="00A62F8A"/>
    <w:rsid w:val="00A63E7B"/>
    <w:rsid w:val="00A6506B"/>
    <w:rsid w:val="00A65732"/>
    <w:rsid w:val="00A676EA"/>
    <w:rsid w:val="00A72F98"/>
    <w:rsid w:val="00A73719"/>
    <w:rsid w:val="00A75DE7"/>
    <w:rsid w:val="00A771D7"/>
    <w:rsid w:val="00A8381D"/>
    <w:rsid w:val="00A83DE3"/>
    <w:rsid w:val="00A862AD"/>
    <w:rsid w:val="00A87470"/>
    <w:rsid w:val="00A87487"/>
    <w:rsid w:val="00A9082D"/>
    <w:rsid w:val="00A9135B"/>
    <w:rsid w:val="00A93585"/>
    <w:rsid w:val="00A93DF4"/>
    <w:rsid w:val="00A957A6"/>
    <w:rsid w:val="00A974C2"/>
    <w:rsid w:val="00A97A3E"/>
    <w:rsid w:val="00AA2C52"/>
    <w:rsid w:val="00AA5E25"/>
    <w:rsid w:val="00AA5F56"/>
    <w:rsid w:val="00AA69D8"/>
    <w:rsid w:val="00AB318E"/>
    <w:rsid w:val="00AB5F0D"/>
    <w:rsid w:val="00AC2914"/>
    <w:rsid w:val="00AC3E08"/>
    <w:rsid w:val="00AC43CA"/>
    <w:rsid w:val="00AC7C9F"/>
    <w:rsid w:val="00AD11D6"/>
    <w:rsid w:val="00AD123F"/>
    <w:rsid w:val="00AD16D3"/>
    <w:rsid w:val="00AD4944"/>
    <w:rsid w:val="00AE0942"/>
    <w:rsid w:val="00AE0EDB"/>
    <w:rsid w:val="00AE4783"/>
    <w:rsid w:val="00AE57CD"/>
    <w:rsid w:val="00AE67A6"/>
    <w:rsid w:val="00AF0451"/>
    <w:rsid w:val="00AF0DDF"/>
    <w:rsid w:val="00AF38C1"/>
    <w:rsid w:val="00AF43C6"/>
    <w:rsid w:val="00AF5A35"/>
    <w:rsid w:val="00AF7A0C"/>
    <w:rsid w:val="00B04033"/>
    <w:rsid w:val="00B06BEF"/>
    <w:rsid w:val="00B11A96"/>
    <w:rsid w:val="00B123EB"/>
    <w:rsid w:val="00B1428D"/>
    <w:rsid w:val="00B14DE6"/>
    <w:rsid w:val="00B14F46"/>
    <w:rsid w:val="00B16552"/>
    <w:rsid w:val="00B17439"/>
    <w:rsid w:val="00B21ABF"/>
    <w:rsid w:val="00B260F6"/>
    <w:rsid w:val="00B2659B"/>
    <w:rsid w:val="00B26B8A"/>
    <w:rsid w:val="00B27D44"/>
    <w:rsid w:val="00B3107D"/>
    <w:rsid w:val="00B31649"/>
    <w:rsid w:val="00B32ECE"/>
    <w:rsid w:val="00B33B60"/>
    <w:rsid w:val="00B3442C"/>
    <w:rsid w:val="00B34DB5"/>
    <w:rsid w:val="00B40941"/>
    <w:rsid w:val="00B4642E"/>
    <w:rsid w:val="00B46D4D"/>
    <w:rsid w:val="00B47E22"/>
    <w:rsid w:val="00B47E77"/>
    <w:rsid w:val="00B511DF"/>
    <w:rsid w:val="00B52170"/>
    <w:rsid w:val="00B554E9"/>
    <w:rsid w:val="00B55AA2"/>
    <w:rsid w:val="00B578C6"/>
    <w:rsid w:val="00B57B6C"/>
    <w:rsid w:val="00B60AB7"/>
    <w:rsid w:val="00B660E2"/>
    <w:rsid w:val="00B67F30"/>
    <w:rsid w:val="00B72057"/>
    <w:rsid w:val="00B741B9"/>
    <w:rsid w:val="00B74EAD"/>
    <w:rsid w:val="00B8166D"/>
    <w:rsid w:val="00B818BD"/>
    <w:rsid w:val="00B82360"/>
    <w:rsid w:val="00B832FB"/>
    <w:rsid w:val="00B841C6"/>
    <w:rsid w:val="00B8486D"/>
    <w:rsid w:val="00B84F8D"/>
    <w:rsid w:val="00B852DD"/>
    <w:rsid w:val="00B9312A"/>
    <w:rsid w:val="00B93FFD"/>
    <w:rsid w:val="00B9790C"/>
    <w:rsid w:val="00BA3C57"/>
    <w:rsid w:val="00BA458C"/>
    <w:rsid w:val="00BB110C"/>
    <w:rsid w:val="00BB2877"/>
    <w:rsid w:val="00BB3A8B"/>
    <w:rsid w:val="00BB4106"/>
    <w:rsid w:val="00BB41D8"/>
    <w:rsid w:val="00BC2BAD"/>
    <w:rsid w:val="00BC4022"/>
    <w:rsid w:val="00BC7226"/>
    <w:rsid w:val="00BC729D"/>
    <w:rsid w:val="00BD06BA"/>
    <w:rsid w:val="00BD082E"/>
    <w:rsid w:val="00BD306A"/>
    <w:rsid w:val="00BD3B3F"/>
    <w:rsid w:val="00BD4659"/>
    <w:rsid w:val="00BD7C19"/>
    <w:rsid w:val="00BE0CE1"/>
    <w:rsid w:val="00BE19BB"/>
    <w:rsid w:val="00BE2701"/>
    <w:rsid w:val="00BE27E1"/>
    <w:rsid w:val="00BE58EE"/>
    <w:rsid w:val="00BE75C2"/>
    <w:rsid w:val="00BF07C6"/>
    <w:rsid w:val="00BF16B2"/>
    <w:rsid w:val="00BF1B82"/>
    <w:rsid w:val="00BF5122"/>
    <w:rsid w:val="00BF545B"/>
    <w:rsid w:val="00BF572C"/>
    <w:rsid w:val="00BF761B"/>
    <w:rsid w:val="00C03926"/>
    <w:rsid w:val="00C055EA"/>
    <w:rsid w:val="00C0574F"/>
    <w:rsid w:val="00C05B60"/>
    <w:rsid w:val="00C10FE2"/>
    <w:rsid w:val="00C14366"/>
    <w:rsid w:val="00C21791"/>
    <w:rsid w:val="00C236FF"/>
    <w:rsid w:val="00C267CB"/>
    <w:rsid w:val="00C26BC1"/>
    <w:rsid w:val="00C26E78"/>
    <w:rsid w:val="00C367FC"/>
    <w:rsid w:val="00C368D8"/>
    <w:rsid w:val="00C36E8E"/>
    <w:rsid w:val="00C432E2"/>
    <w:rsid w:val="00C4698F"/>
    <w:rsid w:val="00C46B96"/>
    <w:rsid w:val="00C47F79"/>
    <w:rsid w:val="00C52151"/>
    <w:rsid w:val="00C526A7"/>
    <w:rsid w:val="00C52814"/>
    <w:rsid w:val="00C5374E"/>
    <w:rsid w:val="00C53BB4"/>
    <w:rsid w:val="00C53FF4"/>
    <w:rsid w:val="00C56CA3"/>
    <w:rsid w:val="00C57CD7"/>
    <w:rsid w:val="00C616AF"/>
    <w:rsid w:val="00C61E0B"/>
    <w:rsid w:val="00C62719"/>
    <w:rsid w:val="00C64FE7"/>
    <w:rsid w:val="00C65F1B"/>
    <w:rsid w:val="00C67F1D"/>
    <w:rsid w:val="00C707F6"/>
    <w:rsid w:val="00C70D19"/>
    <w:rsid w:val="00C71B27"/>
    <w:rsid w:val="00C73318"/>
    <w:rsid w:val="00C75644"/>
    <w:rsid w:val="00C75C6A"/>
    <w:rsid w:val="00C77F60"/>
    <w:rsid w:val="00C8182C"/>
    <w:rsid w:val="00C81C02"/>
    <w:rsid w:val="00C81D6F"/>
    <w:rsid w:val="00C82AE9"/>
    <w:rsid w:val="00C86625"/>
    <w:rsid w:val="00C86849"/>
    <w:rsid w:val="00C92460"/>
    <w:rsid w:val="00C92C2E"/>
    <w:rsid w:val="00C954B5"/>
    <w:rsid w:val="00C95E07"/>
    <w:rsid w:val="00CA05B3"/>
    <w:rsid w:val="00CA1810"/>
    <w:rsid w:val="00CA318D"/>
    <w:rsid w:val="00CA35AF"/>
    <w:rsid w:val="00CA51F1"/>
    <w:rsid w:val="00CA5EBE"/>
    <w:rsid w:val="00CA74A7"/>
    <w:rsid w:val="00CB35CE"/>
    <w:rsid w:val="00CB38D3"/>
    <w:rsid w:val="00CB49C9"/>
    <w:rsid w:val="00CB6946"/>
    <w:rsid w:val="00CC16B7"/>
    <w:rsid w:val="00CC2344"/>
    <w:rsid w:val="00CC2AC4"/>
    <w:rsid w:val="00CC6DB8"/>
    <w:rsid w:val="00CD1C5D"/>
    <w:rsid w:val="00CD422B"/>
    <w:rsid w:val="00CD4242"/>
    <w:rsid w:val="00CD4292"/>
    <w:rsid w:val="00CD5815"/>
    <w:rsid w:val="00CD5C94"/>
    <w:rsid w:val="00CE0A64"/>
    <w:rsid w:val="00CE170F"/>
    <w:rsid w:val="00CE1877"/>
    <w:rsid w:val="00CE2D93"/>
    <w:rsid w:val="00CE772D"/>
    <w:rsid w:val="00CF0758"/>
    <w:rsid w:val="00CF55B3"/>
    <w:rsid w:val="00CF58DC"/>
    <w:rsid w:val="00CF76BC"/>
    <w:rsid w:val="00CF7B4D"/>
    <w:rsid w:val="00D002DE"/>
    <w:rsid w:val="00D00809"/>
    <w:rsid w:val="00D044C9"/>
    <w:rsid w:val="00D04E39"/>
    <w:rsid w:val="00D0706F"/>
    <w:rsid w:val="00D110C8"/>
    <w:rsid w:val="00D116C6"/>
    <w:rsid w:val="00D13AA7"/>
    <w:rsid w:val="00D15FE8"/>
    <w:rsid w:val="00D16067"/>
    <w:rsid w:val="00D167C2"/>
    <w:rsid w:val="00D167DE"/>
    <w:rsid w:val="00D17484"/>
    <w:rsid w:val="00D17BC5"/>
    <w:rsid w:val="00D21518"/>
    <w:rsid w:val="00D216F3"/>
    <w:rsid w:val="00D23E3E"/>
    <w:rsid w:val="00D247AC"/>
    <w:rsid w:val="00D271DB"/>
    <w:rsid w:val="00D27E4C"/>
    <w:rsid w:val="00D30125"/>
    <w:rsid w:val="00D34D1D"/>
    <w:rsid w:val="00D377FB"/>
    <w:rsid w:val="00D407BC"/>
    <w:rsid w:val="00D44B7E"/>
    <w:rsid w:val="00D5064C"/>
    <w:rsid w:val="00D51743"/>
    <w:rsid w:val="00D525D8"/>
    <w:rsid w:val="00D52AF3"/>
    <w:rsid w:val="00D56E45"/>
    <w:rsid w:val="00D56ECF"/>
    <w:rsid w:val="00D570F8"/>
    <w:rsid w:val="00D61CD8"/>
    <w:rsid w:val="00D6519C"/>
    <w:rsid w:val="00D65631"/>
    <w:rsid w:val="00D66CB4"/>
    <w:rsid w:val="00D7349B"/>
    <w:rsid w:val="00D74E39"/>
    <w:rsid w:val="00D756F0"/>
    <w:rsid w:val="00D7643A"/>
    <w:rsid w:val="00D765E8"/>
    <w:rsid w:val="00D7728E"/>
    <w:rsid w:val="00D77517"/>
    <w:rsid w:val="00D779C5"/>
    <w:rsid w:val="00D8187E"/>
    <w:rsid w:val="00D820D6"/>
    <w:rsid w:val="00D91878"/>
    <w:rsid w:val="00D91F94"/>
    <w:rsid w:val="00D9513F"/>
    <w:rsid w:val="00D96B41"/>
    <w:rsid w:val="00D97626"/>
    <w:rsid w:val="00D97E73"/>
    <w:rsid w:val="00DA33B3"/>
    <w:rsid w:val="00DA4819"/>
    <w:rsid w:val="00DA69C6"/>
    <w:rsid w:val="00DA6C4B"/>
    <w:rsid w:val="00DA78B2"/>
    <w:rsid w:val="00DB1DB0"/>
    <w:rsid w:val="00DB2125"/>
    <w:rsid w:val="00DB24D2"/>
    <w:rsid w:val="00DB3FB2"/>
    <w:rsid w:val="00DB51DB"/>
    <w:rsid w:val="00DB6B2D"/>
    <w:rsid w:val="00DC2F51"/>
    <w:rsid w:val="00DC3744"/>
    <w:rsid w:val="00DC4034"/>
    <w:rsid w:val="00DC5390"/>
    <w:rsid w:val="00DC793A"/>
    <w:rsid w:val="00DD120B"/>
    <w:rsid w:val="00DD18FD"/>
    <w:rsid w:val="00DD2441"/>
    <w:rsid w:val="00DD52D5"/>
    <w:rsid w:val="00DD72EC"/>
    <w:rsid w:val="00DD7623"/>
    <w:rsid w:val="00DE0C3C"/>
    <w:rsid w:val="00DE358B"/>
    <w:rsid w:val="00DE358D"/>
    <w:rsid w:val="00DE548A"/>
    <w:rsid w:val="00DE62C6"/>
    <w:rsid w:val="00DF190B"/>
    <w:rsid w:val="00DF20D5"/>
    <w:rsid w:val="00DF35AE"/>
    <w:rsid w:val="00DF50B7"/>
    <w:rsid w:val="00DF5529"/>
    <w:rsid w:val="00DF5BB6"/>
    <w:rsid w:val="00E00273"/>
    <w:rsid w:val="00E033FE"/>
    <w:rsid w:val="00E04578"/>
    <w:rsid w:val="00E055F1"/>
    <w:rsid w:val="00E06352"/>
    <w:rsid w:val="00E06B40"/>
    <w:rsid w:val="00E07286"/>
    <w:rsid w:val="00E07CB9"/>
    <w:rsid w:val="00E11E40"/>
    <w:rsid w:val="00E13274"/>
    <w:rsid w:val="00E13C1C"/>
    <w:rsid w:val="00E14F93"/>
    <w:rsid w:val="00E15FB3"/>
    <w:rsid w:val="00E23116"/>
    <w:rsid w:val="00E2456A"/>
    <w:rsid w:val="00E24EC3"/>
    <w:rsid w:val="00E27A9E"/>
    <w:rsid w:val="00E330AE"/>
    <w:rsid w:val="00E3347A"/>
    <w:rsid w:val="00E357A7"/>
    <w:rsid w:val="00E35D25"/>
    <w:rsid w:val="00E36A84"/>
    <w:rsid w:val="00E3732C"/>
    <w:rsid w:val="00E3741B"/>
    <w:rsid w:val="00E417C4"/>
    <w:rsid w:val="00E43B55"/>
    <w:rsid w:val="00E451DC"/>
    <w:rsid w:val="00E51D41"/>
    <w:rsid w:val="00E52B24"/>
    <w:rsid w:val="00E553E0"/>
    <w:rsid w:val="00E576CE"/>
    <w:rsid w:val="00E61865"/>
    <w:rsid w:val="00E65AE3"/>
    <w:rsid w:val="00E6680E"/>
    <w:rsid w:val="00E67206"/>
    <w:rsid w:val="00E71295"/>
    <w:rsid w:val="00E72FA0"/>
    <w:rsid w:val="00E73320"/>
    <w:rsid w:val="00E7466F"/>
    <w:rsid w:val="00E75269"/>
    <w:rsid w:val="00E763EB"/>
    <w:rsid w:val="00E77C88"/>
    <w:rsid w:val="00E81BD6"/>
    <w:rsid w:val="00E825D6"/>
    <w:rsid w:val="00E84377"/>
    <w:rsid w:val="00E85EEA"/>
    <w:rsid w:val="00E86206"/>
    <w:rsid w:val="00E876D0"/>
    <w:rsid w:val="00E90AC1"/>
    <w:rsid w:val="00E92B3B"/>
    <w:rsid w:val="00E939C8"/>
    <w:rsid w:val="00E94124"/>
    <w:rsid w:val="00E943E8"/>
    <w:rsid w:val="00E94854"/>
    <w:rsid w:val="00E95C41"/>
    <w:rsid w:val="00E973C5"/>
    <w:rsid w:val="00EA4F27"/>
    <w:rsid w:val="00EA5802"/>
    <w:rsid w:val="00EA7BAE"/>
    <w:rsid w:val="00EB0345"/>
    <w:rsid w:val="00EB092A"/>
    <w:rsid w:val="00EB0DB3"/>
    <w:rsid w:val="00EB34BC"/>
    <w:rsid w:val="00EB3AFA"/>
    <w:rsid w:val="00EB3BFE"/>
    <w:rsid w:val="00EB3E40"/>
    <w:rsid w:val="00EB5549"/>
    <w:rsid w:val="00EB566E"/>
    <w:rsid w:val="00EB59BC"/>
    <w:rsid w:val="00EB7A36"/>
    <w:rsid w:val="00EC135F"/>
    <w:rsid w:val="00EC2870"/>
    <w:rsid w:val="00EC3D08"/>
    <w:rsid w:val="00EC613B"/>
    <w:rsid w:val="00ED08ED"/>
    <w:rsid w:val="00ED3199"/>
    <w:rsid w:val="00ED4657"/>
    <w:rsid w:val="00ED55E6"/>
    <w:rsid w:val="00EE0277"/>
    <w:rsid w:val="00EE0A70"/>
    <w:rsid w:val="00EE2D4A"/>
    <w:rsid w:val="00EE38C0"/>
    <w:rsid w:val="00EF201A"/>
    <w:rsid w:val="00EF2C3A"/>
    <w:rsid w:val="00EF2FE4"/>
    <w:rsid w:val="00EF3A64"/>
    <w:rsid w:val="00EF4AFF"/>
    <w:rsid w:val="00EF597E"/>
    <w:rsid w:val="00EF71E8"/>
    <w:rsid w:val="00F0035E"/>
    <w:rsid w:val="00F03AD1"/>
    <w:rsid w:val="00F0475A"/>
    <w:rsid w:val="00F05AEC"/>
    <w:rsid w:val="00F05B7F"/>
    <w:rsid w:val="00F07567"/>
    <w:rsid w:val="00F0757A"/>
    <w:rsid w:val="00F11925"/>
    <w:rsid w:val="00F12D40"/>
    <w:rsid w:val="00F135B2"/>
    <w:rsid w:val="00F13E36"/>
    <w:rsid w:val="00F1518D"/>
    <w:rsid w:val="00F15692"/>
    <w:rsid w:val="00F15E44"/>
    <w:rsid w:val="00F17B5C"/>
    <w:rsid w:val="00F21E36"/>
    <w:rsid w:val="00F22E7B"/>
    <w:rsid w:val="00F25685"/>
    <w:rsid w:val="00F26C9D"/>
    <w:rsid w:val="00F27892"/>
    <w:rsid w:val="00F2792E"/>
    <w:rsid w:val="00F3108D"/>
    <w:rsid w:val="00F31323"/>
    <w:rsid w:val="00F32FEC"/>
    <w:rsid w:val="00F33887"/>
    <w:rsid w:val="00F33919"/>
    <w:rsid w:val="00F344BC"/>
    <w:rsid w:val="00F35C2F"/>
    <w:rsid w:val="00F37313"/>
    <w:rsid w:val="00F37886"/>
    <w:rsid w:val="00F4151E"/>
    <w:rsid w:val="00F43545"/>
    <w:rsid w:val="00F473BD"/>
    <w:rsid w:val="00F501F9"/>
    <w:rsid w:val="00F50757"/>
    <w:rsid w:val="00F50F1B"/>
    <w:rsid w:val="00F51975"/>
    <w:rsid w:val="00F51DF1"/>
    <w:rsid w:val="00F54B68"/>
    <w:rsid w:val="00F565C2"/>
    <w:rsid w:val="00F56FD2"/>
    <w:rsid w:val="00F612D9"/>
    <w:rsid w:val="00F65FC1"/>
    <w:rsid w:val="00F6706E"/>
    <w:rsid w:val="00F674FF"/>
    <w:rsid w:val="00F70370"/>
    <w:rsid w:val="00F70F9E"/>
    <w:rsid w:val="00F743AB"/>
    <w:rsid w:val="00F7754A"/>
    <w:rsid w:val="00F801EC"/>
    <w:rsid w:val="00F82F47"/>
    <w:rsid w:val="00F84F73"/>
    <w:rsid w:val="00F85EAB"/>
    <w:rsid w:val="00F85F5E"/>
    <w:rsid w:val="00F8615F"/>
    <w:rsid w:val="00F90037"/>
    <w:rsid w:val="00F90F27"/>
    <w:rsid w:val="00F9351B"/>
    <w:rsid w:val="00F93CAB"/>
    <w:rsid w:val="00F96502"/>
    <w:rsid w:val="00F97A8E"/>
    <w:rsid w:val="00FA1755"/>
    <w:rsid w:val="00FA4A9A"/>
    <w:rsid w:val="00FB0541"/>
    <w:rsid w:val="00FB0E42"/>
    <w:rsid w:val="00FB1B08"/>
    <w:rsid w:val="00FB237D"/>
    <w:rsid w:val="00FB2518"/>
    <w:rsid w:val="00FB2D93"/>
    <w:rsid w:val="00FB4135"/>
    <w:rsid w:val="00FB5686"/>
    <w:rsid w:val="00FB612C"/>
    <w:rsid w:val="00FB71F6"/>
    <w:rsid w:val="00FB73B9"/>
    <w:rsid w:val="00FB7492"/>
    <w:rsid w:val="00FB7B4F"/>
    <w:rsid w:val="00FC39C6"/>
    <w:rsid w:val="00FC7CCA"/>
    <w:rsid w:val="00FD2315"/>
    <w:rsid w:val="00FD3ADC"/>
    <w:rsid w:val="00FD3B92"/>
    <w:rsid w:val="00FE33F1"/>
    <w:rsid w:val="00FE39E1"/>
    <w:rsid w:val="00FE6B3F"/>
    <w:rsid w:val="00FE7115"/>
    <w:rsid w:val="00FE715A"/>
    <w:rsid w:val="00FF05A1"/>
    <w:rsid w:val="00FF0EFA"/>
    <w:rsid w:val="00FF15C7"/>
    <w:rsid w:val="00FF3EE5"/>
    <w:rsid w:val="00FF3F3E"/>
    <w:rsid w:val="00FF6338"/>
    <w:rsid w:val="00FF63DA"/>
    <w:rsid w:val="00FF6918"/>
    <w:rsid w:val="00FF6AB8"/>
    <w:rsid w:val="7AF33CE0"/>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qFormat="1"/>
    <w:lsdException w:name="header" w:semiHidden="0" w:qFormat="1"/>
    <w:lsdException w:name="footer" w:semiHidden="0" w:qFormat="1"/>
    <w:lsdException w:name="index heading"/>
    <w:lsdException w:name="caption" w:semiHidden="0" w:uiPriority="0" w:unhideWhenUsed="0"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4">
    <w:name w:val="heading 4"/>
    <w:basedOn w:val="Normal"/>
    <w:next w:val="Normal"/>
    <w:link w:val="4"/>
    <w:autoRedefine/>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ind w:left="2520" w:leftChars="1200"/>
    </w:pPr>
  </w:style>
  <w:style w:type="paragraph" w:styleId="Caption">
    <w:name w:val="caption"/>
    <w:basedOn w:val="Normal"/>
    <w:next w:val="Normal"/>
    <w:autoRedefine/>
    <w:qFormat/>
    <w:pPr>
      <w:widowControl/>
      <w:spacing w:before="120" w:after="120"/>
      <w:jc w:val="left"/>
    </w:pPr>
    <w:rPr>
      <w:rFonts w:ascii="Times New Roman" w:eastAsia="宋体" w:hAnsi="Times New Roman" w:cs="Times New Roman"/>
      <w:b/>
      <w:kern w:val="0"/>
      <w:sz w:val="20"/>
      <w:szCs w:val="20"/>
    </w:rPr>
  </w:style>
  <w:style w:type="paragraph" w:styleId="DocumentMap">
    <w:name w:val="Document Map"/>
    <w:basedOn w:val="Normal"/>
    <w:link w:val="a4"/>
    <w:autoRedefine/>
    <w:uiPriority w:val="99"/>
    <w:semiHidden/>
    <w:unhideWhenUsed/>
    <w:qFormat/>
    <w:rPr>
      <w:rFonts w:ascii="宋体" w:eastAsia="宋体"/>
      <w:sz w:val="24"/>
      <w:szCs w:val="24"/>
    </w:rPr>
  </w:style>
  <w:style w:type="paragraph" w:styleId="CommentText">
    <w:name w:val="annotation text"/>
    <w:basedOn w:val="Normal"/>
    <w:link w:val="a2"/>
    <w:autoRedefine/>
    <w:uiPriority w:val="99"/>
    <w:semiHidden/>
    <w:unhideWhenUsed/>
    <w:qFormat/>
    <w:pPr>
      <w:jc w:val="left"/>
    </w:pPr>
  </w:style>
  <w:style w:type="paragraph" w:styleId="TOC5">
    <w:name w:val="toc 5"/>
    <w:basedOn w:val="Normal"/>
    <w:next w:val="Normal"/>
    <w:autoRedefine/>
    <w:uiPriority w:val="39"/>
    <w:unhideWhenUsed/>
    <w:qFormat/>
    <w:pPr>
      <w:ind w:left="1680" w:leftChars="800"/>
    </w:pPr>
  </w:style>
  <w:style w:type="paragraph" w:styleId="TOC3">
    <w:name w:val="toc 3"/>
    <w:basedOn w:val="Normal"/>
    <w:next w:val="Normal"/>
    <w:autoRedefine/>
    <w:uiPriority w:val="39"/>
    <w:unhideWhenUsed/>
    <w:qFormat/>
    <w:pPr>
      <w:widowControl/>
      <w:spacing w:after="100" w:line="276" w:lineRule="auto"/>
      <w:ind w:left="440"/>
      <w:jc w:val="left"/>
    </w:pPr>
    <w:rPr>
      <w:kern w:val="0"/>
      <w:sz w:val="22"/>
    </w:rPr>
  </w:style>
  <w:style w:type="paragraph" w:styleId="TOC8">
    <w:name w:val="toc 8"/>
    <w:basedOn w:val="Normal"/>
    <w:next w:val="Normal"/>
    <w:autoRedefine/>
    <w:uiPriority w:val="39"/>
    <w:unhideWhenUsed/>
    <w:qFormat/>
    <w:pPr>
      <w:ind w:left="2940" w:leftChars="140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76" w:lineRule="auto"/>
      <w:jc w:val="left"/>
    </w:pPr>
    <w:rPr>
      <w:kern w:val="0"/>
      <w:sz w:val="22"/>
    </w:rPr>
  </w:style>
  <w:style w:type="paragraph" w:styleId="TOC4">
    <w:name w:val="toc 4"/>
    <w:basedOn w:val="Normal"/>
    <w:next w:val="Normal"/>
    <w:autoRedefine/>
    <w:uiPriority w:val="39"/>
    <w:unhideWhenUsed/>
    <w:qFormat/>
    <w:pPr>
      <w:ind w:left="1260" w:leftChars="600"/>
    </w:pPr>
  </w:style>
  <w:style w:type="paragraph" w:styleId="TOC6">
    <w:name w:val="toc 6"/>
    <w:basedOn w:val="Normal"/>
    <w:next w:val="Normal"/>
    <w:autoRedefine/>
    <w:uiPriority w:val="39"/>
    <w:unhideWhenUsed/>
    <w:qFormat/>
    <w:pPr>
      <w:ind w:left="2100" w:leftChars="1000"/>
    </w:pPr>
  </w:style>
  <w:style w:type="paragraph" w:styleId="TOC2">
    <w:name w:val="toc 2"/>
    <w:basedOn w:val="Normal"/>
    <w:next w:val="Normal"/>
    <w:autoRedefine/>
    <w:uiPriority w:val="39"/>
    <w:unhideWhenUsed/>
    <w:qFormat/>
    <w:pPr>
      <w:widowControl/>
      <w:tabs>
        <w:tab w:val="left" w:pos="709"/>
        <w:tab w:val="left" w:pos="1150"/>
        <w:tab w:val="right" w:leader="dot" w:pos="8302"/>
      </w:tabs>
      <w:spacing w:after="100" w:line="276" w:lineRule="auto"/>
      <w:ind w:left="220"/>
      <w:jc w:val="left"/>
    </w:pPr>
    <w:rPr>
      <w:kern w:val="0"/>
      <w:sz w:val="22"/>
    </w:rPr>
  </w:style>
  <w:style w:type="paragraph" w:styleId="TOC9">
    <w:name w:val="toc 9"/>
    <w:basedOn w:val="Normal"/>
    <w:next w:val="Normal"/>
    <w:autoRedefine/>
    <w:uiPriority w:val="39"/>
    <w:unhideWhenUsed/>
    <w:qFormat/>
    <w:pPr>
      <w:ind w:left="3360" w:leftChars="1600"/>
    </w:pPr>
  </w:style>
  <w:style w:type="paragraph" w:styleId="NormalWeb">
    <w:name w:val="Normal (Web)"/>
    <w:basedOn w:val="Normal"/>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3"/>
    <w:autoRedefine/>
    <w:uiPriority w:val="99"/>
    <w:semiHidden/>
    <w:unhideWhenUsed/>
    <w:qFormat/>
    <w:rPr>
      <w:b/>
      <w:bCs/>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paragraph" w:styleId="ListParagraph">
    <w:name w:val="List Paragraph"/>
    <w:basedOn w:val="Normal"/>
    <w:link w:val="a5"/>
    <w:autoRedefine/>
    <w:uiPriority w:val="34"/>
    <w:qFormat/>
    <w:pPr>
      <w:ind w:firstLine="420" w:firstLineChars="200"/>
    </w:pPr>
  </w:style>
  <w:style w:type="paragraph" w:customStyle="1" w:styleId="Default">
    <w:name w:val="Default"/>
    <w:autoRedefine/>
    <w:qFormat/>
    <w:pPr>
      <w:widowControl w:val="0"/>
      <w:autoSpaceDE w:val="0"/>
      <w:autoSpaceDN w:val="0"/>
      <w:adjustRightInd w:val="0"/>
    </w:pPr>
    <w:rPr>
      <w:rFonts w:ascii="宋体壵...." w:eastAsia="宋体壵...." w:hAnsiTheme="minorHAnsi" w:cs="宋体壵...."/>
      <w:color w:val="000000"/>
      <w:kern w:val="0"/>
      <w:sz w:val="24"/>
      <w:szCs w:val="24"/>
      <w:lang w:val="en-US" w:eastAsia="zh-CN" w:bidi="ar-SA"/>
    </w:rPr>
  </w:style>
  <w:style w:type="character" w:customStyle="1" w:styleId="1">
    <w:name w:val="标题 1 字符"/>
    <w:basedOn w:val="DefaultParagraphFont"/>
    <w:link w:val="Heading1"/>
    <w:autoRedefine/>
    <w:uiPriority w:val="9"/>
    <w:qFormat/>
    <w:rPr>
      <w:b/>
      <w:bCs/>
      <w:kern w:val="44"/>
      <w:sz w:val="44"/>
      <w:szCs w:val="44"/>
    </w:rPr>
  </w:style>
  <w:style w:type="character" w:customStyle="1" w:styleId="2">
    <w:name w:val="标题 2 字符"/>
    <w:basedOn w:val="DefaultParagraphFont"/>
    <w:link w:val="Heading2"/>
    <w:autoRedefine/>
    <w:uiPriority w:val="9"/>
    <w:qFormat/>
    <w:rPr>
      <w:rFonts w:asciiTheme="majorHAnsi" w:eastAsiaTheme="majorEastAsia" w:hAnsiTheme="majorHAnsi" w:cstheme="majorBidi"/>
      <w:b/>
      <w:bCs/>
      <w:sz w:val="32"/>
      <w:szCs w:val="32"/>
    </w:rPr>
  </w:style>
  <w:style w:type="paragraph" w:customStyle="1" w:styleId="TOCHeading">
    <w:name w:val="TOC Heading"/>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a2">
    <w:name w:val="批注文字 字符"/>
    <w:basedOn w:val="DefaultParagraphFont"/>
    <w:link w:val="CommentText"/>
    <w:autoRedefine/>
    <w:uiPriority w:val="99"/>
    <w:semiHidden/>
    <w:qFormat/>
  </w:style>
  <w:style w:type="character" w:customStyle="1" w:styleId="a3">
    <w:name w:val="批注主题 字符"/>
    <w:basedOn w:val="a2"/>
    <w:link w:val="CommentSubject"/>
    <w:autoRedefine/>
    <w:uiPriority w:val="99"/>
    <w:semiHidden/>
    <w:qFormat/>
    <w:rPr>
      <w:b/>
      <w:bCs/>
    </w:rPr>
  </w:style>
  <w:style w:type="character" w:customStyle="1" w:styleId="a4">
    <w:name w:val="文档结构图 字符"/>
    <w:basedOn w:val="DefaultParagraphFont"/>
    <w:link w:val="DocumentMap"/>
    <w:autoRedefine/>
    <w:uiPriority w:val="99"/>
    <w:semiHidden/>
    <w:qFormat/>
    <w:rPr>
      <w:rFonts w:ascii="宋体" w:eastAsia="宋体"/>
      <w:sz w:val="24"/>
      <w:szCs w:val="24"/>
    </w:rPr>
  </w:style>
  <w:style w:type="character" w:styleId="PlaceholderText">
    <w:name w:val="Placeholder Text"/>
    <w:basedOn w:val="DefaultParagraphFont"/>
    <w:autoRedefine/>
    <w:uiPriority w:val="99"/>
    <w:semiHidden/>
    <w:qFormat/>
    <w:rPr>
      <w:color w:val="808080"/>
    </w:rPr>
  </w:style>
  <w:style w:type="paragraph" w:customStyle="1" w:styleId="MTDisplayEquation">
    <w:name w:val="MTDisplayEquation"/>
    <w:basedOn w:val="ListParagraph"/>
    <w:next w:val="Normal"/>
    <w:link w:val="MTDisplayEquation0"/>
    <w:autoRedefine/>
    <w:qFormat/>
    <w:pPr>
      <w:tabs>
        <w:tab w:val="center" w:pos="5320"/>
        <w:tab w:val="right" w:pos="9340"/>
      </w:tabs>
      <w:spacing w:line="312" w:lineRule="auto"/>
      <w:ind w:left="1276" w:firstLine="0" w:firstLineChars="0"/>
      <w:jc w:val="left"/>
    </w:pPr>
    <w:rPr>
      <w:rFonts w:ascii="Times New Roman" w:hAnsi="Times New Roman" w:cs="Times New Roman"/>
      <w:szCs w:val="20"/>
    </w:rPr>
  </w:style>
  <w:style w:type="character" w:customStyle="1" w:styleId="a5">
    <w:name w:val="列表段落 字符"/>
    <w:basedOn w:val="DefaultParagraphFont"/>
    <w:link w:val="ListParagraph"/>
    <w:autoRedefine/>
    <w:uiPriority w:val="34"/>
    <w:qFormat/>
  </w:style>
  <w:style w:type="character" w:customStyle="1" w:styleId="MTDisplayEquation0">
    <w:name w:val="MTDisplayEquation 字符"/>
    <w:basedOn w:val="a5"/>
    <w:link w:val="MTDisplayEquation"/>
    <w:autoRedefine/>
    <w:qFormat/>
    <w:rPr>
      <w:rFonts w:ascii="Times New Roman" w:hAnsi="Times New Roman" w:cs="Times New Roman"/>
      <w:szCs w:val="20"/>
    </w:rPr>
  </w:style>
  <w:style w:type="table" w:customStyle="1" w:styleId="11">
    <w:name w:val="无格式表格 11"/>
    <w:basedOn w:val="TableNormal"/>
    <w:autoRedefine/>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character" w:customStyle="1" w:styleId="4">
    <w:name w:val="标题 4 字符"/>
    <w:basedOn w:val="DefaultParagraphFont"/>
    <w:link w:val="Heading4"/>
    <w:autoRedefine/>
    <w:uiPriority w:val="9"/>
    <w:semiHidden/>
    <w:qFormat/>
    <w:rPr>
      <w:rFonts w:asciiTheme="majorHAnsi" w:eastAsiaTheme="majorEastAsia" w:hAnsiTheme="majorHAnsi" w:cstheme="majorBidi"/>
      <w:b/>
      <w:bCs/>
      <w:sz w:val="28"/>
      <w:szCs w:val="28"/>
    </w:rPr>
  </w:style>
  <w:style w:type="character" w:customStyle="1" w:styleId="fontstyle01">
    <w:name w:val="fontstyle01"/>
    <w:basedOn w:val="DefaultParagraphFont"/>
    <w:autoRedefine/>
    <w:qFormat/>
    <w:rPr>
      <w:rFonts w:ascii="宋体" w:eastAsia="宋体" w:hAnsi="宋体" w:hint="eastAsia"/>
      <w:color w:val="000000"/>
      <w:sz w:val="24"/>
      <w:szCs w:val="24"/>
    </w:rPr>
  </w:style>
  <w:style w:type="table" w:customStyle="1" w:styleId="10">
    <w:name w:val="网格型1"/>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autoRedefine/>
    <w:uiPriority w:val="99"/>
    <w:semiHidden/>
    <w:unhideWhenUsed/>
    <w:qFormat/>
    <w:rPr>
      <w:color w:val="605E5C"/>
      <w:shd w:val="clear" w:color="auto" w:fill="E1DFDD"/>
    </w:rPr>
  </w:style>
  <w:style w:type="table" w:customStyle="1" w:styleId="TableGrid0">
    <w:name w:val="Table Grid_0"/>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footer" Target="footer46.xml" /><Relationship Id="rId101" Type="http://schemas.openxmlformats.org/officeDocument/2006/relationships/theme" Target="theme/theme1.xml" /><Relationship Id="rId102" Type="http://schemas.openxmlformats.org/officeDocument/2006/relationships/numbering" Target="numbering.xml" /><Relationship Id="rId103" Type="http://schemas.openxmlformats.org/officeDocument/2006/relationships/styles" Target="styles.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footer" Target="footer25.xml" /><Relationship Id="rId58" Type="http://schemas.openxmlformats.org/officeDocument/2006/relationships/header" Target="header26.xml" /><Relationship Id="rId59" Type="http://schemas.openxmlformats.org/officeDocument/2006/relationships/footer" Target="footer26.xml" /><Relationship Id="rId6" Type="http://schemas.openxmlformats.org/officeDocument/2006/relationships/image" Target="media/image1.png"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footer" Target="footer28.xml" /><Relationship Id="rId64" Type="http://schemas.openxmlformats.org/officeDocument/2006/relationships/header" Target="header29.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footer" Target="footer31.xml" /><Relationship Id="rId7" Type="http://schemas.openxmlformats.org/officeDocument/2006/relationships/oleObject" Target="embeddings/oleObject1.bin" /><Relationship Id="rId70" Type="http://schemas.openxmlformats.org/officeDocument/2006/relationships/header" Target="header32.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footer" Target="footer34.xm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1.xml" /><Relationship Id="rId80" Type="http://schemas.openxmlformats.org/officeDocument/2006/relationships/header" Target="header37.xml" /><Relationship Id="rId81" Type="http://schemas.openxmlformats.org/officeDocument/2006/relationships/footer" Target="footer37.xml" /><Relationship Id="rId82" Type="http://schemas.openxmlformats.org/officeDocument/2006/relationships/header" Target="header38.xml" /><Relationship Id="rId83" Type="http://schemas.openxmlformats.org/officeDocument/2006/relationships/footer" Target="footer38.xml" /><Relationship Id="rId84" Type="http://schemas.openxmlformats.org/officeDocument/2006/relationships/header" Target="header39.xml" /><Relationship Id="rId85" Type="http://schemas.openxmlformats.org/officeDocument/2006/relationships/footer" Target="footer39.xml" /><Relationship Id="rId86" Type="http://schemas.openxmlformats.org/officeDocument/2006/relationships/header" Target="header40.xml" /><Relationship Id="rId87" Type="http://schemas.openxmlformats.org/officeDocument/2006/relationships/footer" Target="footer40.xml" /><Relationship Id="rId88" Type="http://schemas.openxmlformats.org/officeDocument/2006/relationships/header" Target="header41.xml" /><Relationship Id="rId89" Type="http://schemas.openxmlformats.org/officeDocument/2006/relationships/footer" Target="footer41.xml" /><Relationship Id="rId9" Type="http://schemas.openxmlformats.org/officeDocument/2006/relationships/footer" Target="footer1.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header" Target="header43.xml" /><Relationship Id="rId93" Type="http://schemas.openxmlformats.org/officeDocument/2006/relationships/footer" Target="footer43.xml" /><Relationship Id="rId94" Type="http://schemas.openxmlformats.org/officeDocument/2006/relationships/header" Target="header44.xml" /><Relationship Id="rId95" Type="http://schemas.openxmlformats.org/officeDocument/2006/relationships/footer" Target="footer44.xml" /><Relationship Id="rId96" Type="http://schemas.openxmlformats.org/officeDocument/2006/relationships/hyperlink" Target="https://d.book118.com/925044232341011034" TargetMode="External" /><Relationship Id="rId97" Type="http://schemas.openxmlformats.org/officeDocument/2006/relationships/header" Target="header45.xml" /><Relationship Id="rId98" Type="http://schemas.openxmlformats.org/officeDocument/2006/relationships/footer" Target="footer45.xml" /><Relationship Id="rId99" Type="http://schemas.openxmlformats.org/officeDocument/2006/relationships/header" Target="header4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06102E-08D0-4AD9-9927-A240A28DB2D2}">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23</Pages>
  <Words>8828</Words>
  <Characters>50325</Characters>
  <Application>Microsoft Office Word</Application>
  <DocSecurity>0</DocSecurity>
  <Lines>419</Lines>
  <Paragraphs>118</Paragraphs>
  <ScaleCrop>false</ScaleCrop>
  <Company>Microsoft</Company>
  <LinksUpToDate>false</LinksUpToDate>
  <CharactersWithSpaces>59035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yuansc</dc:creator>
  <cp:lastModifiedBy>xwbjl</cp:lastModifiedBy>
  <cp:revision>17</cp:revision>
  <cp:lastPrinted>2020-03-30T07:40:00Z</cp:lastPrinted>
  <dcterms:created xsi:type="dcterms:W3CDTF">2021-10-29T10:29:00Z</dcterms:created>
  <dcterms:modified xsi:type="dcterms:W3CDTF">2024-01-05T07:17:40Z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275A57026424481DAFDC854B1410612A_12</vt:lpwstr>
  </property>
  <property fmtid="{D5CDD505-2E9C-101B-9397-08002B2CF9AE}" pid="3" name="KSOProductBuildVer">
    <vt:lpwstr>2052-12.1.0.16120</vt:lpwstr>
  </property>
</Properties>
</file>