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神经系统类药物相关行业公司成立报告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(七)、神经系统类药物项目建设必要性分析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_Toc16177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(一)、神经系统类药物项目选址原则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5" w:history="1">
        <w:r>
          <w:rPr>
            <w:rFonts w:ascii="仿宋" w:eastAsia="仿宋" w:hAnsi="仿宋" w:cs="仿宋" w:hint="eastAsia"/>
            <w:lang w:eastAsia="zh-CN"/>
          </w:rPr>
          <w:t>(五)、神经系统类药物项目选址综合评价</w:t>
        </w:r>
        <w:r>
          <w:tab/>
        </w:r>
        <w:r>
          <w:fldChar w:fldCharType="begin"/>
        </w:r>
        <w:r>
          <w:instrText xml:space="preserve"> PAGEREF _Toc12085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五、神经系统类药物项目概况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(二)、神经系统类药物项目提出的理由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(三)、神经系统类药物项目选址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(六)、神经系统类药物项目投资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(七)、神经系统类药物项目进度规划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(九)、神经系统类药物项目综合评价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eastAsia="zh-CN"/>
          </w:rPr>
          <w:t>(一)、神经系统类药物项目背景分析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(二)、神经系统类药物项目建设必要性分析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_Toc13341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3" w:history="1">
        <w:r>
          <w:rPr>
            <w:rFonts w:ascii="仿宋" w:eastAsia="仿宋" w:hAnsi="仿宋" w:cs="仿宋" w:hint="eastAsia"/>
            <w:lang w:eastAsia="zh-CN"/>
          </w:rPr>
          <w:t>九、神经系统类药物项目风险分析</w:t>
        </w:r>
        <w:r>
          <w:tab/>
        </w:r>
        <w:r>
          <w:fldChar w:fldCharType="begin"/>
        </w:r>
        <w:r>
          <w:instrText xml:space="preserve"> PAGEREF _Toc19213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(一)、神经系统类药物项目风险分析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(二)、神经系统类药物项目风险对策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十、神经系统类药物项目经济效益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(三)、神经系统类药物项目盈利能力分析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十四、神经系统类药物项目总结分析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(一)、社会责任神经系统类药物项目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7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1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https://d.book118.com/925104334331011043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510433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2024-01-16T18:14:00Z</dcterms:created>
  <dcterms:modified xsi:type="dcterms:W3CDTF">2024-01-16T18:15:06Z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D996137F76A346379948AA7A055C6990_11</vt:lpwstr>
  </property>
  <property fmtid="{D5CDD505-2E9C-101B-9397-08002B2CF9AE}" pid="3" name="KSOProductBuildVer">
    <vt:lpwstr>2052-12.1.0.16120</vt:lpwstr>
  </property>
</Properties>
</file>