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6"/>
        <w:ind w:left="0"/>
        <w:rPr>
          <w:rFonts w:ascii="Times New Roman"/>
          <w:sz w:val="17"/>
        </w:rPr>
      </w:pPr>
    </w:p>
    <w:p>
      <w:pPr>
        <w:pStyle w:val="Heading2"/>
        <w:spacing w:line="488" w:lineRule="exact"/>
        <w:ind w:left="0" w:right="1417"/>
        <w:jc w:val="right"/>
        <w:rPr>
          <w:rFonts w:ascii="微软雅黑"/>
        </w:rPr>
      </w:pPr>
      <w:r>
        <w:rPr>
          <w:rFonts w:ascii="微软雅黑"/>
          <w:shadow/>
          <w:spacing w:val="-5"/>
          <w:w w:val="90"/>
        </w:rPr>
        <w:t>B13</w:t>
      </w:r>
    </w:p>
    <w:p>
      <w:pPr>
        <w:pStyle w:val="BodyText"/>
        <w:spacing w:before="7"/>
        <w:ind w:left="0"/>
        <w:rPr>
          <w:rFonts w:ascii="微软雅黑"/>
          <w:b/>
          <w:sz w:val="16"/>
        </w:rPr>
      </w:pPr>
    </w:p>
    <w:p>
      <w:pPr>
        <w:tabs>
          <w:tab w:val="left" w:pos="6659"/>
        </w:tabs>
        <w:spacing w:before="61"/>
        <w:ind w:left="1620" w:right="0" w:firstLine="0"/>
        <w:jc w:val="left"/>
        <w:rPr>
          <w:rFonts w:ascii="黑体" w:eastAsia="黑体"/>
          <w:sz w:val="36"/>
        </w:rPr>
      </w:pPr>
      <w:r>
        <w:rPr>
          <w:rFonts w:ascii="Times New Roman" w:eastAsia="Times New Roman"/>
          <w:sz w:val="36"/>
          <w:u w:val="single"/>
        </w:rPr>
        <w:tab/>
      </w:r>
      <w:r>
        <w:rPr>
          <w:rFonts w:ascii="黑体" w:eastAsia="黑体"/>
          <w:spacing w:val="-5"/>
          <w:sz w:val="36"/>
        </w:rPr>
        <w:t>工程</w:t>
      </w:r>
    </w:p>
    <w:p>
      <w:pPr>
        <w:pStyle w:val="BodyText"/>
        <w:ind w:left="0"/>
        <w:rPr>
          <w:rFonts w:ascii="黑体"/>
          <w:sz w:val="20"/>
        </w:rPr>
      </w:pPr>
    </w:p>
    <w:p>
      <w:pPr>
        <w:pStyle w:val="BodyText"/>
        <w:ind w:left="0"/>
        <w:rPr>
          <w:rFonts w:ascii="黑体"/>
          <w:sz w:val="20"/>
        </w:rPr>
      </w:pPr>
    </w:p>
    <w:p>
      <w:pPr>
        <w:pStyle w:val="Title"/>
      </w:pPr>
      <w:r>
        <w:rPr>
          <w:shadow/>
          <w:spacing w:val="-2"/>
          <w:w w:val="200"/>
        </w:rPr>
        <w:t>监理实施细则</w:t>
      </w:r>
    </w:p>
    <w:p>
      <w:pPr>
        <w:spacing w:before="0" w:line="824" w:lineRule="exact"/>
        <w:ind w:left="2903" w:right="0" w:firstLine="0"/>
        <w:jc w:val="left"/>
        <w:rPr>
          <w:rFonts w:ascii="Microsoft JhengHei" w:eastAsia="Microsoft JhengHei"/>
          <w:b/>
          <w:sz w:val="48"/>
        </w:rPr>
      </w:pPr>
      <w:r>
        <w:rPr>
          <w:rFonts w:ascii="Microsoft JhengHei" w:eastAsia="Microsoft JhengHei"/>
          <w:b/>
          <w:sz w:val="48"/>
        </w:rPr>
        <w:t>（</w:t>
      </w:r>
      <w:r>
        <w:rPr>
          <w:rFonts w:ascii="Microsoft JhengHei" w:eastAsia="Microsoft JhengHei"/>
          <w:b/>
          <w:sz w:val="37"/>
        </w:rPr>
        <w:t>园林绿化工程</w:t>
      </w:r>
      <w:r>
        <w:rPr>
          <w:rFonts w:ascii="Microsoft JhengHei" w:eastAsia="Microsoft JhengHei"/>
          <w:b/>
          <w:spacing w:val="-10"/>
          <w:sz w:val="48"/>
        </w:rPr>
        <w:t>）</w:t>
      </w:r>
    </w:p>
    <w:p>
      <w:pPr>
        <w:pStyle w:val="BodyText"/>
        <w:spacing w:before="15"/>
        <w:ind w:left="0"/>
        <w:rPr>
          <w:rFonts w:ascii="Microsoft JhengHei"/>
          <w:b/>
          <w:sz w:val="25"/>
        </w:rPr>
      </w:pPr>
    </w:p>
    <w:p>
      <w:pPr>
        <w:spacing w:before="0"/>
        <w:ind w:left="2703" w:right="0" w:firstLine="0"/>
        <w:jc w:val="left"/>
        <w:rPr>
          <w:rFonts w:ascii="微软雅黑" w:eastAsia="微软雅黑"/>
          <w:b/>
          <w:sz w:val="32"/>
        </w:rPr>
      </w:pPr>
      <w:r>
        <w:rPr>
          <w:rFonts w:ascii="微软雅黑" w:eastAsia="微软雅黑"/>
          <w:b/>
          <w:spacing w:val="-2"/>
          <w:sz w:val="32"/>
        </w:rPr>
        <w:t>内容提要：</w:t>
      </w:r>
    </w:p>
    <w:p>
      <w:pPr>
        <w:spacing w:before="210" w:line="326" w:lineRule="auto"/>
        <w:ind w:left="3240" w:right="5059" w:firstLine="0"/>
        <w:jc w:val="left"/>
        <w:rPr>
          <w:rFonts w:ascii="微软雅黑" w:eastAsia="微软雅黑"/>
          <w:b/>
          <w:sz w:val="32"/>
        </w:rPr>
      </w:pPr>
      <w:r>
        <w:rPr>
          <w:rFonts w:ascii="微软雅黑" w:eastAsia="微软雅黑"/>
          <w:b/>
          <w:spacing w:val="-2"/>
          <w:sz w:val="32"/>
        </w:rPr>
        <w:t>专业工程特点</w:t>
      </w:r>
      <w:r>
        <w:rPr>
          <w:rFonts w:ascii="微软雅黑" w:eastAsia="微软雅黑"/>
          <w:b/>
          <w:spacing w:val="-2"/>
          <w:sz w:val="32"/>
        </w:rPr>
        <w:t>监理工作流程</w:t>
      </w:r>
    </w:p>
    <w:p>
      <w:pPr>
        <w:spacing w:before="0" w:line="326" w:lineRule="auto"/>
        <w:ind w:left="3240" w:right="2809" w:firstLine="0"/>
        <w:jc w:val="left"/>
        <w:rPr>
          <w:rFonts w:ascii="微软雅黑" w:eastAsia="微软雅黑"/>
          <w:b/>
          <w:sz w:val="32"/>
        </w:rPr>
      </w:pPr>
      <w:r>
        <w:rPr>
          <w:rFonts w:ascii="微软雅黑" w:eastAsia="微软雅黑"/>
          <w:b/>
          <w:spacing w:val="-2"/>
          <w:sz w:val="32"/>
        </w:rPr>
        <w:t>监理工作控制目标及控制要点</w:t>
      </w:r>
      <w:r>
        <w:rPr>
          <w:rFonts w:ascii="微软雅黑" w:eastAsia="微软雅黑"/>
          <w:b/>
          <w:spacing w:val="-2"/>
          <w:sz w:val="32"/>
        </w:rPr>
        <w:t>监理工作方法及措施</w:t>
      </w:r>
    </w:p>
    <w:p>
      <w:pPr>
        <w:pStyle w:val="BodyText"/>
        <w:spacing w:before="10"/>
        <w:ind w:left="0"/>
        <w:rPr>
          <w:rFonts w:ascii="微软雅黑"/>
          <w:b/>
          <w:sz w:val="38"/>
        </w:rPr>
      </w:pPr>
    </w:p>
    <w:p>
      <w:pPr>
        <w:pStyle w:val="Heading2"/>
        <w:tabs>
          <w:tab w:val="left" w:pos="7124"/>
          <w:tab w:val="left" w:pos="7276"/>
        </w:tabs>
        <w:spacing w:line="187" w:lineRule="auto"/>
        <w:ind w:left="2151" w:right="2948"/>
        <w:rPr>
          <w:rFonts w:ascii="Times New Roman" w:eastAsia="Times New Roman"/>
        </w:rPr>
      </w:pPr>
      <w:r>
        <w:rPr>
          <w:rFonts w:ascii="微软雅黑" w:eastAsia="微软雅黑"/>
          <w:spacing w:val="-2"/>
        </w:rPr>
        <w:t>项</w:t>
      </w:r>
      <w:r>
        <w:rPr>
          <w:rFonts w:ascii="微软雅黑" w:eastAsia="微软雅黑"/>
          <w:spacing w:val="-2"/>
        </w:rPr>
        <w:t>目</w:t>
      </w:r>
      <w:r>
        <w:rPr>
          <w:rFonts w:ascii="微软雅黑" w:eastAsia="微软雅黑"/>
          <w:spacing w:val="-2"/>
        </w:rPr>
        <w:t>监</w:t>
      </w:r>
      <w:r>
        <w:rPr>
          <w:rFonts w:ascii="微软雅黑" w:eastAsia="微软雅黑"/>
          <w:spacing w:val="-2"/>
        </w:rPr>
        <w:t>理</w:t>
      </w:r>
      <w:r>
        <w:rPr>
          <w:rFonts w:ascii="微软雅黑" w:eastAsia="微软雅黑"/>
          <w:spacing w:val="-2"/>
        </w:rPr>
        <w:t>机</w:t>
      </w:r>
      <w:r>
        <w:rPr>
          <w:rFonts w:ascii="微软雅黑" w:eastAsia="微软雅黑"/>
          <w:spacing w:val="-2"/>
        </w:rPr>
        <w:t>构</w:t>
      </w:r>
      <w:r>
        <w:rPr>
          <w:rFonts w:ascii="微软雅黑" w:eastAsia="微软雅黑"/>
          <w:spacing w:val="-2"/>
        </w:rPr>
        <w:t>（</w:t>
      </w:r>
      <w:r>
        <w:rPr>
          <w:rFonts w:ascii="微软雅黑" w:eastAsia="微软雅黑"/>
          <w:spacing w:val="-2"/>
        </w:rPr>
        <w:t>章</w:t>
      </w:r>
      <w:r>
        <w:rPr>
          <w:rFonts w:ascii="微软雅黑" w:eastAsia="微软雅黑"/>
          <w:spacing w:val="-2"/>
        </w:rPr>
        <w:t>）：</w:t>
      </w:r>
      <w:r>
        <w:rPr>
          <w:rFonts w:ascii="Times New Roman" w:eastAsia="Times New Roman"/>
          <w:u w:val="thick"/>
        </w:rPr>
        <w:tab/>
        <w:tab/>
      </w:r>
      <w:r>
        <w:rPr>
          <w:rFonts w:ascii="Times New Roman" w:eastAsia="Times New Roman"/>
        </w:rPr>
        <w:t xml:space="preserve"> </w:t>
      </w:r>
      <w:r>
        <w:rPr>
          <w:rFonts w:ascii="微软雅黑" w:eastAsia="微软雅黑"/>
          <w:spacing w:val="-2"/>
        </w:rPr>
        <w:t>专</w:t>
      </w:r>
      <w:r>
        <w:rPr>
          <w:rFonts w:ascii="微软雅黑" w:eastAsia="微软雅黑"/>
          <w:spacing w:val="-2"/>
        </w:rPr>
        <w:t>业</w:t>
      </w:r>
      <w:r>
        <w:rPr>
          <w:rFonts w:ascii="微软雅黑" w:eastAsia="微软雅黑"/>
          <w:spacing w:val="-2"/>
        </w:rPr>
        <w:t>监</w:t>
      </w:r>
      <w:r>
        <w:rPr>
          <w:rFonts w:ascii="微软雅黑" w:eastAsia="微软雅黑"/>
          <w:spacing w:val="-2"/>
        </w:rPr>
        <w:t>理</w:t>
      </w:r>
      <w:r>
        <w:rPr>
          <w:rFonts w:ascii="微软雅黑" w:eastAsia="微软雅黑"/>
          <w:spacing w:val="-2"/>
        </w:rPr>
        <w:t>工</w:t>
      </w:r>
      <w:r>
        <w:rPr>
          <w:rFonts w:ascii="微软雅黑" w:eastAsia="微软雅黑"/>
          <w:spacing w:val="-2"/>
        </w:rPr>
        <w:t>程</w:t>
      </w:r>
      <w:r>
        <w:rPr>
          <w:rFonts w:ascii="微软雅黑" w:eastAsia="微软雅黑"/>
          <w:spacing w:val="-2"/>
        </w:rPr>
        <w:t>师</w:t>
      </w:r>
      <w:r>
        <w:rPr>
          <w:rFonts w:ascii="微软雅黑" w:eastAsia="微软雅黑"/>
          <w:spacing w:val="-2"/>
        </w:rPr>
        <w:t>：</w:t>
      </w:r>
      <w:r>
        <w:rPr>
          <w:rFonts w:ascii="Times New Roman" w:eastAsia="Times New Roman"/>
          <w:u w:val="thick"/>
        </w:rPr>
        <w:tab/>
      </w:r>
      <w:r>
        <w:rPr>
          <w:rFonts w:ascii="Times New Roman" w:eastAsia="Times New Roman"/>
        </w:rPr>
        <w:t xml:space="preserve"> </w:t>
      </w:r>
      <w:r>
        <w:rPr>
          <w:rFonts w:ascii="微软雅黑" w:eastAsia="微软雅黑"/>
          <w:spacing w:val="-2"/>
        </w:rPr>
        <w:t>总</w:t>
      </w:r>
      <w:r>
        <w:rPr>
          <w:rFonts w:ascii="微软雅黑" w:eastAsia="微软雅黑"/>
          <w:spacing w:val="-2"/>
        </w:rPr>
        <w:t>监</w:t>
      </w:r>
      <w:r>
        <w:rPr>
          <w:rFonts w:ascii="微软雅黑" w:eastAsia="微软雅黑"/>
          <w:spacing w:val="-2"/>
        </w:rPr>
        <w:t>理</w:t>
      </w:r>
      <w:r>
        <w:rPr>
          <w:rFonts w:ascii="微软雅黑" w:eastAsia="微软雅黑"/>
          <w:spacing w:val="-2"/>
        </w:rPr>
        <w:t>工</w:t>
      </w:r>
      <w:r>
        <w:rPr>
          <w:rFonts w:ascii="微软雅黑" w:eastAsia="微软雅黑"/>
          <w:spacing w:val="-2"/>
        </w:rPr>
        <w:t>程</w:t>
      </w:r>
      <w:r>
        <w:rPr>
          <w:rFonts w:ascii="微软雅黑" w:eastAsia="微软雅黑"/>
          <w:spacing w:val="-2"/>
        </w:rPr>
        <w:t>师</w:t>
      </w:r>
      <w:r>
        <w:rPr>
          <w:rFonts w:ascii="微软雅黑" w:eastAsia="微软雅黑"/>
          <w:spacing w:val="-2"/>
        </w:rPr>
        <w:t>：</w:t>
      </w:r>
      <w:r>
        <w:rPr>
          <w:rFonts w:ascii="Times New Roman" w:eastAsia="Times New Roman"/>
          <w:u w:val="thick"/>
        </w:rPr>
        <w:tab/>
        <w:t xml:space="preserve"> </w:t>
      </w:r>
    </w:p>
    <w:p>
      <w:pPr>
        <w:tabs>
          <w:tab w:val="left" w:pos="7035"/>
        </w:tabs>
        <w:spacing w:before="8"/>
        <w:ind w:left="2123" w:right="0" w:firstLine="0"/>
        <w:jc w:val="left"/>
        <w:rPr>
          <w:rFonts w:ascii="Times New Roman" w:eastAsia="Times New Roman"/>
          <w:b/>
          <w:sz w:val="28"/>
        </w:rPr>
      </w:pPr>
      <w:r>
        <w:rPr>
          <w:rFonts w:ascii="微软雅黑" w:eastAsia="微软雅黑"/>
          <w:b/>
          <w:sz w:val="28"/>
        </w:rPr>
        <w:t>日</w:t>
      </w:r>
      <w:r>
        <w:rPr>
          <w:rFonts w:ascii="微软雅黑" w:eastAsia="微软雅黑"/>
          <w:b/>
          <w:sz w:val="28"/>
        </w:rPr>
        <w:t>期</w:t>
      </w:r>
      <w:r>
        <w:rPr>
          <w:rFonts w:ascii="微软雅黑" w:eastAsia="微软雅黑"/>
          <w:b/>
          <w:spacing w:val="-10"/>
          <w:sz w:val="28"/>
        </w:rPr>
        <w:t>：</w:t>
      </w:r>
      <w:r>
        <w:rPr>
          <w:rFonts w:ascii="Times New Roman" w:eastAsia="Times New Roman"/>
          <w:b/>
          <w:sz w:val="28"/>
          <w:u w:val="thick"/>
        </w:rPr>
        <w:tab/>
      </w:r>
    </w:p>
    <w:p>
      <w:pPr>
        <w:pStyle w:val="BodyText"/>
        <w:ind w:left="0"/>
        <w:rPr>
          <w:rFonts w:ascii="Times New Roman"/>
          <w:b/>
          <w:sz w:val="20"/>
        </w:rPr>
      </w:pPr>
    </w:p>
    <w:p>
      <w:pPr>
        <w:pStyle w:val="BodyText"/>
        <w:ind w:left="0"/>
        <w:rPr>
          <w:rFonts w:ascii="Times New Roman"/>
          <w:b/>
          <w:sz w:val="20"/>
        </w:rPr>
      </w:pPr>
    </w:p>
    <w:p>
      <w:pPr>
        <w:pStyle w:val="BodyText"/>
        <w:ind w:left="0"/>
        <w:rPr>
          <w:rFonts w:ascii="Times New Roman"/>
          <w:b/>
          <w:sz w:val="20"/>
        </w:rPr>
      </w:pPr>
    </w:p>
    <w:p>
      <w:pPr>
        <w:pStyle w:val="BodyText"/>
        <w:ind w:left="0"/>
        <w:rPr>
          <w:rFonts w:ascii="Times New Roman"/>
          <w:b/>
          <w:sz w:val="20"/>
        </w:rPr>
      </w:pPr>
    </w:p>
    <w:p>
      <w:pPr>
        <w:pStyle w:val="BodyText"/>
        <w:ind w:left="0"/>
        <w:rPr>
          <w:rFonts w:ascii="Times New Roman"/>
          <w:b/>
          <w:sz w:val="20"/>
        </w:rPr>
      </w:pPr>
    </w:p>
    <w:p>
      <w:pPr>
        <w:pStyle w:val="BodyText"/>
        <w:ind w:left="0"/>
        <w:rPr>
          <w:rFonts w:ascii="Times New Roman"/>
          <w:b/>
          <w:sz w:val="20"/>
        </w:rPr>
      </w:pPr>
    </w:p>
    <w:p>
      <w:pPr>
        <w:pStyle w:val="BodyText"/>
        <w:spacing w:before="9"/>
        <w:ind w:left="0"/>
        <w:rPr>
          <w:rFonts w:ascii="Times New Roman"/>
          <w:b/>
          <w:sz w:val="18"/>
        </w:rPr>
      </w:pPr>
    </w:p>
    <w:p>
      <w:pPr>
        <w:spacing w:before="61"/>
        <w:ind w:left="3380" w:right="0" w:firstLine="0"/>
        <w:jc w:val="left"/>
        <w:rPr>
          <w:rFonts w:ascii="仿宋" w:eastAsia="仿宋"/>
          <w:sz w:val="28"/>
        </w:rPr>
      </w:pPr>
      <w:r>
        <w:rPr>
          <w:rFonts w:ascii="仿宋" w:eastAsia="仿宋"/>
          <w:spacing w:val="-2"/>
          <w:sz w:val="28"/>
        </w:rPr>
        <w:t>江苏省建设厅监制</w:t>
      </w:r>
    </w:p>
    <w:p>
      <w:pPr>
        <w:spacing w:after="0"/>
        <w:jc w:val="left"/>
        <w:rPr>
          <w:rFonts w:ascii="仿宋" w:eastAsia="仿宋"/>
          <w:sz w:val="28"/>
        </w:rPr>
        <w:sectPr>
          <w:headerReference w:type="default" r:id="rId4"/>
          <w:type w:val="continuous"/>
          <w:pgSz w:w="11910" w:h="16840"/>
          <w:pgMar w:top="1140" w:right="0" w:bottom="280" w:left="1680" w:header="873" w:footer="0"/>
          <w:pgNumType w:start="1"/>
          <w:cols w:space="708"/>
        </w:sectPr>
      </w:pPr>
    </w:p>
    <w:p>
      <w:pPr>
        <w:pStyle w:val="BodyText"/>
        <w:ind w:left="0"/>
        <w:rPr>
          <w:rFonts w:ascii="仿宋"/>
          <w:sz w:val="20"/>
        </w:rPr>
      </w:pPr>
    </w:p>
    <w:p>
      <w:pPr>
        <w:pStyle w:val="BodyText"/>
        <w:ind w:left="0"/>
        <w:rPr>
          <w:rFonts w:ascii="仿宋"/>
          <w:sz w:val="20"/>
        </w:rPr>
      </w:pPr>
    </w:p>
    <w:p>
      <w:pPr>
        <w:pStyle w:val="BodyText"/>
        <w:spacing w:before="12"/>
        <w:ind w:left="0"/>
        <w:rPr>
          <w:rFonts w:ascii="仿宋"/>
          <w:sz w:val="28"/>
        </w:rPr>
      </w:pPr>
    </w:p>
    <w:p>
      <w:pPr>
        <w:spacing w:before="0" w:line="702" w:lineRule="exact"/>
        <w:ind w:left="1989" w:right="0" w:firstLine="0"/>
        <w:jc w:val="left"/>
        <w:rPr>
          <w:rFonts w:ascii="Microsoft JhengHei" w:eastAsia="Microsoft JhengHei"/>
          <w:b/>
          <w:sz w:val="44"/>
        </w:rPr>
      </w:pPr>
      <w:r>
        <w:rPr>
          <w:rFonts w:ascii="Microsoft JhengHei" w:eastAsia="Microsoft JhengHei"/>
          <w:b/>
          <w:spacing w:val="-1"/>
          <w:sz w:val="44"/>
        </w:rPr>
        <w:t>园林绿化工程监理实施细则</w:t>
      </w:r>
    </w:p>
    <w:p>
      <w:pPr>
        <w:pStyle w:val="BodyText"/>
        <w:ind w:left="0"/>
        <w:rPr>
          <w:rFonts w:ascii="Microsoft JhengHei"/>
          <w:b/>
          <w:sz w:val="23"/>
        </w:rPr>
      </w:pPr>
    </w:p>
    <w:p>
      <w:pPr>
        <w:pStyle w:val="Heading3"/>
        <w:numPr>
          <w:ilvl w:val="0"/>
          <w:numId w:val="5"/>
        </w:numPr>
        <w:tabs>
          <w:tab w:val="left" w:pos="553"/>
        </w:tabs>
        <w:spacing w:before="0" w:after="0" w:line="240" w:lineRule="auto"/>
        <w:ind w:left="552" w:right="0" w:hanging="362"/>
        <w:jc w:val="left"/>
        <w:rPr>
          <w:rFonts w:ascii="Microsoft JhengHei" w:eastAsia="Microsoft JhengHei"/>
        </w:rPr>
      </w:pPr>
      <w:r>
        <w:rPr>
          <w:rFonts w:ascii="Microsoft JhengHei" w:eastAsia="Microsoft JhengHei"/>
          <w:spacing w:val="-2"/>
        </w:rPr>
        <w:t>本细则编写依椐</w:t>
      </w:r>
    </w:p>
    <w:p>
      <w:pPr>
        <w:pStyle w:val="ListParagraph"/>
        <w:numPr>
          <w:ilvl w:val="1"/>
          <w:numId w:val="5"/>
        </w:numPr>
        <w:tabs>
          <w:tab w:val="left" w:pos="731"/>
        </w:tabs>
        <w:spacing w:before="118" w:after="0" w:line="240" w:lineRule="auto"/>
        <w:ind w:left="731" w:right="0" w:hanging="420"/>
        <w:jc w:val="left"/>
        <w:rPr>
          <w:sz w:val="24"/>
        </w:rPr>
      </w:pPr>
      <w:r>
        <w:rPr>
          <w:spacing w:val="-1"/>
          <w:sz w:val="24"/>
        </w:rPr>
        <w:t>本项目工程已批准的监理规划。</w:t>
      </w:r>
    </w:p>
    <w:p>
      <w:pPr>
        <w:pStyle w:val="ListParagraph"/>
        <w:numPr>
          <w:ilvl w:val="1"/>
          <w:numId w:val="5"/>
        </w:numPr>
        <w:tabs>
          <w:tab w:val="left" w:pos="672"/>
        </w:tabs>
        <w:spacing w:before="80" w:after="0" w:line="240" w:lineRule="auto"/>
        <w:ind w:left="672" w:right="0" w:hanging="361"/>
        <w:jc w:val="left"/>
        <w:rPr>
          <w:sz w:val="22"/>
        </w:rPr>
      </w:pPr>
      <w:r>
        <w:rPr>
          <w:rFonts w:ascii="Microsoft JhengHei" w:eastAsia="Microsoft JhengHei"/>
          <w:b/>
          <w:color w:val="FF0000"/>
          <w:sz w:val="25"/>
          <w:u w:val="thick" w:color="FF0000"/>
        </w:rPr>
        <w:t>*****</w:t>
      </w:r>
      <w:r>
        <w:rPr>
          <w:sz w:val="24"/>
        </w:rPr>
        <w:t>设计院的</w:t>
      </w:r>
      <w:r>
        <w:rPr>
          <w:rFonts w:ascii="微软雅黑" w:eastAsia="微软雅黑"/>
          <w:b/>
          <w:color w:val="FF0000"/>
          <w:sz w:val="24"/>
          <w:u w:val="thick" w:color="FF0000"/>
        </w:rPr>
        <w:t>******</w:t>
      </w:r>
      <w:r>
        <w:rPr>
          <w:spacing w:val="-2"/>
          <w:sz w:val="24"/>
        </w:rPr>
        <w:t>工程的设计图纸</w:t>
      </w:r>
    </w:p>
    <w:p>
      <w:pPr>
        <w:pStyle w:val="ListParagraph"/>
        <w:numPr>
          <w:ilvl w:val="1"/>
          <w:numId w:val="5"/>
        </w:numPr>
        <w:tabs>
          <w:tab w:val="left" w:pos="731"/>
        </w:tabs>
        <w:spacing w:before="113" w:after="0" w:line="240" w:lineRule="auto"/>
        <w:ind w:left="731" w:right="0" w:hanging="420"/>
        <w:jc w:val="left"/>
        <w:rPr>
          <w:sz w:val="24"/>
        </w:rPr>
      </w:pPr>
      <w:r>
        <w:rPr>
          <w:spacing w:val="-2"/>
          <w:sz w:val="24"/>
        </w:rPr>
        <w:t>规范、规程：</w:t>
      </w:r>
    </w:p>
    <w:p>
      <w:pPr>
        <w:pStyle w:val="ListParagraph"/>
        <w:numPr>
          <w:ilvl w:val="2"/>
          <w:numId w:val="5"/>
        </w:numPr>
        <w:tabs>
          <w:tab w:val="left" w:pos="1152"/>
        </w:tabs>
        <w:spacing w:before="180" w:after="0" w:line="240" w:lineRule="auto"/>
        <w:ind w:left="1152" w:right="0" w:hanging="601"/>
        <w:jc w:val="left"/>
        <w:rPr>
          <w:sz w:val="24"/>
        </w:rPr>
      </w:pPr>
      <w:r>
        <w:rPr>
          <w:sz w:val="24"/>
        </w:rPr>
        <w:t>《建设工程监理规范》GB50319--</w:t>
      </w:r>
      <w:r>
        <w:rPr>
          <w:spacing w:val="-4"/>
          <w:sz w:val="24"/>
        </w:rPr>
        <w:t>2000</w:t>
      </w:r>
    </w:p>
    <w:p>
      <w:pPr>
        <w:pStyle w:val="ListParagraph"/>
        <w:numPr>
          <w:ilvl w:val="2"/>
          <w:numId w:val="5"/>
        </w:numPr>
        <w:tabs>
          <w:tab w:val="left" w:pos="1152"/>
        </w:tabs>
        <w:spacing w:before="113" w:after="0" w:line="240" w:lineRule="auto"/>
        <w:ind w:left="1152" w:right="0" w:hanging="601"/>
        <w:jc w:val="left"/>
        <w:rPr>
          <w:sz w:val="24"/>
        </w:rPr>
      </w:pPr>
      <w:r>
        <w:rPr>
          <w:spacing w:val="-1"/>
          <w:sz w:val="24"/>
        </w:rPr>
        <w:t>《建筑工程施工质量验收统一标准》</w:t>
      </w:r>
    </w:p>
    <w:p>
      <w:pPr>
        <w:pStyle w:val="ListParagraph"/>
        <w:numPr>
          <w:ilvl w:val="2"/>
          <w:numId w:val="5"/>
        </w:numPr>
        <w:tabs>
          <w:tab w:val="left" w:pos="1211"/>
        </w:tabs>
        <w:spacing w:before="112" w:after="0" w:line="240" w:lineRule="auto"/>
        <w:ind w:left="1211" w:right="0" w:hanging="660"/>
        <w:jc w:val="left"/>
        <w:rPr>
          <w:sz w:val="24"/>
        </w:rPr>
      </w:pPr>
      <w:r>
        <w:rPr>
          <w:spacing w:val="-1"/>
          <w:sz w:val="24"/>
        </w:rPr>
        <w:t>工程建设标准强制性条文</w:t>
      </w:r>
    </w:p>
    <w:p>
      <w:pPr>
        <w:pStyle w:val="ListParagraph"/>
        <w:numPr>
          <w:ilvl w:val="2"/>
          <w:numId w:val="5"/>
        </w:numPr>
        <w:tabs>
          <w:tab w:val="left" w:pos="1211"/>
        </w:tabs>
        <w:spacing w:before="20" w:after="0" w:line="240" w:lineRule="auto"/>
        <w:ind w:left="1211" w:right="0" w:hanging="660"/>
        <w:jc w:val="left"/>
        <w:rPr>
          <w:rFonts w:ascii="Microsoft JhengHei" w:eastAsia="Microsoft JhengHei"/>
          <w:b/>
          <w:sz w:val="25"/>
        </w:rPr>
      </w:pPr>
      <w:r>
        <w:rPr>
          <w:spacing w:val="-6"/>
          <w:sz w:val="24"/>
        </w:rPr>
        <w:t>各分部工程质量验收规范如：</w:t>
      </w:r>
      <w:r>
        <w:rPr>
          <w:rFonts w:ascii="Microsoft JhengHei" w:eastAsia="Microsoft JhengHei"/>
          <w:b/>
          <w:color w:val="FF0000"/>
          <w:spacing w:val="-6"/>
          <w:sz w:val="25"/>
        </w:rPr>
        <w:t>（</w:t>
      </w:r>
      <w:r>
        <w:rPr>
          <w:color w:val="FF0000"/>
          <w:spacing w:val="-6"/>
          <w:sz w:val="25"/>
        </w:rPr>
        <w:t>根</w:t>
      </w:r>
      <w:r>
        <w:rPr>
          <w:color w:val="FF0000"/>
          <w:spacing w:val="-6"/>
          <w:sz w:val="25"/>
        </w:rPr>
        <w:t>据</w:t>
      </w:r>
      <w:r>
        <w:rPr>
          <w:color w:val="FF0000"/>
          <w:spacing w:val="-6"/>
          <w:sz w:val="25"/>
        </w:rPr>
        <w:t>工</w:t>
      </w:r>
      <w:r>
        <w:rPr>
          <w:color w:val="FF0000"/>
          <w:spacing w:val="-6"/>
          <w:sz w:val="25"/>
        </w:rPr>
        <w:t>程</w:t>
      </w:r>
      <w:r>
        <w:rPr>
          <w:color w:val="FF0000"/>
          <w:spacing w:val="-6"/>
          <w:sz w:val="25"/>
        </w:rPr>
        <w:t>项</w:t>
      </w:r>
      <w:r>
        <w:rPr>
          <w:color w:val="FF0000"/>
          <w:spacing w:val="-6"/>
          <w:sz w:val="25"/>
        </w:rPr>
        <w:t>目</w:t>
      </w:r>
      <w:r>
        <w:rPr>
          <w:color w:val="FF0000"/>
          <w:spacing w:val="-6"/>
          <w:sz w:val="25"/>
        </w:rPr>
        <w:t>具</w:t>
      </w:r>
      <w:r>
        <w:rPr>
          <w:color w:val="FF0000"/>
          <w:spacing w:val="-6"/>
          <w:sz w:val="25"/>
        </w:rPr>
        <w:t>体</w:t>
      </w:r>
      <w:r>
        <w:rPr>
          <w:color w:val="FF0000"/>
          <w:spacing w:val="-6"/>
          <w:sz w:val="25"/>
        </w:rPr>
        <w:t>情</w:t>
      </w:r>
      <w:r>
        <w:rPr>
          <w:color w:val="FF0000"/>
          <w:spacing w:val="-6"/>
          <w:sz w:val="25"/>
        </w:rPr>
        <w:t>况</w:t>
      </w:r>
      <w:r>
        <w:rPr>
          <w:color w:val="FF0000"/>
          <w:spacing w:val="-6"/>
          <w:sz w:val="25"/>
        </w:rPr>
        <w:t>增</w:t>
      </w:r>
      <w:r>
        <w:rPr>
          <w:color w:val="FF0000"/>
          <w:spacing w:val="-6"/>
          <w:sz w:val="25"/>
        </w:rPr>
        <w:t>加</w:t>
      </w:r>
      <w:r>
        <w:rPr>
          <w:color w:val="FF0000"/>
          <w:spacing w:val="-6"/>
          <w:sz w:val="25"/>
        </w:rPr>
        <w:t>删</w:t>
      </w:r>
      <w:r>
        <w:rPr>
          <w:color w:val="FF0000"/>
          <w:spacing w:val="-6"/>
          <w:sz w:val="25"/>
        </w:rPr>
        <w:t>减</w:t>
      </w:r>
      <w:r>
        <w:rPr>
          <w:rFonts w:ascii="Microsoft JhengHei" w:eastAsia="Microsoft JhengHei"/>
          <w:b/>
          <w:color w:val="FF0000"/>
          <w:spacing w:val="-10"/>
          <w:sz w:val="25"/>
        </w:rPr>
        <w:t>）</w:t>
      </w:r>
    </w:p>
    <w:p>
      <w:pPr>
        <w:pStyle w:val="BodyText"/>
        <w:spacing w:before="69"/>
        <w:ind w:left="791"/>
      </w:pPr>
      <w:r>
        <w:rPr>
          <w:spacing w:val="-1"/>
        </w:rPr>
        <w:t>《工程建设强制性标准条文》房屋建设部分</w:t>
      </w:r>
    </w:p>
    <w:p>
      <w:pPr>
        <w:pStyle w:val="BodyText"/>
        <w:spacing w:before="133"/>
        <w:ind w:left="791"/>
      </w:pPr>
      <w:r>
        <w:t>《建筑地基基础工程施工质量验收规范》 GB50202-</w:t>
      </w:r>
      <w:r>
        <w:rPr>
          <w:spacing w:val="-4"/>
        </w:rPr>
        <w:t>2002</w:t>
      </w:r>
    </w:p>
    <w:p>
      <w:pPr>
        <w:pStyle w:val="BodyText"/>
        <w:spacing w:before="132"/>
        <w:ind w:left="791"/>
      </w:pPr>
      <w:r>
        <w:t>《砌体工程施工质量验收规范》 GB50203-</w:t>
      </w:r>
      <w:r>
        <w:rPr>
          <w:spacing w:val="-4"/>
        </w:rPr>
        <w:t>2002</w:t>
      </w:r>
    </w:p>
    <w:p>
      <w:pPr>
        <w:pStyle w:val="BodyText"/>
        <w:spacing w:before="133"/>
        <w:ind w:left="791"/>
      </w:pPr>
      <w:r>
        <w:t>《混凝土结构工程施工质量验收规范》 GB50204-</w:t>
      </w:r>
      <w:r>
        <w:rPr>
          <w:spacing w:val="-4"/>
        </w:rPr>
        <w:t>2002</w:t>
      </w:r>
    </w:p>
    <w:p>
      <w:pPr>
        <w:pStyle w:val="BodyText"/>
        <w:spacing w:before="132"/>
        <w:ind w:left="791"/>
      </w:pPr>
      <w:r>
        <w:t>《钢结构工程施工质量验收规范》 GB50205-</w:t>
      </w:r>
      <w:r>
        <w:rPr>
          <w:spacing w:val="-4"/>
        </w:rPr>
        <w:t>2001</w:t>
      </w:r>
    </w:p>
    <w:p>
      <w:pPr>
        <w:pStyle w:val="BodyText"/>
        <w:spacing w:before="133"/>
        <w:ind w:left="791"/>
      </w:pPr>
      <w:r>
        <w:t>《建筑工程施工质量验收统一标准》 GB50300-</w:t>
      </w:r>
      <w:r>
        <w:rPr>
          <w:spacing w:val="-4"/>
        </w:rPr>
        <w:t>2001</w:t>
      </w:r>
    </w:p>
    <w:p>
      <w:pPr>
        <w:pStyle w:val="BodyText"/>
        <w:spacing w:before="132"/>
        <w:ind w:left="791"/>
      </w:pPr>
      <w:r>
        <w:t>《建筑工程质量检验评定标准》 GB50301-</w:t>
      </w:r>
      <w:r>
        <w:rPr>
          <w:spacing w:val="-4"/>
        </w:rPr>
        <w:t>2002</w:t>
      </w:r>
    </w:p>
    <w:p>
      <w:pPr>
        <w:pStyle w:val="BodyText"/>
        <w:spacing w:before="133"/>
        <w:ind w:left="791"/>
      </w:pPr>
      <w:r>
        <w:rPr>
          <w:spacing w:val="-1"/>
        </w:rPr>
        <w:t>《城镇规划与园林绿化规范 》</w:t>
      </w:r>
    </w:p>
    <w:p>
      <w:pPr>
        <w:spacing w:before="122"/>
        <w:ind w:left="791" w:right="0" w:firstLine="0"/>
        <w:jc w:val="left"/>
        <w:rPr>
          <w:sz w:val="25"/>
        </w:rPr>
      </w:pPr>
      <w:r>
        <w:rPr>
          <w:color w:val="FF0000"/>
          <w:spacing w:val="-2"/>
          <w:sz w:val="25"/>
          <w:u w:val="single" w:color="FF0000"/>
        </w:rPr>
        <w:t>**************</w:t>
      </w:r>
    </w:p>
    <w:p>
      <w:pPr>
        <w:pStyle w:val="BodyText"/>
        <w:ind w:left="0"/>
        <w:rPr>
          <w:sz w:val="20"/>
        </w:rPr>
      </w:pPr>
    </w:p>
    <w:p>
      <w:pPr>
        <w:pStyle w:val="BodyText"/>
        <w:spacing w:before="6"/>
        <w:ind w:left="0"/>
        <w:rPr>
          <w:sz w:val="16"/>
        </w:rPr>
      </w:pPr>
    </w:p>
    <w:p>
      <w:pPr>
        <w:pStyle w:val="ListParagraph"/>
        <w:numPr>
          <w:ilvl w:val="1"/>
          <w:numId w:val="5"/>
        </w:numPr>
        <w:tabs>
          <w:tab w:val="left" w:pos="1030"/>
          <w:tab w:val="left" w:pos="1031"/>
        </w:tabs>
        <w:spacing w:before="69" w:after="0" w:line="240" w:lineRule="auto"/>
        <w:ind w:left="1031" w:right="0" w:hanging="720"/>
        <w:jc w:val="left"/>
        <w:rPr>
          <w:color w:val="003300"/>
          <w:sz w:val="24"/>
        </w:rPr>
      </w:pPr>
      <w:r>
        <w:rPr>
          <w:rFonts w:ascii="Times New Roman" w:eastAsia="Times New Roman"/>
          <w:i/>
          <w:color w:val="FF0000"/>
          <w:spacing w:val="-2"/>
          <w:sz w:val="24"/>
          <w:u w:val="single" w:color="FF0000"/>
        </w:rPr>
        <w:t>******</w:t>
      </w:r>
      <w:r>
        <w:rPr>
          <w:color w:val="FF0000"/>
          <w:spacing w:val="-2"/>
          <w:sz w:val="25"/>
        </w:rPr>
        <w:t>工</w:t>
      </w:r>
      <w:r>
        <w:rPr>
          <w:color w:val="FF0000"/>
          <w:spacing w:val="-2"/>
          <w:sz w:val="25"/>
        </w:rPr>
        <w:t>程</w:t>
      </w:r>
      <w:r>
        <w:rPr>
          <w:color w:val="003300"/>
          <w:spacing w:val="-4"/>
          <w:sz w:val="24"/>
        </w:rPr>
        <w:t>施工组织设计</w:t>
      </w:r>
    </w:p>
    <w:p>
      <w:pPr>
        <w:spacing w:before="159"/>
        <w:ind w:left="911" w:right="0" w:firstLine="0"/>
        <w:jc w:val="left"/>
        <w:rPr>
          <w:sz w:val="24"/>
        </w:rPr>
      </w:pPr>
      <w:r>
        <w:rPr>
          <w:rFonts w:ascii="Times New Roman" w:eastAsia="Times New Roman"/>
          <w:i/>
          <w:color w:val="FF0000"/>
          <w:spacing w:val="-2"/>
          <w:sz w:val="24"/>
          <w:u w:val="single" w:color="FF0000"/>
        </w:rPr>
        <w:t>******</w:t>
      </w:r>
      <w:r>
        <w:rPr>
          <w:color w:val="FF0000"/>
          <w:spacing w:val="-2"/>
          <w:sz w:val="25"/>
        </w:rPr>
        <w:t>工</w:t>
      </w:r>
      <w:r>
        <w:rPr>
          <w:color w:val="FF0000"/>
          <w:spacing w:val="-2"/>
          <w:sz w:val="25"/>
        </w:rPr>
        <w:t>程</w:t>
      </w:r>
      <w:r>
        <w:rPr>
          <w:color w:val="003300"/>
          <w:spacing w:val="-4"/>
          <w:sz w:val="24"/>
        </w:rPr>
        <w:t>委托监理合同</w:t>
      </w:r>
    </w:p>
    <w:p>
      <w:pPr>
        <w:spacing w:before="160"/>
        <w:ind w:left="911" w:right="0" w:firstLine="0"/>
        <w:jc w:val="left"/>
        <w:rPr>
          <w:sz w:val="24"/>
        </w:rPr>
      </w:pPr>
      <w:r>
        <w:rPr>
          <w:rFonts w:ascii="Times New Roman" w:eastAsia="Times New Roman"/>
          <w:i/>
          <w:color w:val="FF0000"/>
          <w:spacing w:val="-2"/>
          <w:sz w:val="24"/>
          <w:u w:val="single" w:color="FF0000"/>
        </w:rPr>
        <w:t>******</w:t>
      </w:r>
      <w:r>
        <w:rPr>
          <w:color w:val="FF0000"/>
          <w:spacing w:val="-2"/>
          <w:sz w:val="25"/>
        </w:rPr>
        <w:t>工</w:t>
      </w:r>
      <w:r>
        <w:rPr>
          <w:color w:val="FF0000"/>
          <w:spacing w:val="-2"/>
          <w:sz w:val="25"/>
        </w:rPr>
        <w:t>程</w:t>
      </w:r>
      <w:r>
        <w:rPr>
          <w:color w:val="003300"/>
          <w:spacing w:val="-4"/>
          <w:sz w:val="24"/>
        </w:rPr>
        <w:t>建筑工程施工合同</w:t>
      </w:r>
    </w:p>
    <w:p>
      <w:pPr>
        <w:spacing w:before="160"/>
        <w:ind w:left="911" w:right="0" w:firstLine="0"/>
        <w:jc w:val="left"/>
        <w:rPr>
          <w:sz w:val="24"/>
        </w:rPr>
      </w:pPr>
      <w:r>
        <w:rPr>
          <w:rFonts w:ascii="Times New Roman" w:eastAsia="Times New Roman"/>
          <w:i/>
          <w:color w:val="FF0000"/>
          <w:spacing w:val="-2"/>
          <w:sz w:val="24"/>
          <w:u w:val="single" w:color="FF0000"/>
        </w:rPr>
        <w:t>******</w:t>
      </w:r>
      <w:r>
        <w:rPr>
          <w:color w:val="FF0000"/>
          <w:spacing w:val="-2"/>
          <w:sz w:val="25"/>
        </w:rPr>
        <w:t>工</w:t>
      </w:r>
      <w:r>
        <w:rPr>
          <w:color w:val="FF0000"/>
          <w:spacing w:val="-2"/>
          <w:sz w:val="25"/>
        </w:rPr>
        <w:t>程</w:t>
      </w:r>
      <w:r>
        <w:rPr>
          <w:color w:val="003300"/>
          <w:spacing w:val="-4"/>
          <w:sz w:val="24"/>
        </w:rPr>
        <w:t>招投标文件</w:t>
      </w:r>
    </w:p>
    <w:p>
      <w:pPr>
        <w:pStyle w:val="ListParagraph"/>
        <w:numPr>
          <w:ilvl w:val="0"/>
          <w:numId w:val="5"/>
        </w:numPr>
        <w:tabs>
          <w:tab w:val="left" w:pos="553"/>
        </w:tabs>
        <w:spacing w:before="90" w:after="0" w:line="240" w:lineRule="auto"/>
        <w:ind w:left="552" w:right="0" w:hanging="362"/>
        <w:jc w:val="left"/>
        <w:rPr>
          <w:rFonts w:ascii="Microsoft JhengHei" w:eastAsia="Microsoft JhengHei"/>
          <w:b/>
          <w:sz w:val="24"/>
        </w:rPr>
      </w:pPr>
      <w:r>
        <w:rPr>
          <w:rFonts w:ascii="Microsoft JhengHei" w:eastAsia="Microsoft JhengHei"/>
          <w:b/>
          <w:spacing w:val="-2"/>
          <w:sz w:val="24"/>
        </w:rPr>
        <w:t>专业工程特点</w:t>
      </w:r>
    </w:p>
    <w:p>
      <w:pPr>
        <w:pStyle w:val="ListParagraph"/>
        <w:numPr>
          <w:ilvl w:val="1"/>
          <w:numId w:val="5"/>
        </w:numPr>
        <w:tabs>
          <w:tab w:val="left" w:pos="1451"/>
        </w:tabs>
        <w:spacing w:before="92" w:after="0" w:line="283" w:lineRule="auto"/>
        <w:ind w:left="191" w:right="1275" w:firstLine="700"/>
        <w:jc w:val="both"/>
        <w:rPr>
          <w:color w:val="FF0000"/>
          <w:sz w:val="29"/>
          <w:u w:val="single" w:color="FF0000"/>
        </w:rPr>
      </w:pPr>
      <w:r>
        <w:rPr>
          <w:color w:val="FF0000"/>
          <w:spacing w:val="-10"/>
          <w:sz w:val="29"/>
          <w:u w:val="single" w:color="FF0000"/>
        </w:rPr>
        <w:t>******</w:t>
      </w:r>
      <w:r>
        <w:rPr>
          <w:color w:val="FF0000"/>
          <w:spacing w:val="-10"/>
          <w:sz w:val="29"/>
          <w:u w:val="single" w:color="FF0000"/>
        </w:rPr>
        <w:t>工</w:t>
      </w:r>
      <w:r>
        <w:rPr>
          <w:color w:val="FF0000"/>
          <w:spacing w:val="-10"/>
          <w:sz w:val="29"/>
          <w:u w:val="single" w:color="FF0000"/>
        </w:rPr>
        <w:t>程</w:t>
      </w:r>
      <w:r>
        <w:rPr>
          <w:color w:val="FF0000"/>
          <w:spacing w:val="-54"/>
          <w:sz w:val="29"/>
          <w:u w:val="single" w:color="FF0000"/>
        </w:rPr>
        <w:t>，位于</w:t>
      </w:r>
      <w:r>
        <w:rPr>
          <w:color w:val="FF0000"/>
          <w:spacing w:val="-10"/>
          <w:sz w:val="29"/>
          <w:u w:val="single" w:color="FF0000"/>
        </w:rPr>
        <w:t>****省******市****,</w:t>
      </w:r>
      <w:r>
        <w:rPr>
          <w:color w:val="FF0000"/>
          <w:spacing w:val="-10"/>
          <w:sz w:val="29"/>
          <w:u w:val="single" w:color="FF0000"/>
        </w:rPr>
        <w:t>总</w:t>
      </w:r>
      <w:r>
        <w:rPr>
          <w:color w:val="FF0000"/>
          <w:spacing w:val="-10"/>
          <w:sz w:val="29"/>
          <w:u w:val="single" w:color="FF0000"/>
        </w:rPr>
        <w:t>面</w:t>
      </w:r>
      <w:r>
        <w:rPr>
          <w:color w:val="FF0000"/>
          <w:spacing w:val="-10"/>
          <w:sz w:val="29"/>
          <w:u w:val="single" w:color="FF0000"/>
        </w:rPr>
        <w:t>积</w:t>
      </w:r>
      <w:r>
        <w:rPr>
          <w:color w:val="FF0000"/>
          <w:spacing w:val="-10"/>
          <w:sz w:val="29"/>
          <w:u w:val="single" w:color="FF0000"/>
        </w:rPr>
        <w:t>约****</w:t>
      </w:r>
      <w:r>
        <w:rPr>
          <w:color w:val="FF0000"/>
          <w:spacing w:val="-10"/>
          <w:sz w:val="29"/>
          <w:u w:val="single" w:color="FF0000"/>
        </w:rPr>
        <w:t>平</w:t>
      </w:r>
      <w:r>
        <w:rPr>
          <w:color w:val="FF0000"/>
          <w:spacing w:val="-10"/>
          <w:sz w:val="29"/>
          <w:u w:val="single" w:color="FF0000"/>
        </w:rPr>
        <w:t>方</w:t>
      </w:r>
      <w:r>
        <w:rPr>
          <w:color w:val="FF0000"/>
          <w:spacing w:val="-10"/>
          <w:sz w:val="29"/>
          <w:u w:val="single" w:color="FF0000"/>
        </w:rPr>
        <w:t>米</w:t>
      </w:r>
      <w:r>
        <w:rPr>
          <w:color w:val="FF0000"/>
          <w:spacing w:val="-10"/>
          <w:sz w:val="29"/>
          <w:u w:val="single" w:color="FF0000"/>
        </w:rPr>
        <w:t>，</w:t>
      </w:r>
      <w:r>
        <w:rPr>
          <w:color w:val="FF0000"/>
          <w:spacing w:val="-8"/>
          <w:sz w:val="29"/>
          <w:u w:val="single" w:color="FF0000"/>
        </w:rPr>
        <w:t>地</w:t>
      </w:r>
      <w:r>
        <w:rPr>
          <w:color w:val="FF0000"/>
          <w:spacing w:val="-8"/>
          <w:sz w:val="29"/>
          <w:u w:val="single" w:color="FF0000"/>
        </w:rPr>
        <w:t>上</w:t>
      </w:r>
      <w:r>
        <w:rPr>
          <w:color w:val="FF0000"/>
          <w:spacing w:val="-8"/>
          <w:sz w:val="29"/>
          <w:u w:val="single" w:color="FF0000"/>
        </w:rPr>
        <w:t>**</w:t>
      </w:r>
      <w:r>
        <w:rPr>
          <w:color w:val="FF0000"/>
          <w:spacing w:val="-8"/>
          <w:sz w:val="29"/>
          <w:u w:val="single" w:color="FF0000"/>
        </w:rPr>
        <w:t>层</w:t>
      </w:r>
      <w:r>
        <w:rPr>
          <w:color w:val="FF0000"/>
          <w:spacing w:val="-8"/>
          <w:sz w:val="29"/>
          <w:u w:val="single" w:color="FF0000"/>
        </w:rPr>
        <w:t>，</w:t>
      </w:r>
      <w:r>
        <w:rPr>
          <w:color w:val="FF0000"/>
          <w:spacing w:val="-8"/>
          <w:sz w:val="29"/>
          <w:u w:val="single" w:color="FF0000"/>
        </w:rPr>
        <w:t>地</w:t>
      </w:r>
      <w:r>
        <w:rPr>
          <w:color w:val="FF0000"/>
          <w:spacing w:val="-8"/>
          <w:sz w:val="29"/>
          <w:u w:val="single" w:color="FF0000"/>
        </w:rPr>
        <w:t>下</w:t>
      </w:r>
      <w:r>
        <w:rPr>
          <w:color w:val="FF0000"/>
          <w:spacing w:val="-8"/>
          <w:sz w:val="29"/>
          <w:u w:val="single" w:color="FF0000"/>
        </w:rPr>
        <w:t>**</w:t>
      </w:r>
      <w:r>
        <w:rPr>
          <w:color w:val="FF0000"/>
          <w:spacing w:val="-8"/>
          <w:sz w:val="29"/>
          <w:u w:val="single" w:color="FF0000"/>
        </w:rPr>
        <w:t>层</w:t>
      </w:r>
      <w:r>
        <w:rPr>
          <w:color w:val="FF0000"/>
          <w:spacing w:val="-8"/>
          <w:sz w:val="29"/>
          <w:u w:val="single" w:color="FF0000"/>
        </w:rPr>
        <w:t>，</w:t>
      </w:r>
      <w:r>
        <w:rPr>
          <w:color w:val="FF0000"/>
          <w:spacing w:val="-8"/>
          <w:sz w:val="29"/>
          <w:u w:val="single" w:color="FF0000"/>
        </w:rPr>
        <w:t>主</w:t>
      </w:r>
      <w:r>
        <w:rPr>
          <w:color w:val="FF0000"/>
          <w:spacing w:val="-8"/>
          <w:sz w:val="29"/>
          <w:u w:val="single" w:color="FF0000"/>
        </w:rPr>
        <w:t>要</w:t>
      </w:r>
      <w:r>
        <w:rPr>
          <w:color w:val="FF0000"/>
          <w:spacing w:val="-8"/>
          <w:sz w:val="29"/>
          <w:u w:val="single" w:color="FF0000"/>
        </w:rPr>
        <w:t>由</w:t>
      </w:r>
      <w:r>
        <w:rPr>
          <w:color w:val="FF0000"/>
          <w:spacing w:val="-8"/>
          <w:sz w:val="29"/>
          <w:u w:val="single" w:color="FF0000"/>
        </w:rPr>
        <w:t>*****</w:t>
      </w:r>
      <w:r>
        <w:rPr>
          <w:color w:val="FF0000"/>
          <w:spacing w:val="-8"/>
          <w:sz w:val="29"/>
          <w:u w:val="single" w:color="FF0000"/>
        </w:rPr>
        <w:t>组</w:t>
      </w:r>
      <w:r>
        <w:rPr>
          <w:color w:val="FF0000"/>
          <w:spacing w:val="-8"/>
          <w:sz w:val="29"/>
          <w:u w:val="single" w:color="FF0000"/>
        </w:rPr>
        <w:t>成</w:t>
      </w:r>
      <w:r>
        <w:rPr>
          <w:color w:val="FF0000"/>
          <w:spacing w:val="-8"/>
          <w:sz w:val="29"/>
          <w:u w:val="single" w:color="FF0000"/>
        </w:rPr>
        <w:t>。</w:t>
      </w:r>
      <w:r>
        <w:rPr>
          <w:color w:val="FF0000"/>
          <w:spacing w:val="-8"/>
          <w:sz w:val="29"/>
          <w:u w:val="single" w:color="FF0000"/>
        </w:rPr>
        <w:t>地</w:t>
      </w:r>
      <w:r>
        <w:rPr>
          <w:color w:val="FF0000"/>
          <w:spacing w:val="-8"/>
          <w:sz w:val="29"/>
          <w:u w:val="single" w:color="FF0000"/>
        </w:rPr>
        <w:t>下</w:t>
      </w:r>
      <w:r>
        <w:rPr>
          <w:color w:val="FF0000"/>
          <w:spacing w:val="-8"/>
          <w:sz w:val="29"/>
          <w:u w:val="single" w:color="FF0000"/>
        </w:rPr>
        <w:t>是</w:t>
      </w:r>
      <w:r>
        <w:rPr>
          <w:color w:val="FF0000"/>
          <w:spacing w:val="-8"/>
          <w:sz w:val="29"/>
          <w:u w:val="single" w:color="FF0000"/>
        </w:rPr>
        <w:t>***,</w:t>
      </w:r>
      <w:r>
        <w:rPr>
          <w:color w:val="FF0000"/>
          <w:spacing w:val="-8"/>
          <w:sz w:val="29"/>
          <w:u w:val="single" w:color="FF0000"/>
        </w:rPr>
        <w:t>地</w:t>
      </w:r>
      <w:r>
        <w:rPr>
          <w:color w:val="FF0000"/>
          <w:spacing w:val="-8"/>
          <w:sz w:val="29"/>
          <w:u w:val="single" w:color="FF0000"/>
        </w:rPr>
        <w:t>上</w:t>
      </w:r>
      <w:r>
        <w:rPr>
          <w:color w:val="FF0000"/>
          <w:spacing w:val="-8"/>
          <w:sz w:val="29"/>
          <w:u w:val="single" w:color="FF0000"/>
        </w:rPr>
        <w:t>主</w:t>
      </w:r>
      <w:r>
        <w:rPr>
          <w:color w:val="FF0000"/>
          <w:spacing w:val="-8"/>
          <w:sz w:val="29"/>
          <w:u w:val="single" w:color="FF0000"/>
        </w:rPr>
        <w:t>要</w:t>
      </w:r>
      <w:r>
        <w:rPr>
          <w:color w:val="FF0000"/>
          <w:spacing w:val="-8"/>
          <w:sz w:val="29"/>
          <w:u w:val="single" w:color="FF0000"/>
        </w:rPr>
        <w:t>是</w:t>
      </w:r>
      <w:r>
        <w:rPr>
          <w:color w:val="FF0000"/>
          <w:spacing w:val="-8"/>
          <w:sz w:val="29"/>
          <w:u w:val="single" w:color="FF0000"/>
        </w:rPr>
        <w:t>***，</w:t>
      </w:r>
      <w:r>
        <w:rPr>
          <w:color w:val="FF0000"/>
          <w:spacing w:val="16843"/>
          <w:sz w:val="29"/>
          <w:u w:val="single" w:color="FF0000"/>
        </w:rPr>
        <w:t xml:space="preserve"> </w:t>
      </w:r>
      <w:r>
        <w:rPr>
          <w:color w:val="FF0000"/>
          <w:spacing w:val="-8"/>
          <w:sz w:val="29"/>
          <w:u w:val="single" w:color="FF0000"/>
        </w:rPr>
        <w:t>建</w:t>
      </w:r>
      <w:r>
        <w:rPr>
          <w:color w:val="FF0000"/>
          <w:spacing w:val="-8"/>
          <w:sz w:val="29"/>
          <w:u w:val="single" w:color="FF0000"/>
        </w:rPr>
        <w:t>筑</w:t>
      </w:r>
      <w:r>
        <w:rPr>
          <w:color w:val="FF0000"/>
          <w:spacing w:val="-8"/>
          <w:sz w:val="29"/>
          <w:u w:val="single" w:color="FF0000"/>
        </w:rPr>
        <w:t>高</w:t>
      </w:r>
      <w:r>
        <w:rPr>
          <w:color w:val="FF0000"/>
          <w:spacing w:val="-8"/>
          <w:sz w:val="29"/>
          <w:u w:val="single" w:color="FF0000"/>
        </w:rPr>
        <w:t>度</w:t>
      </w:r>
      <w:r>
        <w:rPr>
          <w:color w:val="FF0000"/>
          <w:spacing w:val="-8"/>
          <w:sz w:val="29"/>
          <w:u w:val="single" w:color="FF0000"/>
        </w:rPr>
        <w:t>是</w:t>
      </w:r>
      <w:r>
        <w:rPr>
          <w:color w:val="FF0000"/>
          <w:spacing w:val="-8"/>
          <w:sz w:val="29"/>
          <w:u w:val="single" w:color="FF0000"/>
        </w:rPr>
        <w:t>米</w:t>
      </w:r>
      <w:r>
        <w:rPr>
          <w:color w:val="FF0000"/>
          <w:spacing w:val="-8"/>
          <w:sz w:val="29"/>
          <w:u w:val="single" w:color="FF0000"/>
        </w:rPr>
        <w:t>，</w:t>
      </w:r>
      <w:r>
        <w:rPr>
          <w:color w:val="FF0000"/>
          <w:spacing w:val="-8"/>
          <w:sz w:val="29"/>
          <w:u w:val="single" w:color="FF0000"/>
        </w:rPr>
        <w:t>结</w:t>
      </w:r>
      <w:r>
        <w:rPr>
          <w:color w:val="FF0000"/>
          <w:spacing w:val="-8"/>
          <w:sz w:val="29"/>
          <w:u w:val="single" w:color="FF0000"/>
        </w:rPr>
        <w:t>构</w:t>
      </w:r>
      <w:r>
        <w:rPr>
          <w:color w:val="FF0000"/>
          <w:spacing w:val="-8"/>
          <w:sz w:val="29"/>
          <w:u w:val="single" w:color="FF0000"/>
        </w:rPr>
        <w:t>形</w:t>
      </w:r>
      <w:r>
        <w:rPr>
          <w:color w:val="FF0000"/>
          <w:spacing w:val="-8"/>
          <w:sz w:val="29"/>
          <w:u w:val="single" w:color="FF0000"/>
        </w:rPr>
        <w:t>式</w:t>
      </w:r>
      <w:r>
        <w:rPr>
          <w:color w:val="FF0000"/>
          <w:spacing w:val="-8"/>
          <w:sz w:val="29"/>
          <w:u w:val="single" w:color="FF0000"/>
        </w:rPr>
        <w:t>为</w:t>
      </w:r>
      <w:r>
        <w:rPr>
          <w:color w:val="FF0000"/>
          <w:spacing w:val="-8"/>
          <w:sz w:val="29"/>
          <w:u w:val="single" w:color="FF0000"/>
        </w:rPr>
        <w:t>**,</w:t>
      </w:r>
      <w:r>
        <w:rPr>
          <w:color w:val="FF0000"/>
          <w:spacing w:val="-8"/>
          <w:sz w:val="29"/>
          <w:u w:val="single" w:color="FF0000"/>
        </w:rPr>
        <w:t>基</w:t>
      </w:r>
      <w:r>
        <w:rPr>
          <w:color w:val="FF0000"/>
          <w:spacing w:val="-8"/>
          <w:sz w:val="29"/>
          <w:u w:val="single" w:color="FF0000"/>
        </w:rPr>
        <w:t>础</w:t>
      </w:r>
      <w:r>
        <w:rPr>
          <w:color w:val="FF0000"/>
          <w:spacing w:val="-8"/>
          <w:sz w:val="29"/>
          <w:u w:val="single" w:color="FF0000"/>
        </w:rPr>
        <w:t>形</w:t>
      </w:r>
      <w:r>
        <w:rPr>
          <w:color w:val="FF0000"/>
          <w:spacing w:val="-8"/>
          <w:sz w:val="29"/>
          <w:u w:val="single" w:color="FF0000"/>
        </w:rPr>
        <w:t>式</w:t>
      </w:r>
      <w:r>
        <w:rPr>
          <w:color w:val="FF0000"/>
          <w:spacing w:val="-8"/>
          <w:sz w:val="29"/>
          <w:u w:val="single" w:color="FF0000"/>
        </w:rPr>
        <w:t>为</w:t>
      </w:r>
      <w:r>
        <w:rPr>
          <w:color w:val="FF0000"/>
          <w:spacing w:val="-8"/>
          <w:sz w:val="29"/>
          <w:u w:val="single" w:color="FF0000"/>
        </w:rPr>
        <w:t>****。</w:t>
      </w:r>
      <w:r>
        <w:rPr>
          <w:color w:val="FF0000"/>
          <w:spacing w:val="-8"/>
          <w:sz w:val="29"/>
          <w:u w:val="single" w:color="FF0000"/>
        </w:rPr>
        <w:t>耐</w:t>
      </w:r>
      <w:r>
        <w:rPr>
          <w:color w:val="FF0000"/>
          <w:spacing w:val="-8"/>
          <w:sz w:val="29"/>
          <w:u w:val="single" w:color="FF0000"/>
        </w:rPr>
        <w:t>火</w:t>
      </w:r>
      <w:r>
        <w:rPr>
          <w:color w:val="FF0000"/>
          <w:spacing w:val="-8"/>
          <w:sz w:val="29"/>
          <w:u w:val="single" w:color="FF0000"/>
        </w:rPr>
        <w:t>等</w:t>
      </w:r>
      <w:r>
        <w:rPr>
          <w:color w:val="FF0000"/>
          <w:spacing w:val="-8"/>
          <w:sz w:val="29"/>
          <w:u w:val="single" w:color="FF0000"/>
        </w:rPr>
        <w:t>级</w:t>
      </w:r>
      <w:r>
        <w:rPr>
          <w:color w:val="FF0000"/>
          <w:spacing w:val="-8"/>
          <w:sz w:val="29"/>
          <w:u w:val="single" w:color="FF0000"/>
        </w:rPr>
        <w:t>是</w:t>
      </w:r>
      <w:r>
        <w:rPr>
          <w:color w:val="FF0000"/>
          <w:spacing w:val="-8"/>
          <w:sz w:val="29"/>
          <w:u w:val="single" w:color="FF0000"/>
        </w:rPr>
        <w:t>***，</w:t>
      </w:r>
      <w:r>
        <w:rPr>
          <w:color w:val="FF0000"/>
          <w:spacing w:val="-8"/>
          <w:sz w:val="29"/>
          <w:u w:val="single" w:color="FF0000"/>
        </w:rPr>
        <w:t>抗</w:t>
      </w:r>
      <w:r>
        <w:rPr>
          <w:color w:val="FF0000"/>
          <w:spacing w:val="-8"/>
          <w:sz w:val="29"/>
          <w:u w:val="single" w:color="FF0000"/>
        </w:rPr>
        <w:t>震</w:t>
      </w:r>
    </w:p>
    <w:p>
      <w:pPr>
        <w:spacing w:after="0" w:line="283" w:lineRule="auto"/>
        <w:jc w:val="both"/>
        <w:rPr>
          <w:sz w:val="29"/>
        </w:rPr>
        <w:sectPr>
          <w:headerReference w:type="default" r:id="rId5"/>
          <w:pgSz w:w="11910" w:h="16840"/>
          <w:pgMar w:top="1140" w:right="0" w:bottom="280" w:left="1680" w:header="873" w:footer="0"/>
          <w:pgNumType w:start="2"/>
          <w:cols w:space="708"/>
        </w:sectPr>
      </w:pPr>
    </w:p>
    <w:p>
      <w:pPr>
        <w:spacing w:before="62"/>
        <w:ind w:left="191" w:right="0" w:firstLine="0"/>
        <w:jc w:val="left"/>
        <w:rPr>
          <w:sz w:val="29"/>
        </w:rPr>
      </w:pPr>
      <w:r>
        <w:rPr>
          <w:color w:val="FF0000"/>
          <w:spacing w:val="-10"/>
          <w:sz w:val="29"/>
          <w:u w:val="single" w:color="FF0000"/>
        </w:rPr>
        <w:t>设</w:t>
      </w:r>
      <w:r>
        <w:rPr>
          <w:color w:val="FF0000"/>
          <w:spacing w:val="-10"/>
          <w:sz w:val="29"/>
          <w:u w:val="single" w:color="FF0000"/>
        </w:rPr>
        <w:t>防</w:t>
      </w:r>
      <w:r>
        <w:rPr>
          <w:color w:val="FF0000"/>
          <w:spacing w:val="-10"/>
          <w:sz w:val="29"/>
          <w:u w:val="single" w:color="FF0000"/>
        </w:rPr>
        <w:t>烈</w:t>
      </w:r>
      <w:r>
        <w:rPr>
          <w:color w:val="FF0000"/>
          <w:spacing w:val="-10"/>
          <w:sz w:val="29"/>
          <w:u w:val="single" w:color="FF0000"/>
        </w:rPr>
        <w:t>度</w:t>
      </w:r>
      <w:r>
        <w:rPr>
          <w:color w:val="FF0000"/>
          <w:spacing w:val="-10"/>
          <w:sz w:val="29"/>
          <w:u w:val="single" w:color="FF0000"/>
        </w:rPr>
        <w:t>是</w:t>
      </w:r>
      <w:r>
        <w:rPr>
          <w:color w:val="FF0000"/>
          <w:spacing w:val="-10"/>
          <w:sz w:val="29"/>
          <w:u w:val="single" w:color="FF0000"/>
        </w:rPr>
        <w:t>****</w:t>
      </w:r>
      <w:r>
        <w:rPr>
          <w:color w:val="FF0000"/>
          <w:spacing w:val="-10"/>
          <w:sz w:val="29"/>
          <w:u w:val="single" w:color="FF0000"/>
        </w:rPr>
        <w:t>。</w:t>
      </w:r>
    </w:p>
    <w:p>
      <w:pPr>
        <w:pStyle w:val="ListParagraph"/>
        <w:numPr>
          <w:ilvl w:val="1"/>
          <w:numId w:val="6"/>
        </w:numPr>
        <w:tabs>
          <w:tab w:val="left" w:pos="1241"/>
        </w:tabs>
        <w:spacing w:before="68" w:after="0" w:line="283" w:lineRule="auto"/>
        <w:ind w:left="191" w:right="1415" w:firstLine="560"/>
        <w:jc w:val="left"/>
        <w:rPr>
          <w:color w:val="FF0000"/>
          <w:sz w:val="29"/>
          <w:u w:val="single" w:color="FF0000"/>
        </w:rPr>
      </w:pPr>
      <w:r>
        <w:rPr>
          <w:color w:val="FF0000"/>
          <w:spacing w:val="-14"/>
          <w:sz w:val="29"/>
          <w:u w:val="single" w:color="FF0000"/>
        </w:rPr>
        <w:t>该</w:t>
      </w:r>
      <w:r>
        <w:rPr>
          <w:color w:val="FF0000"/>
          <w:spacing w:val="-14"/>
          <w:sz w:val="29"/>
          <w:u w:val="single" w:color="FF0000"/>
        </w:rPr>
        <w:t>工</w:t>
      </w:r>
      <w:r>
        <w:rPr>
          <w:color w:val="FF0000"/>
          <w:spacing w:val="-14"/>
          <w:sz w:val="29"/>
          <w:u w:val="single" w:color="FF0000"/>
        </w:rPr>
        <w:t>程</w:t>
      </w:r>
      <w:r>
        <w:rPr>
          <w:color w:val="FF0000"/>
          <w:spacing w:val="-14"/>
          <w:sz w:val="29"/>
          <w:u w:val="single" w:color="FF0000"/>
        </w:rPr>
        <w:t>建</w:t>
      </w:r>
      <w:r>
        <w:rPr>
          <w:color w:val="FF0000"/>
          <w:spacing w:val="-14"/>
          <w:sz w:val="29"/>
          <w:u w:val="single" w:color="FF0000"/>
        </w:rPr>
        <w:t>设</w:t>
      </w:r>
      <w:r>
        <w:rPr>
          <w:color w:val="FF0000"/>
          <w:spacing w:val="-14"/>
          <w:sz w:val="29"/>
          <w:u w:val="single" w:color="FF0000"/>
        </w:rPr>
        <w:t>单</w:t>
      </w:r>
      <w:r>
        <w:rPr>
          <w:color w:val="FF0000"/>
          <w:spacing w:val="-14"/>
          <w:sz w:val="29"/>
          <w:u w:val="single" w:color="FF0000"/>
        </w:rPr>
        <w:t>位</w:t>
      </w:r>
      <w:r>
        <w:rPr>
          <w:color w:val="FF0000"/>
          <w:spacing w:val="-14"/>
          <w:sz w:val="29"/>
          <w:u w:val="single" w:color="FF0000"/>
        </w:rPr>
        <w:t>是</w:t>
      </w:r>
      <w:r>
        <w:rPr>
          <w:color w:val="FF0000"/>
          <w:spacing w:val="-14"/>
          <w:sz w:val="29"/>
          <w:u w:val="single" w:color="FF0000"/>
        </w:rPr>
        <w:t>***，</w:t>
      </w:r>
      <w:r>
        <w:rPr>
          <w:color w:val="FF0000"/>
          <w:spacing w:val="-14"/>
          <w:sz w:val="29"/>
          <w:u w:val="single" w:color="FF0000"/>
        </w:rPr>
        <w:t>施</w:t>
      </w:r>
      <w:r>
        <w:rPr>
          <w:color w:val="FF0000"/>
          <w:spacing w:val="-14"/>
          <w:sz w:val="29"/>
          <w:u w:val="single" w:color="FF0000"/>
        </w:rPr>
        <w:t>工</w:t>
      </w:r>
      <w:r>
        <w:rPr>
          <w:color w:val="FF0000"/>
          <w:spacing w:val="-14"/>
          <w:sz w:val="29"/>
          <w:u w:val="single" w:color="FF0000"/>
        </w:rPr>
        <w:t>单</w:t>
      </w:r>
      <w:r>
        <w:rPr>
          <w:color w:val="FF0000"/>
          <w:spacing w:val="-14"/>
          <w:sz w:val="29"/>
          <w:u w:val="single" w:color="FF0000"/>
        </w:rPr>
        <w:t>位</w:t>
      </w:r>
      <w:r>
        <w:rPr>
          <w:color w:val="FF0000"/>
          <w:spacing w:val="-14"/>
          <w:sz w:val="29"/>
          <w:u w:val="single" w:color="FF0000"/>
        </w:rPr>
        <w:t>是</w:t>
      </w:r>
      <w:r>
        <w:rPr>
          <w:color w:val="FF0000"/>
          <w:spacing w:val="-14"/>
          <w:sz w:val="29"/>
          <w:u w:val="single" w:color="FF0000"/>
        </w:rPr>
        <w:t>***，</w:t>
      </w:r>
      <w:r>
        <w:rPr>
          <w:color w:val="FF0000"/>
          <w:spacing w:val="-14"/>
          <w:sz w:val="29"/>
          <w:u w:val="single" w:color="FF0000"/>
        </w:rPr>
        <w:t>设</w:t>
      </w:r>
      <w:r>
        <w:rPr>
          <w:color w:val="FF0000"/>
          <w:spacing w:val="-14"/>
          <w:sz w:val="29"/>
          <w:u w:val="single" w:color="FF0000"/>
        </w:rPr>
        <w:t>计</w:t>
      </w:r>
      <w:r>
        <w:rPr>
          <w:color w:val="FF0000"/>
          <w:spacing w:val="-14"/>
          <w:sz w:val="29"/>
          <w:u w:val="single" w:color="FF0000"/>
        </w:rPr>
        <w:t>单</w:t>
      </w:r>
      <w:r>
        <w:rPr>
          <w:color w:val="FF0000"/>
          <w:spacing w:val="-14"/>
          <w:sz w:val="29"/>
          <w:u w:val="single" w:color="FF0000"/>
        </w:rPr>
        <w:t>位</w:t>
      </w:r>
      <w:r>
        <w:rPr>
          <w:color w:val="FF0000"/>
          <w:spacing w:val="-14"/>
          <w:sz w:val="29"/>
          <w:u w:val="single" w:color="FF0000"/>
        </w:rPr>
        <w:t>是</w:t>
      </w:r>
      <w:r>
        <w:rPr>
          <w:color w:val="FF0000"/>
          <w:spacing w:val="-14"/>
          <w:sz w:val="29"/>
          <w:u w:val="single" w:color="FF0000"/>
        </w:rPr>
        <w:t>***（</w:t>
      </w:r>
      <w:r>
        <w:rPr>
          <w:color w:val="FF0000"/>
          <w:spacing w:val="-14"/>
          <w:sz w:val="29"/>
          <w:u w:val="single" w:color="FF0000"/>
        </w:rPr>
        <w:t>简</w:t>
      </w:r>
      <w:r>
        <w:rPr>
          <w:color w:val="FF0000"/>
          <w:spacing w:val="-14"/>
          <w:sz w:val="29"/>
          <w:u w:val="single" w:color="FF0000"/>
        </w:rPr>
        <w:t>单</w:t>
      </w:r>
      <w:r>
        <w:rPr>
          <w:color w:val="FF0000"/>
          <w:spacing w:val="16564"/>
          <w:sz w:val="29"/>
          <w:u w:val="single" w:color="FF0000"/>
        </w:rPr>
        <w:t xml:space="preserve"> </w:t>
      </w:r>
      <w:r>
        <w:rPr>
          <w:color w:val="FF0000"/>
          <w:spacing w:val="-4"/>
          <w:sz w:val="29"/>
          <w:u w:val="single" w:color="FF0000"/>
        </w:rPr>
        <w:t>描</w:t>
      </w:r>
      <w:r>
        <w:rPr>
          <w:color w:val="FF0000"/>
          <w:spacing w:val="-4"/>
          <w:sz w:val="29"/>
          <w:u w:val="single" w:color="FF0000"/>
        </w:rPr>
        <w:t>述</w:t>
      </w:r>
      <w:r>
        <w:rPr>
          <w:color w:val="FF0000"/>
          <w:spacing w:val="-4"/>
          <w:sz w:val="29"/>
          <w:u w:val="single" w:color="FF0000"/>
        </w:rPr>
        <w:t>）</w:t>
      </w:r>
    </w:p>
    <w:p>
      <w:pPr>
        <w:pStyle w:val="Heading3"/>
        <w:numPr>
          <w:ilvl w:val="0"/>
          <w:numId w:val="6"/>
        </w:numPr>
        <w:tabs>
          <w:tab w:val="left" w:pos="433"/>
        </w:tabs>
        <w:spacing w:before="0" w:after="0" w:line="391" w:lineRule="exact"/>
        <w:ind w:left="432" w:right="0" w:hanging="242"/>
        <w:jc w:val="left"/>
        <w:rPr>
          <w:rFonts w:ascii="Microsoft JhengHei" w:eastAsia="Microsoft JhengHei"/>
        </w:rPr>
      </w:pPr>
      <w:r>
        <w:pict>
          <v:group id="_x0000_s1025" style="width:441.8pt;height:334.6pt;margin-top:75.19pt;margin-left:93.55pt;mso-position-horizontal-relative:page;position:absolute;z-index:-251658240" coordorigin="1871,1504" coordsize="8836,6692">
            <v:line id="_x0000_s1026" style="position:absolute" from="9437,1504" to="9437,1822" stroked="t" strokecolor="black" strokeweight="0.81pt">
              <v:stroke dashstyle="solid"/>
            </v:line>
            <v:line id="_x0000_s1027" style="position:absolute" from="2958,1815" to="9437,1816" stroked="t" strokecolor="black" strokeweight="0.75pt">
              <v:stroke dashstyle="solid"/>
            </v:line>
            <v:shape id="_x0000_s1028" style="width:120;height:121;left:2899;position:absolute;top:2138" coordorigin="2899,2139" coordsize="120,121" path="m2959,2259l2899,2139,3019,2139,2959,2259xe" filled="t" fillcolor="black" stroked="f">
              <v:fill type="solid"/>
              <v:path arrowok="t"/>
            </v:shape>
            <v:line id="_x0000_s1029" style="position:absolute" from="2958,1815" to="2959,2237" stroked="t" strokecolor="black" strokeweight="0.75pt">
              <v:stroke dashstyle="solid"/>
            </v:line>
            <v:shapetype id="_x0000_t202" coordsize="21600,21600" o:spt="202" path="m,l,21600r21600,l21600,xe">
              <v:stroke joinstyle="miter"/>
              <v:path gradientshapeok="t" o:connecttype="rect"/>
            </v:shapetype>
            <v:shape id="_x0000_s1030" type="#_x0000_t202" style="width:2520;height:959;left:8178;position:absolute;top:2105" filled="f" stroked="t" strokecolor="black" strokeweight="0.75pt">
              <v:stroke dashstyle="solid"/>
              <v:textbox inset="0,0,0,0">
                <w:txbxContent>
                  <w:p>
                    <w:pPr>
                      <w:spacing w:before="138" w:line="357" w:lineRule="auto"/>
                      <w:ind w:left="832" w:right="200" w:hanging="630"/>
                      <w:jc w:val="left"/>
                      <w:rPr>
                        <w:sz w:val="21"/>
                      </w:rPr>
                    </w:pPr>
                    <w:r>
                      <w:rPr>
                        <w:spacing w:val="-2"/>
                        <w:sz w:val="21"/>
                      </w:rPr>
                      <w:t>做好本专业各检验批的</w:t>
                    </w:r>
                    <w:r>
                      <w:rPr>
                        <w:spacing w:val="-4"/>
                        <w:sz w:val="21"/>
                      </w:rPr>
                      <w:t>检查验收</w:t>
                    </w:r>
                  </w:p>
                </w:txbxContent>
              </v:textbox>
            </v:shape>
            <v:line id="_x0000_s1031" style="position:absolute" from="2958,3352" to="9438,3354" stroked="t" strokecolor="black" strokeweight="0.75pt">
              <v:stroke dashstyle="solid"/>
            </v:line>
            <v:shape id="_x0000_s1032" style="width:120;height:121;left:2899;position:absolute;top:3700" coordorigin="2899,3700" coordsize="120,121" path="m2959,3821l2899,3701,3019,3700,2959,3821xe" filled="t" fillcolor="black" stroked="f">
              <v:fill type="solid"/>
              <v:path arrowok="t"/>
            </v:shape>
            <v:line id="_x0000_s1033" style="position:absolute" from="2958,3352" to="2959,3798" stroked="t" strokecolor="black" strokeweight="0.75pt">
              <v:stroke dashstyle="solid"/>
            </v:line>
            <v:line id="_x0000_s1034" style="position:absolute" from="9439,3064" to="9439,3360" stroked="t" strokecolor="black" strokeweight="0.81pt">
              <v:stroke dashstyle="solid"/>
            </v:line>
            <v:shape id="_x0000_s1035" type="#_x0000_t202" style="width:2520;height:959;left:8178;position:absolute;top:3665" filled="f" stroked="t" strokecolor="black" strokeweight="0.75pt">
              <v:stroke dashstyle="solid"/>
              <v:textbox inset="0,0,0,0">
                <w:txbxContent>
                  <w:p>
                    <w:pPr>
                      <w:spacing w:before="139" w:line="357" w:lineRule="auto"/>
                      <w:ind w:left="1042" w:right="200" w:hanging="840"/>
                      <w:jc w:val="left"/>
                      <w:rPr>
                        <w:sz w:val="21"/>
                      </w:rPr>
                    </w:pPr>
                    <w:r>
                      <w:rPr>
                        <w:spacing w:val="-2"/>
                        <w:sz w:val="21"/>
                      </w:rPr>
                      <w:t>确定本专业的工程质量</w:t>
                    </w:r>
                    <w:r>
                      <w:rPr>
                        <w:spacing w:val="-6"/>
                        <w:sz w:val="21"/>
                      </w:rPr>
                      <w:t>目标</w:t>
                    </w:r>
                  </w:p>
                </w:txbxContent>
              </v:textbox>
            </v:shape>
            <v:shape id="_x0000_s1036" style="width:121;height:120;left:8058;position:absolute;top:2515" coordorigin="8059,2515" coordsize="121,120" path="m8059,2635l8059,2515,8179,2576,8059,2635xe" filled="t" fillcolor="black" stroked="f">
              <v:fill type="solid"/>
              <v:path arrowok="t"/>
            </v:shape>
            <v:line id="_x0000_s1037" style="position:absolute" from="7638,2574" to="8156,2576" stroked="t" strokecolor="black" strokeweight="0.75pt">
              <v:stroke dashstyle="solid"/>
            </v:line>
            <v:shape id="_x0000_s1038" style="width:121;height:120;left:8058;position:absolute;top:4074" coordorigin="8059,4074" coordsize="121,120" path="m8059,4194l8059,4074,8179,4135,8059,4194xe" filled="t" fillcolor="black" stroked="f">
              <v:fill type="solid"/>
              <v:path arrowok="t"/>
            </v:shape>
            <v:line id="_x0000_s1039" style="position:absolute" from="7638,4133" to="8156,4135" stroked="t" strokecolor="black" strokeweight="0.75pt">
              <v:stroke dashstyle="solid"/>
            </v:line>
            <v:rect id="_x0000_s1040" style="width:2881;height:959;left:1878;position:absolute;top:5380" filled="f" stroked="t" strokecolor="black" strokeweight="0.75pt">
              <v:stroke dashstyle="solid"/>
            </v:rect>
            <v:shape id="_x0000_s1041" style="width:121;height:120;left:5175;position:absolute;top:5790" coordorigin="5176,5790" coordsize="121,120" path="m5176,5910l5176,5790,5296,5851,5176,5910xe" filled="t" fillcolor="black" stroked="f">
              <v:fill type="solid"/>
              <v:path arrowok="t"/>
            </v:shape>
            <v:line id="_x0000_s1042" style="position:absolute" from="4759,5848" to="5274,5850" stroked="t" strokecolor="black" strokeweight="0.75pt">
              <v:stroke dashstyle="solid"/>
            </v:line>
            <v:shape id="_x0000_s1043" style="width:120;height:121;left:2899;position:absolute;top:5259" coordorigin="2899,5260" coordsize="120,121" path="m2959,5380l2899,5260,3019,5260,2959,5380xe" filled="t" fillcolor="black" stroked="f">
              <v:fill type="solid"/>
              <v:path arrowok="t"/>
            </v:shape>
            <v:shape id="_x0000_s1044" style="width:6479;height:368;left:2958;position:absolute;top:4990" coordorigin="2958,4990" coordsize="6479,368" path="m2958,4990l9437,4992m2958,4990l2959,5357e" filled="f" stroked="t" strokecolor="black" strokeweight="0.75pt">
              <v:stroke dashstyle="solid"/>
              <v:path arrowok="t"/>
            </v:shape>
            <v:line id="_x0000_s1045" style="position:absolute" from="9437,4601" to="9438,4990" stroked="t" strokecolor="black" strokeweight="0.75pt">
              <v:stroke dashstyle="solid"/>
            </v:line>
            <v:shape id="_x0000_s1046" type="#_x0000_t202" style="width:7575;height:1754;left:1871;position:absolute;top:4593" filled="f" stroked="f">
              <v:textbox inset="0,0,0,0">
                <w:txbxContent>
                  <w:p>
                    <w:pPr>
                      <w:spacing w:before="0" w:line="240" w:lineRule="auto"/>
                      <w:rPr>
                        <w:rFonts w:ascii="Microsoft JhengHei"/>
                        <w:b/>
                        <w:sz w:val="20"/>
                      </w:rPr>
                    </w:pPr>
                  </w:p>
                  <w:p>
                    <w:pPr>
                      <w:spacing w:before="0" w:line="240" w:lineRule="auto"/>
                      <w:rPr>
                        <w:rFonts w:ascii="Microsoft JhengHei"/>
                        <w:b/>
                        <w:sz w:val="20"/>
                      </w:rPr>
                    </w:pPr>
                  </w:p>
                  <w:p>
                    <w:pPr>
                      <w:spacing w:before="14" w:line="240" w:lineRule="auto"/>
                      <w:rPr>
                        <w:rFonts w:ascii="Microsoft JhengHei"/>
                        <w:b/>
                        <w:sz w:val="10"/>
                      </w:rPr>
                    </w:pPr>
                  </w:p>
                  <w:p>
                    <w:pPr>
                      <w:spacing w:before="0" w:line="357" w:lineRule="auto"/>
                      <w:ind w:left="817" w:right="4864" w:hanging="630"/>
                      <w:jc w:val="left"/>
                      <w:rPr>
                        <w:sz w:val="21"/>
                      </w:rPr>
                    </w:pPr>
                    <w:r>
                      <w:rPr>
                        <w:spacing w:val="-2"/>
                        <w:sz w:val="21"/>
                      </w:rPr>
                      <w:t>做好本专业的各分项工程的</w:t>
                    </w:r>
                    <w:r>
                      <w:rPr>
                        <w:spacing w:val="-2"/>
                        <w:sz w:val="21"/>
                      </w:rPr>
                      <w:t>平行检验记录</w:t>
                    </w:r>
                  </w:p>
                </w:txbxContent>
              </v:textbox>
            </v:shape>
            <v:shape id="_x0000_s1047" style="width:121;height:120;left:8236;position:absolute;top:5790" coordorigin="8237,5791" coordsize="121,120" path="m8237,5911l8238,5791,8357,5852,8237,5911xe" filled="t" fillcolor="black" stroked="f">
              <v:fill type="solid"/>
              <v:path arrowok="t"/>
            </v:shape>
            <v:line id="_x0000_s1048" style="position:absolute" from="7819,5848" to="8335,5852" stroked="t" strokecolor="black" strokeweight="0.75pt">
              <v:stroke dashstyle="solid"/>
            </v:line>
            <v:shape id="_x0000_s1049" type="#_x0000_t202" style="width:2157;height:959;left:8358;position:absolute;top:5380" filled="f" stroked="t" strokecolor="black" strokeweight="0.75pt">
              <v:stroke dashstyle="solid"/>
              <v:textbox inset="0,0,0,0">
                <w:txbxContent>
                  <w:p>
                    <w:pPr>
                      <w:spacing w:before="139" w:line="357" w:lineRule="auto"/>
                      <w:ind w:left="543" w:right="230" w:hanging="315"/>
                      <w:jc w:val="left"/>
                      <w:rPr>
                        <w:sz w:val="21"/>
                      </w:rPr>
                    </w:pPr>
                    <w:r>
                      <w:rPr>
                        <w:spacing w:val="-2"/>
                        <w:sz w:val="21"/>
                      </w:rPr>
                      <w:t>对已完成的分项工</w:t>
                    </w:r>
                    <w:r>
                      <w:rPr>
                        <w:spacing w:val="-2"/>
                        <w:sz w:val="21"/>
                      </w:rPr>
                      <w:t>程进行计量</w:t>
                    </w:r>
                  </w:p>
                </w:txbxContent>
              </v:textbox>
            </v:shape>
            <v:shape id="_x0000_s1050" type="#_x0000_t202" style="width:2521;height:959;left:5298;position:absolute;top:5380" filled="f" stroked="t" strokecolor="black" strokeweight="0.75pt">
              <v:stroke dashstyle="solid"/>
              <v:textbox inset="0,0,0,0">
                <w:txbxContent>
                  <w:p>
                    <w:pPr>
                      <w:spacing w:before="139" w:line="357" w:lineRule="auto"/>
                      <w:ind w:left="832" w:right="305" w:hanging="525"/>
                      <w:jc w:val="left"/>
                      <w:rPr>
                        <w:sz w:val="21"/>
                      </w:rPr>
                    </w:pPr>
                    <w:r>
                      <w:rPr>
                        <w:spacing w:val="-2"/>
                        <w:sz w:val="21"/>
                      </w:rPr>
                      <w:t>对本专业各分项工程</w:t>
                    </w:r>
                    <w:r>
                      <w:rPr>
                        <w:spacing w:val="-4"/>
                        <w:sz w:val="21"/>
                      </w:rPr>
                      <w:t>进行验评</w:t>
                    </w:r>
                  </w:p>
                </w:txbxContent>
              </v:textbox>
            </v:shape>
            <v:line id="_x0000_s1051" style="position:absolute" from="2958,6706" to="9437,6708" stroked="t" strokecolor="black" strokeweight="0.75pt">
              <v:stroke dashstyle="solid"/>
            </v:line>
            <v:shape id="_x0000_s1052" style="width:120;height:121;left:2899;position:absolute;top:6976" coordorigin="2899,6976" coordsize="120,121" path="m2959,7096l2899,6977,3019,6976,2959,7096xe" filled="t" fillcolor="black" stroked="f">
              <v:fill type="solid"/>
              <v:path arrowok="t"/>
            </v:shape>
            <v:line id="_x0000_s1053" style="position:absolute" from="2958,6706" to="2959,7074" stroked="t" strokecolor="black" strokeweight="0.75pt">
              <v:stroke dashstyle="solid"/>
            </v:line>
            <v:line id="_x0000_s1054" style="position:absolute" from="9437,6317" to="9438,6706" stroked="t" strokecolor="black" strokeweight="0.75pt">
              <v:stroke dashstyle="solid"/>
            </v:line>
            <v:shape id="_x0000_s1055" style="width:121;height:120;left:4814;position:absolute;top:7572" coordorigin="4815,7572" coordsize="121,120" path="m4815,7692l4815,7572,4935,7632,4815,7692xe" filled="t" fillcolor="black" stroked="f">
              <v:fill type="solid"/>
              <v:path arrowok="t"/>
            </v:shape>
            <v:line id="_x0000_s1056" style="position:absolute" from="4219,7630" to="4912,7632" stroked="t" strokecolor="black" strokeweight="0.75pt">
              <v:stroke dashstyle="solid"/>
            </v:line>
            <v:shape id="_x0000_s1057" type="#_x0000_t202" style="width:3060;height:1091;left:4938;position:absolute;top:7097" filled="f" stroked="t" strokecolor="black" strokeweight="0.75pt">
              <v:stroke dashstyle="solid"/>
              <v:textbox inset="0,0,0,0">
                <w:txbxContent>
                  <w:p>
                    <w:pPr>
                      <w:spacing w:before="139" w:line="357" w:lineRule="auto"/>
                      <w:ind w:left="143" w:right="142" w:firstLine="0"/>
                      <w:jc w:val="left"/>
                      <w:rPr>
                        <w:sz w:val="21"/>
                      </w:rPr>
                    </w:pPr>
                    <w:r>
                      <w:rPr>
                        <w:spacing w:val="-2"/>
                        <w:sz w:val="21"/>
                      </w:rPr>
                      <w:t>参与单位（子单位）工程的质</w:t>
                    </w:r>
                    <w:r>
                      <w:rPr>
                        <w:spacing w:val="-1"/>
                        <w:sz w:val="21"/>
                      </w:rPr>
                      <w:t>量竣工预验收和正式竣工验收</w:t>
                    </w:r>
                  </w:p>
                </w:txbxContent>
              </v:textbox>
            </v:shape>
            <v:shape id="_x0000_s1058" type="#_x0000_t202" style="width:2341;height:1091;left:1878;position:absolute;top:7097" filled="f" stroked="t" strokecolor="black" strokeweight="0.75pt">
              <v:stroke dashstyle="solid"/>
              <v:textbox inset="0,0,0,0">
                <w:txbxContent>
                  <w:p>
                    <w:pPr>
                      <w:spacing w:before="139" w:line="357" w:lineRule="auto"/>
                      <w:ind w:left="532" w:right="215" w:hanging="315"/>
                      <w:jc w:val="left"/>
                      <w:rPr>
                        <w:sz w:val="21"/>
                      </w:rPr>
                    </w:pPr>
                    <w:r>
                      <w:rPr>
                        <w:spacing w:val="-2"/>
                        <w:sz w:val="21"/>
                      </w:rPr>
                      <w:t>编写本专业分部工程</w:t>
                    </w:r>
                    <w:r>
                      <w:rPr>
                        <w:spacing w:val="-2"/>
                        <w:sz w:val="21"/>
                      </w:rPr>
                      <w:t>质量评估报告</w:t>
                    </w:r>
                  </w:p>
                </w:txbxContent>
              </v:textbox>
            </v:shape>
            <v:shape id="_x0000_s1059" style="width:121;height:120;left:8594;position:absolute;top:7572" coordorigin="8595,7572" coordsize="121,120" path="m8595,7692l8595,7572,8715,7632,8595,7692xe" filled="t" fillcolor="black" stroked="f">
              <v:fill type="solid"/>
              <v:path arrowok="t"/>
            </v:shape>
            <v:line id="_x0000_s1060" style="position:absolute" from="7998,7630" to="8692,7632" stroked="t" strokecolor="black" strokeweight="0.75pt">
              <v:stroke dashstyle="solid"/>
            </v:line>
            <v:shape id="_x0000_s1061" style="width:121;height:120;left:4998;position:absolute;top:2515" coordorigin="4999,2515" coordsize="121,120" path="m4999,2635l4999,2515,5119,2576,4999,2635xe" filled="t" fillcolor="black" stroked="f">
              <v:fill type="solid"/>
              <v:path arrowok="t"/>
            </v:shape>
            <v:line id="_x0000_s1062" style="position:absolute" from="4579,2574" to="5096,2576" stroked="t" strokecolor="black" strokeweight="0.75pt">
              <v:stroke dashstyle="solid"/>
            </v:line>
            <v:shape id="_x0000_s1063" type="#_x0000_t202" style="width:2700;height:559;left:1878;position:absolute;top:2261" filled="f" stroked="t" strokecolor="black" strokeweight="0.75pt">
              <v:stroke dashstyle="solid"/>
              <v:textbox inset="0,0,0,0">
                <w:txbxContent>
                  <w:p>
                    <w:pPr>
                      <w:spacing w:before="139"/>
                      <w:ind w:left="187" w:right="0" w:firstLine="0"/>
                      <w:jc w:val="left"/>
                      <w:rPr>
                        <w:sz w:val="21"/>
                      </w:rPr>
                    </w:pPr>
                    <w:r>
                      <w:rPr>
                        <w:spacing w:val="-1"/>
                        <w:sz w:val="21"/>
                      </w:rPr>
                      <w:t>对施工过程进行跟踪检查</w:t>
                    </w:r>
                  </w:p>
                </w:txbxContent>
              </v:textbox>
            </v:shape>
            <v:shape id="_x0000_s1064" type="#_x0000_t202" style="width:2521;height:959;left:5118;position:absolute;top:2105" filled="f" stroked="t" strokecolor="black" strokeweight="0.75pt">
              <v:stroke dashstyle="solid"/>
              <v:textbox inset="0,0,0,0">
                <w:txbxContent>
                  <w:p>
                    <w:pPr>
                      <w:spacing w:before="139" w:line="357" w:lineRule="auto"/>
                      <w:ind w:left="412" w:right="200" w:hanging="210"/>
                      <w:jc w:val="left"/>
                      <w:rPr>
                        <w:sz w:val="21"/>
                      </w:rPr>
                    </w:pPr>
                    <w:r>
                      <w:rPr>
                        <w:spacing w:val="-2"/>
                        <w:sz w:val="21"/>
                      </w:rPr>
                      <w:t>特殊施工过程和质量控</w:t>
                    </w:r>
                    <w:r>
                      <w:rPr>
                        <w:spacing w:val="-2"/>
                        <w:sz w:val="21"/>
                      </w:rPr>
                      <w:t>制点实行旁站监理</w:t>
                    </w:r>
                  </w:p>
                </w:txbxContent>
              </v:textbox>
            </v:shape>
            <v:shape id="_x0000_s1065" style="width:121;height:120;left:4998;position:absolute;top:4074" coordorigin="4999,4074" coordsize="121,120" path="m4999,4194l4999,4074,5119,4135,4999,4194xe" filled="t" fillcolor="black" stroked="f">
              <v:fill type="solid"/>
              <v:path arrowok="t"/>
            </v:shape>
            <v:line id="_x0000_s1066" style="position:absolute" from="4759,4133" to="5096,4135" stroked="t" strokecolor="black" strokeweight="0.75pt">
              <v:stroke dashstyle="solid"/>
            </v:line>
            <v:shape id="_x0000_s1067" type="#_x0000_t202" style="width:2881;height:471;left:1878;position:absolute;top:3821" filled="f" stroked="t" strokecolor="black" strokeweight="0.75pt">
              <v:stroke dashstyle="solid"/>
              <v:textbox inset="0,0,0,0">
                <w:txbxContent>
                  <w:p>
                    <w:pPr>
                      <w:spacing w:before="139"/>
                      <w:ind w:left="143" w:right="0" w:firstLine="0"/>
                      <w:jc w:val="left"/>
                      <w:rPr>
                        <w:sz w:val="21"/>
                      </w:rPr>
                    </w:pPr>
                    <w:r>
                      <w:rPr>
                        <w:spacing w:val="-1"/>
                        <w:sz w:val="21"/>
                      </w:rPr>
                      <w:t>熟悉土建专业相关施工图纸</w:t>
                    </w:r>
                  </w:p>
                </w:txbxContent>
              </v:textbox>
            </v:shape>
            <v:shape id="_x0000_s1068" type="#_x0000_t202" style="width:2521;height:959;left:5118;position:absolute;top:3665" filled="f" stroked="t" strokecolor="black" strokeweight="0.75pt">
              <v:stroke dashstyle="solid"/>
              <v:textbox inset="0,0,0,0">
                <w:txbxContent>
                  <w:p>
                    <w:pPr>
                      <w:spacing w:before="139" w:line="357" w:lineRule="auto"/>
                      <w:ind w:left="1042" w:right="200" w:hanging="840"/>
                      <w:jc w:val="left"/>
                      <w:rPr>
                        <w:sz w:val="21"/>
                      </w:rPr>
                    </w:pPr>
                    <w:r>
                      <w:rPr>
                        <w:spacing w:val="-2"/>
                        <w:sz w:val="21"/>
                      </w:rPr>
                      <w:t>参与图纸会审提出相关</w:t>
                    </w:r>
                    <w:r>
                      <w:rPr>
                        <w:spacing w:val="-6"/>
                        <w:sz w:val="21"/>
                      </w:rPr>
                      <w:t>问题</w:t>
                    </w:r>
                  </w:p>
                </w:txbxContent>
              </v:textbox>
            </v:shape>
          </v:group>
        </w:pict>
      </w:r>
      <w:r>
        <w:rPr>
          <w:rFonts w:ascii="Microsoft JhengHei" w:eastAsia="Microsoft JhengHei"/>
          <w:spacing w:val="-2"/>
        </w:rPr>
        <w:t>监理工作的流程如下</w:t>
      </w:r>
    </w:p>
    <w:p>
      <w:pPr>
        <w:pStyle w:val="BodyText"/>
        <w:spacing w:before="11"/>
        <w:ind w:left="0"/>
        <w:rPr>
          <w:rFonts w:ascii="Microsoft JhengHei"/>
          <w:b/>
          <w:sz w:val="6"/>
        </w:rPr>
      </w:pPr>
      <w:r>
        <w:pict>
          <v:group id="_x0000_s1069" style="width:441.8pt;height:55.35pt;margin-top:7.32pt;margin-left:93.55pt;mso-position-horizontal-relative:page;mso-wrap-distance-left:0;mso-wrap-distance-right:0;position:absolute;z-index:-251657216" coordorigin="1871,146" coordsize="8836,1107">
            <v:shape id="_x0000_s1070" style="width:121;height:120;left:8058;position:absolute;top:911" coordorigin="8058,911" coordsize="121,120" path="m8058,1031l8059,911,8179,972,8058,1031xe" filled="t" fillcolor="black" stroked="f">
              <v:fill type="solid"/>
              <v:path arrowok="t"/>
            </v:shape>
            <v:line id="_x0000_s1071" style="position:absolute" from="7638,968" to="8156,972" stroked="t" strokecolor="black" strokeweight="0.75pt">
              <v:stroke dashstyle="solid"/>
            </v:line>
            <v:shape id="_x0000_s1072" type="#_x0000_t202" style="width:2701;height:820;left:4938;position:absolute;top:425" filled="f" stroked="t" strokecolor="black" strokeweight="0.75pt">
              <v:stroke dashstyle="solid"/>
              <v:textbox inset="0,0,0,0">
                <w:txbxContent>
                  <w:p>
                    <w:pPr>
                      <w:spacing w:before="5" w:line="400" w:lineRule="atLeast"/>
                      <w:ind w:left="143" w:right="439" w:firstLine="0"/>
                      <w:jc w:val="left"/>
                      <w:rPr>
                        <w:sz w:val="21"/>
                      </w:rPr>
                    </w:pPr>
                    <w:r>
                      <w:rPr>
                        <w:spacing w:val="-2"/>
                        <w:sz w:val="21"/>
                      </w:rPr>
                      <w:t>做好相关的开工前准备</w:t>
                    </w:r>
                    <w:r>
                      <w:rPr>
                        <w:spacing w:val="-6"/>
                        <w:sz w:val="21"/>
                      </w:rPr>
                      <w:t>工作</w:t>
                    </w:r>
                  </w:p>
                </w:txbxContent>
              </v:textbox>
            </v:shape>
            <v:shape id="_x0000_s1073" type="#_x0000_t202" style="width:2520;height:959;left:8178;position:absolute;top:153" filled="f" stroked="t" strokecolor="black" strokeweight="0.75pt">
              <v:stroke dashstyle="solid"/>
              <v:textbox inset="0,0,0,0">
                <w:txbxContent>
                  <w:p>
                    <w:pPr>
                      <w:spacing w:before="139" w:line="357" w:lineRule="auto"/>
                      <w:ind w:left="622" w:right="200" w:hanging="420"/>
                      <w:jc w:val="left"/>
                      <w:rPr>
                        <w:sz w:val="21"/>
                      </w:rPr>
                    </w:pPr>
                    <w:r>
                      <w:rPr>
                        <w:spacing w:val="-2"/>
                        <w:sz w:val="21"/>
                      </w:rPr>
                      <w:t>与本工程相关专业进行</w:t>
                    </w:r>
                    <w:r>
                      <w:rPr>
                        <w:spacing w:val="-2"/>
                        <w:sz w:val="21"/>
                      </w:rPr>
                      <w:t>施工前的交流</w:t>
                    </w:r>
                  </w:p>
                </w:txbxContent>
              </v:textbox>
            </v:shape>
            <v:shape id="_x0000_s1074" style="width:121;height:120;left:4818;position:absolute;top:909" coordorigin="4818,910" coordsize="121,120" path="m4818,1030l4819,910,4938,970,4818,1030xe" filled="t" fillcolor="black" stroked="f">
              <v:fill type="solid"/>
              <v:path arrowok="t"/>
            </v:shape>
            <v:line id="_x0000_s1075" style="position:absolute" from="4219,968" to="4916,970" stroked="t" strokecolor="black" strokeweight="0.75pt">
              <v:stroke dashstyle="solid"/>
            </v:line>
            <v:shape id="_x0000_s1076" type="#_x0000_t202" style="width:2335;height:820;left:1878;position:absolute;top:425" filled="f" stroked="t" strokecolor="black" strokeweight="0.75pt">
              <v:stroke dashstyle="solid"/>
              <v:textbox inset="0,0,0,0">
                <w:txbxContent>
                  <w:p>
                    <w:pPr>
                      <w:spacing w:before="5" w:line="400" w:lineRule="atLeast"/>
                      <w:ind w:left="949" w:right="317" w:hanging="630"/>
                      <w:jc w:val="left"/>
                      <w:rPr>
                        <w:sz w:val="21"/>
                      </w:rPr>
                    </w:pPr>
                    <w:r>
                      <w:rPr>
                        <w:spacing w:val="-2"/>
                        <w:sz w:val="21"/>
                      </w:rPr>
                      <w:t>确定工程质量控制</w:t>
                    </w:r>
                    <w:r>
                      <w:rPr>
                        <w:spacing w:val="-6"/>
                        <w:sz w:val="21"/>
                      </w:rPr>
                      <w:t>要点</w:t>
                    </w:r>
                  </w:p>
                </w:txbxContent>
              </v:textbox>
            </v:shape>
            <w10:wrap type="topAndBottom"/>
          </v:group>
        </w:pict>
      </w: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spacing w:before="15"/>
        <w:ind w:left="0"/>
        <w:rPr>
          <w:rFonts w:ascii="Microsoft JhengHei"/>
          <w:b/>
          <w:sz w:val="14"/>
        </w:rPr>
      </w:pPr>
      <w:r>
        <w:pict>
          <v:shape id="_x0000_s1077" type="#_x0000_t202" style="width:89.85pt;height:44.4pt;margin-top:15.22pt;margin-left:435.91pt;mso-position-horizontal-relative:page;mso-wrap-distance-left:0;mso-wrap-distance-right:0;position:absolute;z-index:-251656192" filled="f" stroked="t" strokecolor="black" strokeweight="0.75pt">
            <v:stroke dashstyle="solid"/>
            <v:textbox inset="0,0,0,0">
              <w:txbxContent>
                <w:p>
                  <w:pPr>
                    <w:spacing w:before="8" w:line="400" w:lineRule="atLeast"/>
                    <w:ind w:left="577" w:right="151" w:hanging="420"/>
                    <w:jc w:val="left"/>
                    <w:rPr>
                      <w:sz w:val="21"/>
                    </w:rPr>
                  </w:pPr>
                  <w:r>
                    <w:rPr>
                      <w:spacing w:val="-2"/>
                      <w:sz w:val="21"/>
                    </w:rPr>
                    <w:t>审核本专业工程</w:t>
                  </w:r>
                  <w:r>
                    <w:rPr>
                      <w:spacing w:val="-4"/>
                      <w:sz w:val="21"/>
                    </w:rPr>
                    <w:t>竣工图</w:t>
                  </w:r>
                </w:p>
              </w:txbxContent>
            </v:textbox>
            <w10:wrap type="topAndBottom"/>
          </v:shape>
        </w:pict>
      </w:r>
    </w:p>
    <w:p>
      <w:pPr>
        <w:pStyle w:val="BodyText"/>
        <w:spacing w:before="3"/>
        <w:ind w:left="0"/>
        <w:rPr>
          <w:rFonts w:ascii="Microsoft JhengHei"/>
          <w:b/>
          <w:sz w:val="2"/>
        </w:rPr>
      </w:pPr>
    </w:p>
    <w:p>
      <w:pPr>
        <w:pStyle w:val="BodyText"/>
        <w:ind w:left="190"/>
        <w:rPr>
          <w:rFonts w:ascii="Microsoft JhengHei"/>
          <w:sz w:val="20"/>
        </w:rPr>
      </w:pPr>
      <w:r>
        <w:rPr>
          <w:rFonts w:ascii="Microsoft JhengHei"/>
          <w:sz w:val="20"/>
        </w:rPr>
        <w:pict>
          <v:group id="_x0000_i1078" style="width:378.75pt;height:87.7pt;mso-position-horizontal-relative:char;mso-position-vertical-relative:line" coordorigin="0,0" coordsize="7575,1754">
            <v:line id="_x0000_s1079" style="position:absolute" from="1087,397" to="7566,399" stroked="t" strokecolor="black" strokeweight="0.75pt">
              <v:stroke dashstyle="solid"/>
            </v:line>
            <v:shape id="_x0000_s1080" style="width:120;height:121;left:1028;position:absolute;top:666" coordorigin="1028,667" coordsize="120,121" path="m1088,787l1028,667,1148,667,1088,787xe" filled="t" fillcolor="black" stroked="f">
              <v:fill type="solid"/>
              <v:path arrowok="t"/>
            </v:shape>
            <v:line id="_x0000_s1081" style="position:absolute" from="1087,397" to="1088,765" stroked="t" strokecolor="black" strokeweight="0.75pt">
              <v:stroke dashstyle="solid"/>
            </v:line>
            <v:line id="_x0000_s1082" style="position:absolute" from="7566,8" to="7567,397" stroked="t" strokecolor="black" strokeweight="0.75pt">
              <v:stroke dashstyle="solid"/>
            </v:line>
            <v:shape id="_x0000_s1083" type="#_x0000_t202" style="width:2338;height:959;left:7;position:absolute;top:787" filled="f" stroked="t" strokecolor="black" strokeweight="0.75pt">
              <v:stroke dashstyle="solid"/>
              <v:textbox inset="0,0,0,0">
                <w:txbxContent>
                  <w:p>
                    <w:pPr>
                      <w:spacing w:before="139" w:line="357" w:lineRule="auto"/>
                      <w:ind w:left="636" w:right="214" w:hanging="420"/>
                      <w:jc w:val="left"/>
                      <w:rPr>
                        <w:sz w:val="21"/>
                      </w:rPr>
                    </w:pPr>
                    <w:r>
                      <w:rPr>
                        <w:spacing w:val="-2"/>
                        <w:sz w:val="21"/>
                      </w:rPr>
                      <w:t>审核本专业工程竣工工程量结算</w:t>
                    </w:r>
                  </w:p>
                </w:txbxContent>
              </v:textbox>
            </v:shape>
            <w10:wrap type="none"/>
          </v:group>
        </w:pict>
      </w:r>
    </w:p>
    <w:p>
      <w:pPr>
        <w:pStyle w:val="BodyText"/>
        <w:spacing w:before="4"/>
        <w:ind w:left="0"/>
        <w:rPr>
          <w:rFonts w:ascii="Microsoft JhengHei"/>
          <w:b/>
          <w:sz w:val="13"/>
        </w:rPr>
      </w:pPr>
    </w:p>
    <w:p>
      <w:pPr>
        <w:pStyle w:val="ListParagraph"/>
        <w:numPr>
          <w:ilvl w:val="0"/>
          <w:numId w:val="6"/>
        </w:numPr>
        <w:tabs>
          <w:tab w:val="left" w:pos="553"/>
        </w:tabs>
        <w:spacing w:before="0" w:after="0" w:line="429" w:lineRule="exact"/>
        <w:ind w:left="552" w:right="0" w:hanging="362"/>
        <w:jc w:val="left"/>
        <w:rPr>
          <w:rFonts w:ascii="Microsoft JhengHei" w:eastAsia="Microsoft JhengHei"/>
          <w:b/>
          <w:sz w:val="24"/>
        </w:rPr>
      </w:pPr>
      <w:r>
        <w:rPr>
          <w:rFonts w:ascii="Microsoft JhengHei" w:eastAsia="Microsoft JhengHei"/>
          <w:b/>
          <w:spacing w:val="-2"/>
          <w:sz w:val="24"/>
        </w:rPr>
        <w:t>监理目标值</w:t>
      </w:r>
    </w:p>
    <w:p>
      <w:pPr>
        <w:spacing w:before="179" w:line="324" w:lineRule="auto"/>
        <w:ind w:left="191" w:right="1395" w:firstLine="480"/>
        <w:jc w:val="left"/>
        <w:rPr>
          <w:sz w:val="25"/>
        </w:rPr>
      </w:pPr>
      <w:r>
        <w:rPr>
          <w:color w:val="FF0000"/>
          <w:spacing w:val="-10"/>
          <w:sz w:val="25"/>
          <w:u w:val="single" w:color="FF0000"/>
        </w:rPr>
        <w:t>*********</w:t>
      </w:r>
      <w:r>
        <w:rPr>
          <w:color w:val="FF0000"/>
          <w:spacing w:val="-10"/>
          <w:sz w:val="25"/>
          <w:u w:val="single" w:color="FF0000"/>
        </w:rPr>
        <w:t>工</w:t>
      </w:r>
      <w:r>
        <w:rPr>
          <w:color w:val="FF0000"/>
          <w:spacing w:val="-10"/>
          <w:sz w:val="25"/>
          <w:u w:val="single" w:color="FF0000"/>
        </w:rPr>
        <w:t>程</w:t>
      </w:r>
      <w:r>
        <w:rPr>
          <w:color w:val="FF0000"/>
          <w:spacing w:val="-10"/>
          <w:sz w:val="25"/>
          <w:u w:val="single" w:color="FF0000"/>
        </w:rPr>
        <w:t>********</w:t>
      </w:r>
      <w:r>
        <w:rPr>
          <w:color w:val="FF0000"/>
          <w:spacing w:val="-10"/>
          <w:sz w:val="25"/>
          <w:u w:val="single" w:color="FF0000"/>
        </w:rPr>
        <w:t>分</w:t>
      </w:r>
      <w:r>
        <w:rPr>
          <w:color w:val="FF0000"/>
          <w:spacing w:val="-10"/>
          <w:sz w:val="25"/>
          <w:u w:val="single" w:color="FF0000"/>
        </w:rPr>
        <w:t>部</w:t>
      </w:r>
      <w:r>
        <w:rPr>
          <w:color w:val="FF0000"/>
          <w:spacing w:val="-10"/>
          <w:sz w:val="25"/>
          <w:u w:val="single" w:color="FF0000"/>
        </w:rPr>
        <w:t>（</w:t>
      </w:r>
      <w:r>
        <w:rPr>
          <w:color w:val="FF0000"/>
          <w:spacing w:val="-10"/>
          <w:sz w:val="25"/>
          <w:u w:val="single" w:color="FF0000"/>
        </w:rPr>
        <w:t>分</w:t>
      </w:r>
      <w:r>
        <w:rPr>
          <w:color w:val="FF0000"/>
          <w:spacing w:val="-10"/>
          <w:sz w:val="25"/>
          <w:u w:val="single" w:color="FF0000"/>
        </w:rPr>
        <w:t>项</w:t>
      </w:r>
      <w:r>
        <w:rPr>
          <w:color w:val="FF0000"/>
          <w:spacing w:val="-120"/>
          <w:sz w:val="25"/>
          <w:u w:val="single" w:color="FF0000"/>
        </w:rPr>
        <w:t>）</w:t>
      </w:r>
      <w:r>
        <w:rPr>
          <w:color w:val="FF0000"/>
          <w:sz w:val="25"/>
          <w:u w:val="single" w:color="FF0000"/>
        </w:rPr>
        <w:t>，</w:t>
      </w:r>
      <w:r>
        <w:rPr>
          <w:color w:val="FF0000"/>
          <w:spacing w:val="-10"/>
          <w:sz w:val="25"/>
          <w:u w:val="single" w:color="FF0000"/>
        </w:rPr>
        <w:t>将</w:t>
      </w:r>
      <w:r>
        <w:rPr>
          <w:color w:val="FF0000"/>
          <w:spacing w:val="-10"/>
          <w:sz w:val="25"/>
          <w:u w:val="single" w:color="FF0000"/>
        </w:rPr>
        <w:t>严</w:t>
      </w:r>
      <w:r>
        <w:rPr>
          <w:color w:val="FF0000"/>
          <w:spacing w:val="-10"/>
          <w:sz w:val="25"/>
          <w:u w:val="single" w:color="FF0000"/>
        </w:rPr>
        <w:t>格</w:t>
      </w:r>
      <w:r>
        <w:rPr>
          <w:color w:val="FF0000"/>
          <w:spacing w:val="-10"/>
          <w:sz w:val="25"/>
          <w:u w:val="single" w:color="FF0000"/>
        </w:rPr>
        <w:t>按</w:t>
      </w:r>
      <w:r>
        <w:rPr>
          <w:color w:val="FF0000"/>
          <w:spacing w:val="-10"/>
          <w:sz w:val="25"/>
          <w:u w:val="single" w:color="FF0000"/>
        </w:rPr>
        <w:t>照</w:t>
      </w:r>
      <w:r>
        <w:rPr>
          <w:color w:val="FF0000"/>
          <w:spacing w:val="-10"/>
          <w:sz w:val="25"/>
          <w:u w:val="single" w:color="FF0000"/>
        </w:rPr>
        <w:t>规</w:t>
      </w:r>
      <w:r>
        <w:rPr>
          <w:color w:val="FF0000"/>
          <w:spacing w:val="-10"/>
          <w:sz w:val="25"/>
          <w:u w:val="single" w:color="FF0000"/>
        </w:rPr>
        <w:t>范</w:t>
      </w:r>
      <w:r>
        <w:rPr>
          <w:color w:val="FF0000"/>
          <w:spacing w:val="-10"/>
          <w:sz w:val="25"/>
          <w:u w:val="single" w:color="FF0000"/>
        </w:rPr>
        <w:t>规</w:t>
      </w:r>
      <w:r>
        <w:rPr>
          <w:color w:val="FF0000"/>
          <w:spacing w:val="-10"/>
          <w:sz w:val="25"/>
          <w:u w:val="single" w:color="FF0000"/>
        </w:rPr>
        <w:t>定</w:t>
      </w:r>
      <w:r>
        <w:rPr>
          <w:color w:val="FF0000"/>
          <w:spacing w:val="-10"/>
          <w:sz w:val="25"/>
          <w:u w:val="single" w:color="FF0000"/>
        </w:rPr>
        <w:t>要</w:t>
      </w:r>
      <w:r>
        <w:rPr>
          <w:color w:val="FF0000"/>
          <w:spacing w:val="-10"/>
          <w:sz w:val="25"/>
          <w:u w:val="single" w:color="FF0000"/>
        </w:rPr>
        <w:t>求</w:t>
      </w:r>
      <w:r>
        <w:rPr>
          <w:color w:val="FF0000"/>
          <w:spacing w:val="-10"/>
          <w:sz w:val="25"/>
          <w:u w:val="single" w:color="FF0000"/>
        </w:rPr>
        <w:t>，</w:t>
      </w:r>
      <w:r>
        <w:rPr>
          <w:color w:val="FF0000"/>
          <w:spacing w:val="-10"/>
          <w:sz w:val="25"/>
          <w:u w:val="single" w:color="FF0000"/>
        </w:rPr>
        <w:t>完</w:t>
      </w:r>
      <w:r>
        <w:rPr>
          <w:color w:val="FF0000"/>
          <w:spacing w:val="-10"/>
          <w:sz w:val="25"/>
          <w:u w:val="single" w:color="FF0000"/>
        </w:rPr>
        <w:t>善</w:t>
      </w:r>
      <w:r>
        <w:rPr>
          <w:color w:val="FF0000"/>
          <w:spacing w:val="-10"/>
          <w:sz w:val="25"/>
          <w:u w:val="single" w:color="FF0000"/>
        </w:rPr>
        <w:t>制</w:t>
      </w:r>
      <w:r>
        <w:rPr>
          <w:color w:val="FF0000"/>
          <w:spacing w:val="-10"/>
          <w:sz w:val="25"/>
          <w:u w:val="single" w:color="FF0000"/>
        </w:rPr>
        <w:t>度</w:t>
      </w:r>
      <w:r>
        <w:rPr>
          <w:color w:val="FF0000"/>
          <w:spacing w:val="-10"/>
          <w:sz w:val="25"/>
          <w:u w:val="single" w:color="FF0000"/>
        </w:rPr>
        <w:t>，</w:t>
      </w:r>
      <w:r>
        <w:rPr>
          <w:color w:val="FF0000"/>
          <w:sz w:val="25"/>
          <w:u w:val="single" w:color="FF0000"/>
        </w:rPr>
        <w:t>做</w:t>
      </w:r>
      <w:r>
        <w:rPr>
          <w:color w:val="FF0000"/>
          <w:sz w:val="25"/>
          <w:u w:val="single" w:color="FF0000"/>
        </w:rPr>
        <w:t>好</w:t>
      </w:r>
      <w:r>
        <w:rPr>
          <w:color w:val="FF0000"/>
          <w:sz w:val="25"/>
          <w:u w:val="single" w:color="FF0000"/>
        </w:rPr>
        <w:t>控</w:t>
      </w:r>
      <w:r>
        <w:rPr>
          <w:color w:val="FF0000"/>
          <w:sz w:val="25"/>
          <w:u w:val="single" w:color="FF0000"/>
        </w:rPr>
        <w:t>制</w:t>
      </w:r>
      <w:r>
        <w:rPr>
          <w:color w:val="FF0000"/>
          <w:sz w:val="25"/>
          <w:u w:val="single" w:color="FF0000"/>
        </w:rPr>
        <w:t>，</w:t>
      </w:r>
      <w:r>
        <w:rPr>
          <w:color w:val="FF0000"/>
          <w:sz w:val="25"/>
          <w:u w:val="single" w:color="FF0000"/>
        </w:rPr>
        <w:t>协</w:t>
      </w:r>
      <w:r>
        <w:rPr>
          <w:color w:val="FF0000"/>
          <w:sz w:val="25"/>
          <w:u w:val="single" w:color="FF0000"/>
        </w:rPr>
        <w:t>调</w:t>
      </w:r>
      <w:r>
        <w:rPr>
          <w:color w:val="FF0000"/>
          <w:sz w:val="25"/>
          <w:u w:val="single" w:color="FF0000"/>
        </w:rPr>
        <w:t>好</w:t>
      </w:r>
      <w:r>
        <w:rPr>
          <w:color w:val="FF0000"/>
          <w:sz w:val="25"/>
          <w:u w:val="single" w:color="FF0000"/>
        </w:rPr>
        <w:t>各</w:t>
      </w:r>
      <w:r>
        <w:rPr>
          <w:color w:val="FF0000"/>
          <w:sz w:val="25"/>
          <w:u w:val="single" w:color="FF0000"/>
        </w:rPr>
        <w:t>方</w:t>
      </w:r>
      <w:r>
        <w:rPr>
          <w:color w:val="FF0000"/>
          <w:sz w:val="25"/>
          <w:u w:val="single" w:color="FF0000"/>
        </w:rPr>
        <w:t>关</w:t>
      </w:r>
      <w:r>
        <w:rPr>
          <w:color w:val="FF0000"/>
          <w:sz w:val="25"/>
          <w:u w:val="single" w:color="FF0000"/>
        </w:rPr>
        <w:t>系</w:t>
      </w:r>
      <w:r>
        <w:rPr>
          <w:color w:val="FF0000"/>
          <w:sz w:val="25"/>
          <w:u w:val="single" w:color="FF0000"/>
        </w:rPr>
        <w:t>，</w:t>
      </w:r>
      <w:r>
        <w:rPr>
          <w:color w:val="FF0000"/>
          <w:sz w:val="25"/>
          <w:u w:val="single" w:color="FF0000"/>
        </w:rPr>
        <w:t>确</w:t>
      </w:r>
      <w:r>
        <w:rPr>
          <w:color w:val="FF0000"/>
          <w:sz w:val="25"/>
          <w:u w:val="single" w:color="FF0000"/>
        </w:rPr>
        <w:t>保</w:t>
      </w:r>
      <w:r>
        <w:rPr>
          <w:color w:val="FF0000"/>
          <w:sz w:val="25"/>
          <w:u w:val="single" w:color="FF0000"/>
        </w:rPr>
        <w:t>该</w:t>
      </w:r>
      <w:r>
        <w:rPr>
          <w:color w:val="FF0000"/>
          <w:sz w:val="25"/>
          <w:u w:val="single" w:color="FF0000"/>
        </w:rPr>
        <w:t>分</w:t>
      </w:r>
      <w:r>
        <w:rPr>
          <w:color w:val="FF0000"/>
          <w:sz w:val="25"/>
          <w:u w:val="single" w:color="FF0000"/>
        </w:rPr>
        <w:t>项</w:t>
      </w:r>
      <w:r>
        <w:rPr>
          <w:color w:val="FF0000"/>
          <w:sz w:val="25"/>
          <w:u w:val="single" w:color="FF0000"/>
        </w:rPr>
        <w:t>工</w:t>
      </w:r>
      <w:r>
        <w:rPr>
          <w:color w:val="FF0000"/>
          <w:sz w:val="25"/>
          <w:u w:val="single" w:color="FF0000"/>
        </w:rPr>
        <w:t>程</w:t>
      </w:r>
      <w:r>
        <w:rPr>
          <w:color w:val="FF0000"/>
          <w:sz w:val="25"/>
          <w:u w:val="single" w:color="FF0000"/>
        </w:rPr>
        <w:t>达</w:t>
      </w:r>
      <w:r>
        <w:rPr>
          <w:color w:val="FF0000"/>
          <w:sz w:val="25"/>
          <w:u w:val="single" w:color="FF0000"/>
        </w:rPr>
        <w:t>到</w:t>
      </w:r>
      <w:r>
        <w:rPr>
          <w:color w:val="FF0000"/>
          <w:spacing w:val="40"/>
          <w:sz w:val="25"/>
          <w:u w:val="single" w:color="FF0000"/>
        </w:rPr>
        <w:t xml:space="preserve"> </w:t>
      </w:r>
      <w:r>
        <w:rPr>
          <w:rFonts w:ascii="微软雅黑" w:eastAsia="微软雅黑"/>
          <w:b/>
          <w:color w:val="FF0000"/>
          <w:sz w:val="24"/>
          <w:u w:val="single" w:color="FF0000"/>
        </w:rPr>
        <w:t>******</w:t>
      </w:r>
      <w:r>
        <w:rPr>
          <w:rFonts w:ascii="微软雅黑" w:eastAsia="微软雅黑"/>
          <w:b/>
          <w:color w:val="FF0000"/>
          <w:spacing w:val="25"/>
          <w:sz w:val="24"/>
          <w:u w:val="single" w:color="FF0000"/>
        </w:rPr>
        <w:t xml:space="preserve"> </w:t>
      </w:r>
      <w:r>
        <w:rPr>
          <w:color w:val="FF0000"/>
          <w:sz w:val="25"/>
          <w:u w:val="single" w:color="FF0000"/>
        </w:rPr>
        <w:t>等</w:t>
      </w:r>
      <w:r>
        <w:rPr>
          <w:color w:val="FF0000"/>
          <w:sz w:val="25"/>
          <w:u w:val="single" w:color="FF0000"/>
        </w:rPr>
        <w:t>级</w:t>
      </w:r>
      <w:r>
        <w:rPr>
          <w:color w:val="FF0000"/>
          <w:sz w:val="25"/>
          <w:u w:val="single" w:color="FF0000"/>
        </w:rPr>
        <w:t>。</w:t>
      </w:r>
    </w:p>
    <w:p>
      <w:pPr>
        <w:pStyle w:val="BodyText"/>
        <w:spacing w:before="2"/>
        <w:ind w:left="0"/>
        <w:rPr>
          <w:sz w:val="25"/>
        </w:rPr>
      </w:pPr>
    </w:p>
    <w:p>
      <w:pPr>
        <w:pStyle w:val="Heading3"/>
        <w:numPr>
          <w:ilvl w:val="0"/>
          <w:numId w:val="6"/>
        </w:numPr>
        <w:tabs>
          <w:tab w:val="left" w:pos="553"/>
        </w:tabs>
        <w:spacing w:before="0" w:after="0" w:line="429" w:lineRule="exact"/>
        <w:ind w:left="552" w:right="0" w:hanging="362"/>
        <w:jc w:val="left"/>
        <w:rPr>
          <w:rFonts w:ascii="Microsoft JhengHei" w:eastAsia="Microsoft JhengHei"/>
        </w:rPr>
      </w:pPr>
      <w:r>
        <w:rPr>
          <w:rFonts w:ascii="Microsoft JhengHei" w:eastAsia="Microsoft JhengHei"/>
          <w:spacing w:val="-1"/>
        </w:rPr>
        <w:t>监理控制要点及方法措施</w:t>
      </w:r>
    </w:p>
    <w:p>
      <w:pPr>
        <w:spacing w:after="0" w:line="429" w:lineRule="exact"/>
        <w:jc w:val="left"/>
        <w:rPr>
          <w:rFonts w:ascii="Microsoft JhengHei" w:eastAsia="Microsoft JhengHei"/>
        </w:rPr>
        <w:sectPr>
          <w:headerReference w:type="default" r:id="rId6"/>
          <w:pgSz w:w="11910" w:h="16840"/>
          <w:pgMar w:top="1140" w:right="0" w:bottom="280" w:left="1680" w:header="873" w:footer="0"/>
          <w:pgNumType w:start="3"/>
          <w:cols w:space="708"/>
        </w:sectPr>
      </w:pPr>
    </w:p>
    <w:p>
      <w:pPr>
        <w:pStyle w:val="ListParagraph"/>
        <w:numPr>
          <w:ilvl w:val="1"/>
          <w:numId w:val="5"/>
        </w:numPr>
        <w:tabs>
          <w:tab w:val="left" w:pos="732"/>
        </w:tabs>
        <w:spacing w:before="0" w:after="0" w:line="414" w:lineRule="exact"/>
        <w:ind w:left="731" w:right="0" w:hanging="424"/>
        <w:jc w:val="left"/>
        <w:rPr>
          <w:rFonts w:ascii="微软雅黑" w:eastAsia="微软雅黑"/>
          <w:b/>
          <w:sz w:val="24"/>
        </w:rPr>
      </w:pPr>
      <w:r>
        <w:rPr>
          <w:rFonts w:ascii="微软雅黑" w:eastAsia="微软雅黑"/>
          <w:b/>
          <w:spacing w:val="-1"/>
          <w:sz w:val="24"/>
        </w:rPr>
        <w:t>园林绿化监理监控要点</w:t>
      </w:r>
    </w:p>
    <w:p>
      <w:pPr>
        <w:pStyle w:val="ListParagraph"/>
        <w:numPr>
          <w:ilvl w:val="2"/>
          <w:numId w:val="5"/>
        </w:numPr>
        <w:tabs>
          <w:tab w:val="left" w:pos="1091"/>
        </w:tabs>
        <w:spacing w:before="34" w:after="0" w:line="240" w:lineRule="auto"/>
        <w:ind w:left="1091" w:right="0" w:hanging="660"/>
        <w:jc w:val="left"/>
        <w:rPr>
          <w:sz w:val="24"/>
        </w:rPr>
      </w:pPr>
      <w:r>
        <w:rPr>
          <w:spacing w:val="-2"/>
          <w:sz w:val="24"/>
        </w:rPr>
        <w:t>种植材料和播种材料</w:t>
      </w:r>
    </w:p>
    <w:p>
      <w:pPr>
        <w:pStyle w:val="ListParagraph"/>
        <w:numPr>
          <w:ilvl w:val="3"/>
          <w:numId w:val="5"/>
        </w:numPr>
        <w:tabs>
          <w:tab w:val="left" w:pos="1331"/>
        </w:tabs>
        <w:spacing w:before="93" w:after="0" w:line="240" w:lineRule="auto"/>
        <w:ind w:left="1331" w:right="0" w:hanging="900"/>
        <w:jc w:val="left"/>
        <w:rPr>
          <w:sz w:val="24"/>
        </w:rPr>
      </w:pPr>
      <w:r>
        <w:rPr>
          <w:spacing w:val="-1"/>
          <w:sz w:val="24"/>
        </w:rPr>
        <w:t>露地栽培花卉应符合下列规定：</w:t>
      </w:r>
    </w:p>
    <w:p>
      <w:pPr>
        <w:pStyle w:val="BodyText"/>
        <w:spacing w:before="92"/>
        <w:ind w:left="671"/>
      </w:pPr>
      <w:r>
        <w:rPr>
          <w:spacing w:val="-7"/>
        </w:rPr>
        <w:t xml:space="preserve">①一、二年生花卉，株高应为 </w:t>
      </w:r>
      <w:r>
        <w:rPr>
          <w:spacing w:val="-4"/>
        </w:rPr>
        <w:t>10∽40cm</w:t>
      </w:r>
      <w:r>
        <w:rPr>
          <w:spacing w:val="-10"/>
        </w:rPr>
        <w:t xml:space="preserve">，冠径应为 </w:t>
      </w:r>
      <w:r>
        <w:rPr>
          <w:spacing w:val="-4"/>
        </w:rPr>
        <w:t>15∽35cm</w:t>
      </w:r>
      <w:r>
        <w:rPr>
          <w:spacing w:val="-8"/>
        </w:rPr>
        <w:t xml:space="preserve">。分枝不应少于 </w:t>
      </w:r>
      <w:r>
        <w:rPr>
          <w:spacing w:val="-10"/>
        </w:rPr>
        <w:t>3</w:t>
      </w:r>
    </w:p>
    <w:p>
      <w:pPr>
        <w:pStyle w:val="BodyText"/>
        <w:spacing w:before="93"/>
      </w:pPr>
      <w:r>
        <w:t>∽4</w:t>
      </w:r>
      <w:r>
        <w:rPr>
          <w:spacing w:val="-9"/>
        </w:rPr>
        <w:t xml:space="preserve"> 个，叶簇健壮，色泽明亮。</w:t>
      </w:r>
    </w:p>
    <w:p>
      <w:pPr>
        <w:pStyle w:val="BodyText"/>
        <w:spacing w:before="92"/>
        <w:ind w:left="671"/>
      </w:pPr>
      <w:r>
        <w:rPr>
          <w:spacing w:val="-1"/>
        </w:rPr>
        <w:t>②宿根花卉，根系必须完整，无腐烂变质。</w:t>
      </w:r>
    </w:p>
    <w:p>
      <w:pPr>
        <w:pStyle w:val="BodyText"/>
        <w:spacing w:before="93"/>
        <w:ind w:left="671"/>
      </w:pPr>
      <w:r>
        <w:rPr>
          <w:spacing w:val="-1"/>
        </w:rPr>
        <w:t>③球根花卉，根茎应茁壮、无损伤，幼芽饱满。</w:t>
      </w:r>
    </w:p>
    <w:p>
      <w:pPr>
        <w:pStyle w:val="BodyText"/>
        <w:spacing w:before="92"/>
        <w:ind w:left="671"/>
      </w:pPr>
      <w:r>
        <w:rPr>
          <w:spacing w:val="-1"/>
        </w:rPr>
        <w:t>④观叶植物，叶色应鲜艳，叶簇丰满。</w:t>
      </w:r>
    </w:p>
    <w:p>
      <w:pPr>
        <w:pStyle w:val="ListParagraph"/>
        <w:numPr>
          <w:ilvl w:val="3"/>
          <w:numId w:val="5"/>
        </w:numPr>
        <w:tabs>
          <w:tab w:val="left" w:pos="1331"/>
        </w:tabs>
        <w:spacing w:before="93" w:after="0" w:line="312" w:lineRule="auto"/>
        <w:ind w:left="191" w:right="1416" w:firstLine="240"/>
        <w:jc w:val="both"/>
        <w:rPr>
          <w:sz w:val="24"/>
        </w:rPr>
      </w:pPr>
      <w:r>
        <w:rPr>
          <w:spacing w:val="-3"/>
          <w:sz w:val="24"/>
        </w:rPr>
        <w:t xml:space="preserve">铺栽草坪用的草块及草卷应规格一致，边缘平直，杂草不得超过 </w:t>
      </w:r>
      <w:r>
        <w:rPr>
          <w:spacing w:val="-2"/>
          <w:sz w:val="24"/>
        </w:rPr>
        <w:t>5%。草</w:t>
      </w:r>
      <w:r>
        <w:rPr>
          <w:spacing w:val="-3"/>
          <w:sz w:val="24"/>
        </w:rPr>
        <w:t xml:space="preserve">块土层厚度宜为 </w:t>
      </w:r>
      <w:r>
        <w:rPr>
          <w:sz w:val="24"/>
        </w:rPr>
        <w:t>3∽5cm，</w:t>
      </w:r>
      <w:r>
        <w:rPr>
          <w:spacing w:val="-3"/>
          <w:sz w:val="24"/>
        </w:rPr>
        <w:t xml:space="preserve">草卷土层厚度宜为 </w:t>
      </w:r>
      <w:r>
        <w:rPr>
          <w:sz w:val="24"/>
        </w:rPr>
        <w:t>1∽3cm。</w:t>
      </w:r>
    </w:p>
    <w:p>
      <w:pPr>
        <w:pStyle w:val="ListParagraph"/>
        <w:numPr>
          <w:ilvl w:val="3"/>
          <w:numId w:val="5"/>
        </w:numPr>
        <w:tabs>
          <w:tab w:val="left" w:pos="1331"/>
        </w:tabs>
        <w:spacing w:before="0" w:after="0" w:line="312" w:lineRule="auto"/>
        <w:ind w:left="191" w:right="1416" w:firstLine="240"/>
        <w:jc w:val="both"/>
        <w:rPr>
          <w:sz w:val="24"/>
        </w:rPr>
      </w:pPr>
      <w:r>
        <w:rPr>
          <w:spacing w:val="-2"/>
          <w:sz w:val="24"/>
        </w:rPr>
        <w:t>播种用的草坪、草花、地被植物种子均应注明品种、品系、产地、生产</w:t>
      </w:r>
      <w:r>
        <w:rPr>
          <w:spacing w:val="-2"/>
          <w:sz w:val="24"/>
        </w:rPr>
        <w:t>单位、采收年份、纯净度及发芽率，不得有病虫害。自外地引进种子应有检疫合格</w:t>
      </w:r>
      <w:r>
        <w:rPr>
          <w:spacing w:val="-6"/>
          <w:sz w:val="24"/>
        </w:rPr>
        <w:t xml:space="preserve">证。发芽率达 </w:t>
      </w:r>
      <w:r>
        <w:rPr>
          <w:sz w:val="24"/>
        </w:rPr>
        <w:t>90%以上方可使用。</w:t>
      </w:r>
    </w:p>
    <w:p>
      <w:pPr>
        <w:pStyle w:val="Heading3"/>
        <w:numPr>
          <w:ilvl w:val="1"/>
          <w:numId w:val="5"/>
        </w:numPr>
        <w:tabs>
          <w:tab w:val="left" w:pos="614"/>
        </w:tabs>
        <w:spacing w:before="0" w:after="0" w:line="366" w:lineRule="exact"/>
        <w:ind w:left="613" w:right="0" w:hanging="423"/>
        <w:jc w:val="left"/>
      </w:pPr>
      <w:r>
        <w:rPr>
          <w:spacing w:val="-2"/>
        </w:rPr>
        <w:t>种植前土壤处理</w:t>
      </w:r>
    </w:p>
    <w:p>
      <w:pPr>
        <w:pStyle w:val="ListParagraph"/>
        <w:numPr>
          <w:ilvl w:val="2"/>
          <w:numId w:val="5"/>
        </w:numPr>
        <w:tabs>
          <w:tab w:val="left" w:pos="1211"/>
        </w:tabs>
        <w:spacing w:before="34" w:after="0" w:line="240" w:lineRule="auto"/>
        <w:ind w:left="1211" w:right="0" w:hanging="660"/>
        <w:jc w:val="left"/>
        <w:rPr>
          <w:sz w:val="24"/>
        </w:rPr>
      </w:pPr>
      <w:r>
        <w:rPr>
          <w:spacing w:val="-1"/>
          <w:sz w:val="24"/>
        </w:rPr>
        <w:t>种植或播种前应使该地区的土壤达到种植土的要求。</w:t>
      </w:r>
    </w:p>
    <w:p>
      <w:pPr>
        <w:pStyle w:val="ListParagraph"/>
        <w:numPr>
          <w:ilvl w:val="2"/>
          <w:numId w:val="5"/>
        </w:numPr>
        <w:tabs>
          <w:tab w:val="left" w:pos="1271"/>
        </w:tabs>
        <w:spacing w:before="93" w:after="0" w:line="312" w:lineRule="auto"/>
        <w:ind w:left="191" w:right="1416" w:firstLine="360"/>
        <w:jc w:val="left"/>
        <w:rPr>
          <w:sz w:val="24"/>
        </w:rPr>
      </w:pPr>
      <w:r>
        <w:rPr>
          <w:spacing w:val="-20"/>
          <w:sz w:val="24"/>
        </w:rPr>
        <w:t xml:space="preserve">覆土 </w:t>
      </w:r>
      <w:r>
        <w:rPr>
          <w:sz w:val="24"/>
        </w:rPr>
        <w:t>0.6m</w:t>
      </w:r>
      <w:r>
        <w:rPr>
          <w:spacing w:val="-18"/>
          <w:sz w:val="24"/>
        </w:rPr>
        <w:t xml:space="preserve"> 以内粒级为 </w:t>
      </w:r>
      <w:r>
        <w:rPr>
          <w:sz w:val="24"/>
        </w:rPr>
        <w:t>1cm</w:t>
      </w:r>
      <w:r>
        <w:rPr>
          <w:spacing w:val="-16"/>
          <w:sz w:val="24"/>
        </w:rPr>
        <w:t xml:space="preserve"> 以上的渣砾和 </w:t>
      </w:r>
      <w:r>
        <w:rPr>
          <w:sz w:val="24"/>
        </w:rPr>
        <w:t>2</w:t>
      </w:r>
      <w:r>
        <w:rPr>
          <w:spacing w:val="-30"/>
          <w:sz w:val="24"/>
        </w:rPr>
        <w:t xml:space="preserve"> </w:t>
      </w:r>
      <w:r>
        <w:rPr>
          <w:sz w:val="24"/>
        </w:rPr>
        <w:t>m</w:t>
      </w:r>
      <w:r>
        <w:rPr>
          <w:spacing w:val="-8"/>
          <w:sz w:val="24"/>
        </w:rPr>
        <w:t xml:space="preserve"> 内的沥青、混凝土及有毒有</w:t>
      </w:r>
      <w:r>
        <w:rPr>
          <w:spacing w:val="-2"/>
          <w:sz w:val="24"/>
        </w:rPr>
        <w:t>机垃圾必须清除。</w:t>
      </w:r>
    </w:p>
    <w:p>
      <w:pPr>
        <w:pStyle w:val="ListParagraph"/>
        <w:numPr>
          <w:ilvl w:val="2"/>
          <w:numId w:val="5"/>
        </w:numPr>
        <w:tabs>
          <w:tab w:val="left" w:pos="1271"/>
        </w:tabs>
        <w:spacing w:before="0" w:after="0" w:line="240" w:lineRule="auto"/>
        <w:ind w:left="1271" w:right="0" w:hanging="720"/>
        <w:jc w:val="left"/>
        <w:rPr>
          <w:sz w:val="24"/>
        </w:rPr>
      </w:pPr>
      <w:r>
        <w:rPr>
          <w:spacing w:val="-5"/>
          <w:sz w:val="24"/>
        </w:rPr>
        <w:t xml:space="preserve">土壤疏松，容重不得高于 </w:t>
      </w:r>
      <w:r>
        <w:rPr>
          <w:sz w:val="24"/>
        </w:rPr>
        <w:t>1.3 g/cm3</w:t>
      </w:r>
      <w:r>
        <w:rPr>
          <w:spacing w:val="-10"/>
          <w:sz w:val="24"/>
        </w:rPr>
        <w:t>。</w:t>
      </w:r>
    </w:p>
    <w:p>
      <w:pPr>
        <w:pStyle w:val="ListParagraph"/>
        <w:numPr>
          <w:ilvl w:val="2"/>
          <w:numId w:val="5"/>
        </w:numPr>
        <w:tabs>
          <w:tab w:val="left" w:pos="1271"/>
        </w:tabs>
        <w:spacing w:before="93" w:after="0" w:line="240" w:lineRule="auto"/>
        <w:ind w:left="1271" w:right="0" w:hanging="720"/>
        <w:jc w:val="left"/>
        <w:rPr>
          <w:sz w:val="24"/>
        </w:rPr>
      </w:pPr>
      <w:r>
        <w:rPr>
          <w:spacing w:val="-4"/>
          <w:sz w:val="24"/>
        </w:rPr>
        <w:t xml:space="preserve">土壤排水良好，非毛管孔隙度不得低于 </w:t>
      </w:r>
      <w:r>
        <w:rPr>
          <w:sz w:val="24"/>
        </w:rPr>
        <w:t>10</w:t>
      </w:r>
      <w:r>
        <w:rPr>
          <w:spacing w:val="-4"/>
          <w:sz w:val="24"/>
        </w:rPr>
        <w:t xml:space="preserve"> %。</w:t>
      </w:r>
    </w:p>
    <w:p>
      <w:pPr>
        <w:pStyle w:val="ListParagraph"/>
        <w:numPr>
          <w:ilvl w:val="2"/>
          <w:numId w:val="5"/>
        </w:numPr>
        <w:tabs>
          <w:tab w:val="left" w:pos="1211"/>
        </w:tabs>
        <w:spacing w:before="92" w:after="0" w:line="240" w:lineRule="auto"/>
        <w:ind w:left="1211" w:right="0" w:hanging="660"/>
        <w:jc w:val="left"/>
        <w:rPr>
          <w:sz w:val="24"/>
        </w:rPr>
      </w:pPr>
      <w:r>
        <w:rPr>
          <w:spacing w:val="-20"/>
          <w:sz w:val="24"/>
        </w:rPr>
        <w:t xml:space="preserve">土壤 </w:t>
      </w:r>
      <w:r>
        <w:rPr>
          <w:sz w:val="24"/>
        </w:rPr>
        <w:t>pH</w:t>
      </w:r>
      <w:r>
        <w:rPr>
          <w:spacing w:val="-24"/>
          <w:sz w:val="24"/>
        </w:rPr>
        <w:t xml:space="preserve"> 值应为 </w:t>
      </w:r>
      <w:r>
        <w:rPr>
          <w:sz w:val="24"/>
        </w:rPr>
        <w:t>7.0~8.5，</w:t>
      </w:r>
      <w:r>
        <w:rPr>
          <w:spacing w:val="-6"/>
          <w:sz w:val="24"/>
        </w:rPr>
        <w:t xml:space="preserve">土壤含盐量不得高于 </w:t>
      </w:r>
      <w:r>
        <w:rPr>
          <w:sz w:val="24"/>
        </w:rPr>
        <w:t>0.12</w:t>
      </w:r>
      <w:r>
        <w:rPr>
          <w:spacing w:val="-5"/>
          <w:sz w:val="24"/>
        </w:rPr>
        <w:t xml:space="preserve"> ％</w:t>
      </w:r>
    </w:p>
    <w:p>
      <w:pPr>
        <w:pStyle w:val="ListParagraph"/>
        <w:numPr>
          <w:ilvl w:val="2"/>
          <w:numId w:val="5"/>
        </w:numPr>
        <w:tabs>
          <w:tab w:val="left" w:pos="1211"/>
        </w:tabs>
        <w:spacing w:before="93" w:after="0" w:line="240" w:lineRule="auto"/>
        <w:ind w:left="1211" w:right="0" w:hanging="660"/>
        <w:jc w:val="left"/>
        <w:rPr>
          <w:sz w:val="24"/>
        </w:rPr>
      </w:pPr>
      <w:r>
        <w:rPr>
          <w:spacing w:val="-3"/>
          <w:sz w:val="24"/>
        </w:rPr>
        <w:t xml:space="preserve">土壤营养元素平衡，其中有机质含量不得低于 </w:t>
      </w:r>
      <w:r>
        <w:rPr>
          <w:sz w:val="24"/>
        </w:rPr>
        <w:t>10</w:t>
      </w:r>
      <w:r>
        <w:rPr>
          <w:spacing w:val="-24"/>
          <w:sz w:val="24"/>
        </w:rPr>
        <w:t xml:space="preserve"> </w:t>
      </w:r>
      <w:r>
        <w:rPr>
          <w:sz w:val="24"/>
        </w:rPr>
        <w:t>g/kg</w:t>
      </w:r>
      <w:r>
        <w:rPr>
          <w:spacing w:val="-2"/>
          <w:sz w:val="24"/>
        </w:rPr>
        <w:t>，全氮量不得低于</w:t>
      </w:r>
    </w:p>
    <w:p>
      <w:pPr>
        <w:pStyle w:val="BodyText"/>
        <w:spacing w:before="92"/>
      </w:pPr>
      <w:r>
        <w:t>1.0 g/kg，</w:t>
      </w:r>
      <w:r>
        <w:rPr>
          <w:spacing w:val="-8"/>
        </w:rPr>
        <w:t xml:space="preserve">全磷量不得低于 </w:t>
      </w:r>
      <w:r>
        <w:t>0.6 g/kg，</w:t>
      </w:r>
      <w:r>
        <w:rPr>
          <w:spacing w:val="-8"/>
        </w:rPr>
        <w:t xml:space="preserve">全钾量不得低于 </w:t>
      </w:r>
      <w:r>
        <w:t>17 g/kg</w:t>
      </w:r>
      <w:r>
        <w:rPr>
          <w:spacing w:val="-10"/>
        </w:rPr>
        <w:t>。</w:t>
      </w:r>
    </w:p>
    <w:p>
      <w:pPr>
        <w:pStyle w:val="ListParagraph"/>
        <w:numPr>
          <w:ilvl w:val="2"/>
          <w:numId w:val="5"/>
        </w:numPr>
        <w:tabs>
          <w:tab w:val="left" w:pos="1211"/>
        </w:tabs>
        <w:spacing w:before="93" w:after="0" w:line="240" w:lineRule="auto"/>
        <w:ind w:left="1211" w:right="0" w:hanging="660"/>
        <w:jc w:val="left"/>
        <w:rPr>
          <w:sz w:val="24"/>
        </w:rPr>
      </w:pPr>
      <w:r>
        <w:rPr>
          <w:spacing w:val="-1"/>
          <w:sz w:val="24"/>
        </w:rPr>
        <w:t>绿地地形整理应严格按照竖向设计要求进行，地形应自然流畅。</w:t>
      </w:r>
    </w:p>
    <w:p>
      <w:pPr>
        <w:pStyle w:val="ListParagraph"/>
        <w:numPr>
          <w:ilvl w:val="2"/>
          <w:numId w:val="5"/>
        </w:numPr>
        <w:tabs>
          <w:tab w:val="left" w:pos="1211"/>
        </w:tabs>
        <w:spacing w:before="92" w:after="0" w:line="312" w:lineRule="auto"/>
        <w:ind w:left="191" w:right="1416" w:firstLine="360"/>
        <w:jc w:val="left"/>
        <w:rPr>
          <w:sz w:val="24"/>
        </w:rPr>
      </w:pPr>
      <w:r>
        <w:rPr>
          <w:spacing w:val="-4"/>
          <w:sz w:val="24"/>
        </w:rPr>
        <w:t>草坪、花卉种植地、播种地应施足基肥，耧平耙细，去除杂物，平整度和</w:t>
      </w:r>
      <w:r>
        <w:rPr>
          <w:spacing w:val="-2"/>
          <w:sz w:val="24"/>
        </w:rPr>
        <w:t>坡度应符合设计要求。</w:t>
      </w:r>
    </w:p>
    <w:p>
      <w:pPr>
        <w:pStyle w:val="ListParagraph"/>
        <w:numPr>
          <w:ilvl w:val="2"/>
          <w:numId w:val="5"/>
        </w:numPr>
        <w:tabs>
          <w:tab w:val="left" w:pos="1211"/>
        </w:tabs>
        <w:spacing w:before="1" w:after="0" w:line="240" w:lineRule="auto"/>
        <w:ind w:left="1211" w:right="0" w:hanging="660"/>
        <w:jc w:val="left"/>
        <w:rPr>
          <w:sz w:val="24"/>
        </w:rPr>
      </w:pPr>
      <w:r>
        <w:rPr>
          <w:spacing w:val="-1"/>
          <w:sz w:val="24"/>
        </w:rPr>
        <w:t>平整土地后，应采取防尘措施。</w:t>
      </w:r>
    </w:p>
    <w:p>
      <w:pPr>
        <w:pStyle w:val="ListParagraph"/>
        <w:numPr>
          <w:ilvl w:val="2"/>
          <w:numId w:val="5"/>
        </w:numPr>
        <w:tabs>
          <w:tab w:val="left" w:pos="1331"/>
        </w:tabs>
        <w:spacing w:before="92" w:after="0" w:line="312" w:lineRule="auto"/>
        <w:ind w:left="551" w:right="1455" w:firstLine="0"/>
        <w:jc w:val="left"/>
        <w:rPr>
          <w:sz w:val="24"/>
        </w:rPr>
      </w:pPr>
      <w:r>
        <w:rPr>
          <w:spacing w:val="-2"/>
          <w:sz w:val="24"/>
        </w:rPr>
        <w:t>园林植物生长所必需的最小种植土层厚度应大于植物主要根系分布深度</w:t>
      </w:r>
      <w:r>
        <w:rPr>
          <w:spacing w:val="-15"/>
          <w:sz w:val="24"/>
        </w:rPr>
        <w:t xml:space="preserve">表 </w:t>
      </w:r>
      <w:r>
        <w:rPr>
          <w:sz w:val="24"/>
        </w:rPr>
        <w:t>1 园林植物主要根系分布深度 单位：cm</w:t>
      </w:r>
    </w:p>
    <w:p>
      <w:pPr>
        <w:pStyle w:val="Heading3"/>
        <w:spacing w:line="366" w:lineRule="exact"/>
        <w:ind w:left="2932" w:firstLine="0"/>
      </w:pPr>
      <w:r>
        <w:rPr>
          <w:spacing w:val="-1"/>
        </w:rPr>
        <w:t>园林植物种植必需的最低土层厚度</w:t>
      </w:r>
    </w:p>
    <w:tbl>
      <w:tblPr>
        <w:tblStyle w:val="TableNormal0"/>
        <w:tblW w:w="0" w:type="auto"/>
        <w:jc w:val="left"/>
        <w:tblInd w:w="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217"/>
        <w:gridCol w:w="1217"/>
        <w:gridCol w:w="1218"/>
        <w:gridCol w:w="1217"/>
        <w:gridCol w:w="1218"/>
        <w:gridCol w:w="1217"/>
        <w:gridCol w:w="1288"/>
      </w:tblGrid>
      <w:tr>
        <w:tblPrEx>
          <w:tblW w:w="0" w:type="auto"/>
          <w:jc w:val="left"/>
          <w:tblInd w:w="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567"/>
          <w:jc w:val="left"/>
        </w:trPr>
        <w:tc>
          <w:tcPr>
            <w:tcW w:w="1217" w:type="dxa"/>
          </w:tcPr>
          <w:p>
            <w:pPr>
              <w:pStyle w:val="TableParagraph"/>
              <w:ind w:left="188"/>
              <w:jc w:val="left"/>
              <w:rPr>
                <w:sz w:val="21"/>
              </w:rPr>
            </w:pPr>
            <w:r>
              <w:rPr>
                <w:spacing w:val="-3"/>
                <w:sz w:val="21"/>
              </w:rPr>
              <w:t>植被类型</w:t>
            </w:r>
          </w:p>
        </w:tc>
        <w:tc>
          <w:tcPr>
            <w:tcW w:w="1217" w:type="dxa"/>
          </w:tcPr>
          <w:p>
            <w:pPr>
              <w:pStyle w:val="TableParagraph"/>
              <w:ind w:left="173" w:right="164"/>
              <w:rPr>
                <w:sz w:val="21"/>
              </w:rPr>
            </w:pPr>
            <w:r>
              <w:rPr>
                <w:spacing w:val="-3"/>
                <w:sz w:val="21"/>
              </w:rPr>
              <w:t>草本花卉</w:t>
            </w:r>
          </w:p>
        </w:tc>
        <w:tc>
          <w:tcPr>
            <w:tcW w:w="1218" w:type="dxa"/>
          </w:tcPr>
          <w:p>
            <w:pPr>
              <w:pStyle w:val="TableParagraph"/>
              <w:ind w:right="165"/>
              <w:rPr>
                <w:sz w:val="21"/>
              </w:rPr>
            </w:pPr>
            <w:r>
              <w:rPr>
                <w:spacing w:val="-3"/>
                <w:sz w:val="21"/>
              </w:rPr>
              <w:t>草坪地被</w:t>
            </w:r>
          </w:p>
        </w:tc>
        <w:tc>
          <w:tcPr>
            <w:tcW w:w="1217" w:type="dxa"/>
          </w:tcPr>
          <w:p>
            <w:pPr>
              <w:pStyle w:val="TableParagraph"/>
              <w:ind w:right="164"/>
              <w:rPr>
                <w:sz w:val="21"/>
              </w:rPr>
            </w:pPr>
            <w:r>
              <w:rPr>
                <w:spacing w:val="-4"/>
                <w:sz w:val="21"/>
              </w:rPr>
              <w:t>小灌木</w:t>
            </w:r>
          </w:p>
        </w:tc>
        <w:tc>
          <w:tcPr>
            <w:tcW w:w="1218" w:type="dxa"/>
          </w:tcPr>
          <w:p>
            <w:pPr>
              <w:pStyle w:val="TableParagraph"/>
              <w:ind w:right="165"/>
              <w:rPr>
                <w:sz w:val="21"/>
              </w:rPr>
            </w:pPr>
            <w:r>
              <w:rPr>
                <w:spacing w:val="-4"/>
                <w:sz w:val="21"/>
              </w:rPr>
              <w:t>大灌木</w:t>
            </w:r>
          </w:p>
        </w:tc>
        <w:tc>
          <w:tcPr>
            <w:tcW w:w="1217" w:type="dxa"/>
          </w:tcPr>
          <w:p>
            <w:pPr>
              <w:pStyle w:val="TableParagraph"/>
              <w:ind w:right="164"/>
              <w:rPr>
                <w:sz w:val="21"/>
              </w:rPr>
            </w:pPr>
            <w:r>
              <w:rPr>
                <w:spacing w:val="-3"/>
                <w:sz w:val="21"/>
              </w:rPr>
              <w:t>浅根乔木</w:t>
            </w:r>
          </w:p>
        </w:tc>
        <w:tc>
          <w:tcPr>
            <w:tcW w:w="1288" w:type="dxa"/>
          </w:tcPr>
          <w:p>
            <w:pPr>
              <w:pStyle w:val="TableParagraph"/>
              <w:ind w:left="210" w:right="200"/>
              <w:rPr>
                <w:sz w:val="21"/>
              </w:rPr>
            </w:pPr>
            <w:r>
              <w:rPr>
                <w:spacing w:val="-3"/>
                <w:sz w:val="21"/>
              </w:rPr>
              <w:t>深根乔木</w:t>
            </w:r>
          </w:p>
        </w:tc>
      </w:tr>
      <w:tr>
        <w:tblPrEx>
          <w:tblW w:w="0" w:type="auto"/>
          <w:jc w:val="left"/>
          <w:tblInd w:w="209" w:type="dxa"/>
          <w:tblLayout w:type="fixed"/>
          <w:tblCellMar>
            <w:top w:w="0" w:type="dxa"/>
            <w:left w:w="0" w:type="dxa"/>
            <w:bottom w:w="0" w:type="dxa"/>
            <w:right w:w="0" w:type="dxa"/>
          </w:tblCellMar>
          <w:tblLook w:val="01E0"/>
        </w:tblPrEx>
        <w:trPr>
          <w:trHeight w:val="799"/>
          <w:jc w:val="left"/>
        </w:trPr>
        <w:tc>
          <w:tcPr>
            <w:tcW w:w="1217" w:type="dxa"/>
          </w:tcPr>
          <w:p>
            <w:pPr>
              <w:pStyle w:val="TableParagraph"/>
              <w:spacing w:before="54"/>
              <w:ind w:left="188"/>
              <w:jc w:val="left"/>
              <w:rPr>
                <w:sz w:val="21"/>
              </w:rPr>
            </w:pPr>
            <w:r>
              <w:rPr>
                <w:spacing w:val="-3"/>
                <w:sz w:val="21"/>
              </w:rPr>
              <w:t>土层厚度</w:t>
            </w:r>
          </w:p>
          <w:p>
            <w:pPr>
              <w:pStyle w:val="TableParagraph"/>
              <w:spacing w:before="131"/>
              <w:ind w:left="293"/>
              <w:jc w:val="left"/>
              <w:rPr>
                <w:sz w:val="21"/>
              </w:rPr>
            </w:pPr>
            <w:r>
              <w:rPr>
                <w:spacing w:val="-4"/>
                <w:sz w:val="21"/>
              </w:rPr>
              <w:t>（cm）</w:t>
            </w:r>
          </w:p>
        </w:tc>
        <w:tc>
          <w:tcPr>
            <w:tcW w:w="1217" w:type="dxa"/>
          </w:tcPr>
          <w:p>
            <w:pPr>
              <w:pStyle w:val="TableParagraph"/>
              <w:spacing w:before="14"/>
              <w:ind w:left="0"/>
              <w:jc w:val="left"/>
              <w:rPr>
                <w:rFonts w:ascii="微软雅黑"/>
                <w:b/>
                <w:sz w:val="13"/>
              </w:rPr>
            </w:pPr>
          </w:p>
          <w:p>
            <w:pPr>
              <w:pStyle w:val="TableParagraph"/>
              <w:spacing w:before="0"/>
              <w:ind w:left="173" w:right="164"/>
              <w:rPr>
                <w:sz w:val="21"/>
              </w:rPr>
            </w:pPr>
            <w:r>
              <w:rPr>
                <w:spacing w:val="-5"/>
                <w:sz w:val="21"/>
              </w:rPr>
              <w:t>30</w:t>
            </w:r>
          </w:p>
        </w:tc>
        <w:tc>
          <w:tcPr>
            <w:tcW w:w="1218" w:type="dxa"/>
          </w:tcPr>
          <w:p>
            <w:pPr>
              <w:pStyle w:val="TableParagraph"/>
              <w:spacing w:before="14"/>
              <w:ind w:left="0"/>
              <w:jc w:val="left"/>
              <w:rPr>
                <w:rFonts w:ascii="微软雅黑"/>
                <w:b/>
                <w:sz w:val="13"/>
              </w:rPr>
            </w:pPr>
          </w:p>
          <w:p>
            <w:pPr>
              <w:pStyle w:val="TableParagraph"/>
              <w:spacing w:before="0"/>
              <w:ind w:right="165"/>
              <w:rPr>
                <w:sz w:val="21"/>
              </w:rPr>
            </w:pPr>
            <w:r>
              <w:rPr>
                <w:spacing w:val="-5"/>
                <w:sz w:val="21"/>
              </w:rPr>
              <w:t>30</w:t>
            </w:r>
          </w:p>
        </w:tc>
        <w:tc>
          <w:tcPr>
            <w:tcW w:w="1217" w:type="dxa"/>
          </w:tcPr>
          <w:p>
            <w:pPr>
              <w:pStyle w:val="TableParagraph"/>
              <w:spacing w:before="14"/>
              <w:ind w:left="0"/>
              <w:jc w:val="left"/>
              <w:rPr>
                <w:rFonts w:ascii="微软雅黑"/>
                <w:b/>
                <w:sz w:val="13"/>
              </w:rPr>
            </w:pPr>
          </w:p>
          <w:p>
            <w:pPr>
              <w:pStyle w:val="TableParagraph"/>
              <w:spacing w:before="0"/>
              <w:ind w:right="164"/>
              <w:rPr>
                <w:sz w:val="21"/>
              </w:rPr>
            </w:pPr>
            <w:r>
              <w:rPr>
                <w:spacing w:val="-5"/>
                <w:sz w:val="21"/>
              </w:rPr>
              <w:t>45</w:t>
            </w:r>
          </w:p>
        </w:tc>
        <w:tc>
          <w:tcPr>
            <w:tcW w:w="1218" w:type="dxa"/>
          </w:tcPr>
          <w:p>
            <w:pPr>
              <w:pStyle w:val="TableParagraph"/>
              <w:spacing w:before="14"/>
              <w:ind w:left="0"/>
              <w:jc w:val="left"/>
              <w:rPr>
                <w:rFonts w:ascii="微软雅黑"/>
                <w:b/>
                <w:sz w:val="13"/>
              </w:rPr>
            </w:pPr>
          </w:p>
          <w:p>
            <w:pPr>
              <w:pStyle w:val="TableParagraph"/>
              <w:spacing w:before="0"/>
              <w:ind w:right="165"/>
              <w:rPr>
                <w:sz w:val="21"/>
              </w:rPr>
            </w:pPr>
            <w:r>
              <w:rPr>
                <w:spacing w:val="-5"/>
                <w:sz w:val="21"/>
              </w:rPr>
              <w:t>60</w:t>
            </w:r>
          </w:p>
        </w:tc>
        <w:tc>
          <w:tcPr>
            <w:tcW w:w="1217" w:type="dxa"/>
          </w:tcPr>
          <w:p>
            <w:pPr>
              <w:pStyle w:val="TableParagraph"/>
              <w:spacing w:before="14"/>
              <w:ind w:left="0"/>
              <w:jc w:val="left"/>
              <w:rPr>
                <w:rFonts w:ascii="微软雅黑"/>
                <w:b/>
                <w:sz w:val="13"/>
              </w:rPr>
            </w:pPr>
          </w:p>
          <w:p>
            <w:pPr>
              <w:pStyle w:val="TableParagraph"/>
              <w:spacing w:before="0"/>
              <w:ind w:right="164"/>
              <w:rPr>
                <w:sz w:val="21"/>
              </w:rPr>
            </w:pPr>
            <w:r>
              <w:rPr>
                <w:spacing w:val="-5"/>
                <w:sz w:val="21"/>
              </w:rPr>
              <w:t>90</w:t>
            </w:r>
          </w:p>
        </w:tc>
        <w:tc>
          <w:tcPr>
            <w:tcW w:w="1288" w:type="dxa"/>
          </w:tcPr>
          <w:p>
            <w:pPr>
              <w:pStyle w:val="TableParagraph"/>
              <w:spacing w:before="14"/>
              <w:ind w:left="0"/>
              <w:jc w:val="left"/>
              <w:rPr>
                <w:rFonts w:ascii="微软雅黑"/>
                <w:b/>
                <w:sz w:val="13"/>
              </w:rPr>
            </w:pPr>
          </w:p>
          <w:p>
            <w:pPr>
              <w:pStyle w:val="TableParagraph"/>
              <w:spacing w:before="0"/>
              <w:ind w:left="210" w:right="200"/>
              <w:rPr>
                <w:sz w:val="21"/>
              </w:rPr>
            </w:pPr>
            <w:r>
              <w:rPr>
                <w:spacing w:val="-5"/>
                <w:sz w:val="21"/>
              </w:rPr>
              <w:t>150</w:t>
            </w:r>
          </w:p>
        </w:tc>
      </w:tr>
    </w:tbl>
    <w:p>
      <w:pPr>
        <w:pStyle w:val="ListParagraph"/>
        <w:numPr>
          <w:ilvl w:val="1"/>
          <w:numId w:val="5"/>
        </w:numPr>
        <w:tabs>
          <w:tab w:val="left" w:pos="614"/>
        </w:tabs>
        <w:spacing w:before="0" w:after="0" w:line="240" w:lineRule="auto"/>
        <w:ind w:left="613" w:right="0" w:hanging="423"/>
        <w:jc w:val="left"/>
        <w:rPr>
          <w:rFonts w:ascii="微软雅黑" w:eastAsia="微软雅黑"/>
          <w:b/>
          <w:sz w:val="24"/>
        </w:rPr>
      </w:pPr>
      <w:r>
        <w:rPr>
          <w:rFonts w:ascii="微软雅黑" w:eastAsia="微软雅黑"/>
          <w:b/>
          <w:spacing w:val="-1"/>
          <w:sz w:val="24"/>
        </w:rPr>
        <w:t>种植穴、种植槽的挖掘</w:t>
      </w:r>
    </w:p>
    <w:p>
      <w:pPr>
        <w:pStyle w:val="ListParagraph"/>
        <w:numPr>
          <w:ilvl w:val="2"/>
          <w:numId w:val="5"/>
        </w:numPr>
        <w:tabs>
          <w:tab w:val="left" w:pos="1091"/>
        </w:tabs>
        <w:spacing w:before="0" w:after="0" w:line="240" w:lineRule="auto"/>
        <w:ind w:left="1091" w:right="0" w:hanging="540"/>
        <w:jc w:val="left"/>
        <w:rPr>
          <w:rFonts w:ascii="Times New Roman" w:eastAsia="Times New Roman"/>
          <w:sz w:val="24"/>
        </w:rPr>
      </w:pPr>
      <w:r>
        <w:rPr>
          <w:spacing w:val="-1"/>
          <w:sz w:val="24"/>
        </w:rPr>
        <w:t>种植穴、种植槽挖掘前，应向有关单位了解地下管线和隐蔽物埋设情况。</w:t>
      </w:r>
    </w:p>
    <w:p>
      <w:pPr>
        <w:spacing w:after="0" w:line="240" w:lineRule="auto"/>
        <w:jc w:val="left"/>
        <w:rPr>
          <w:rFonts w:ascii="Times New Roman" w:eastAsia="Times New Roman"/>
          <w:sz w:val="24"/>
        </w:rPr>
        <w:sectPr>
          <w:headerReference w:type="default" r:id="rId7"/>
          <w:pgSz w:w="11910" w:h="16840"/>
          <w:pgMar w:top="1140" w:right="0" w:bottom="280" w:left="1680" w:header="873" w:footer="0"/>
          <w:pgNumType w:start="4"/>
          <w:cols w:space="708"/>
        </w:sectPr>
      </w:pPr>
    </w:p>
    <w:p>
      <w:pPr>
        <w:pStyle w:val="ListParagraph"/>
        <w:numPr>
          <w:ilvl w:val="2"/>
          <w:numId w:val="5"/>
        </w:numPr>
        <w:tabs>
          <w:tab w:val="left" w:pos="1091"/>
        </w:tabs>
        <w:spacing w:before="48" w:after="0" w:line="240" w:lineRule="auto"/>
        <w:ind w:left="1091" w:right="0" w:hanging="540"/>
        <w:jc w:val="left"/>
        <w:rPr>
          <w:rFonts w:ascii="Times New Roman" w:eastAsia="Times New Roman"/>
          <w:sz w:val="24"/>
        </w:rPr>
      </w:pPr>
      <w:r>
        <w:rPr>
          <w:spacing w:val="-1"/>
          <w:sz w:val="24"/>
        </w:rPr>
        <w:t>种植穴、种植糟的定点放线应符合下列规定：</w:t>
      </w:r>
    </w:p>
    <w:p>
      <w:pPr>
        <w:pStyle w:val="ListParagraph"/>
        <w:numPr>
          <w:ilvl w:val="2"/>
          <w:numId w:val="5"/>
        </w:numPr>
        <w:tabs>
          <w:tab w:val="left" w:pos="1091"/>
        </w:tabs>
        <w:spacing w:before="92" w:after="0" w:line="240" w:lineRule="auto"/>
        <w:ind w:left="1091" w:right="0" w:hanging="540"/>
        <w:jc w:val="left"/>
        <w:rPr>
          <w:rFonts w:ascii="Times New Roman" w:eastAsia="Times New Roman"/>
          <w:sz w:val="24"/>
        </w:rPr>
      </w:pPr>
      <w:r>
        <w:rPr>
          <w:spacing w:val="-1"/>
          <w:sz w:val="24"/>
        </w:rPr>
        <w:t>种植穴、种植槽定点放线应符合设计图纸要求，位置准确，标记明显。</w:t>
      </w:r>
    </w:p>
    <w:p>
      <w:pPr>
        <w:pStyle w:val="ListParagraph"/>
        <w:numPr>
          <w:ilvl w:val="2"/>
          <w:numId w:val="5"/>
        </w:numPr>
        <w:tabs>
          <w:tab w:val="left" w:pos="1091"/>
        </w:tabs>
        <w:spacing w:before="93" w:after="0" w:line="240" w:lineRule="auto"/>
        <w:ind w:left="1091" w:right="0" w:hanging="540"/>
        <w:jc w:val="left"/>
        <w:rPr>
          <w:rFonts w:ascii="Times New Roman" w:eastAsia="Times New Roman"/>
          <w:sz w:val="24"/>
        </w:rPr>
      </w:pPr>
      <w:r>
        <w:rPr>
          <w:spacing w:val="-1"/>
          <w:sz w:val="24"/>
        </w:rPr>
        <w:t>种植穴定点时应标明中心点位置，种植槽应标明边线。</w:t>
      </w:r>
    </w:p>
    <w:p>
      <w:pPr>
        <w:pStyle w:val="ListParagraph"/>
        <w:numPr>
          <w:ilvl w:val="2"/>
          <w:numId w:val="5"/>
        </w:numPr>
        <w:tabs>
          <w:tab w:val="left" w:pos="1151"/>
        </w:tabs>
        <w:spacing w:before="92" w:after="0" w:line="240" w:lineRule="auto"/>
        <w:ind w:left="1151" w:right="0" w:hanging="600"/>
        <w:jc w:val="left"/>
        <w:rPr>
          <w:rFonts w:ascii="Times New Roman" w:eastAsia="Times New Roman"/>
          <w:sz w:val="24"/>
        </w:rPr>
      </w:pPr>
      <w:r>
        <w:rPr>
          <w:sz w:val="24"/>
        </w:rPr>
        <w:t>定点标志应标明树种名称（或代号</w:t>
      </w:r>
      <w:r>
        <w:rPr>
          <w:spacing w:val="-120"/>
          <w:sz w:val="24"/>
        </w:rPr>
        <w:t>）</w:t>
      </w:r>
      <w:r>
        <w:rPr>
          <w:spacing w:val="-3"/>
          <w:sz w:val="24"/>
        </w:rPr>
        <w:t>、规格。</w:t>
      </w:r>
    </w:p>
    <w:p>
      <w:pPr>
        <w:pStyle w:val="ListParagraph"/>
        <w:numPr>
          <w:ilvl w:val="2"/>
          <w:numId w:val="5"/>
        </w:numPr>
        <w:tabs>
          <w:tab w:val="left" w:pos="1151"/>
        </w:tabs>
        <w:spacing w:before="93" w:after="0" w:line="240" w:lineRule="auto"/>
        <w:ind w:left="1151" w:right="0" w:hanging="600"/>
        <w:jc w:val="left"/>
        <w:rPr>
          <w:rFonts w:ascii="Times New Roman" w:eastAsia="Times New Roman"/>
          <w:sz w:val="24"/>
        </w:rPr>
      </w:pPr>
      <w:r>
        <w:rPr>
          <w:spacing w:val="-1"/>
          <w:sz w:val="24"/>
        </w:rPr>
        <w:t>树木定点遇有障碍物影响，应及时与设计单位取得联系，进行适当调整。</w:t>
      </w:r>
    </w:p>
    <w:p>
      <w:pPr>
        <w:pStyle w:val="ListParagraph"/>
        <w:numPr>
          <w:ilvl w:val="2"/>
          <w:numId w:val="5"/>
        </w:numPr>
        <w:tabs>
          <w:tab w:val="left" w:pos="1091"/>
        </w:tabs>
        <w:spacing w:before="92" w:after="0" w:line="312" w:lineRule="auto"/>
        <w:ind w:left="191" w:right="1416" w:firstLine="360"/>
        <w:jc w:val="left"/>
        <w:rPr>
          <w:rFonts w:ascii="Times New Roman" w:eastAsia="Times New Roman"/>
          <w:sz w:val="24"/>
        </w:rPr>
      </w:pPr>
      <w:r>
        <w:rPr>
          <w:spacing w:val="-2"/>
          <w:sz w:val="24"/>
        </w:rPr>
        <w:t>种植穴、种植槽大小，应根据苗木根系、土球直径和土壤情况而定。种植</w:t>
      </w:r>
      <w:r>
        <w:rPr>
          <w:spacing w:val="-1"/>
          <w:sz w:val="24"/>
        </w:rPr>
        <w:t xml:space="preserve">穴、种植槽必须垂直下挖，上口下底相等，规格应符合表 </w:t>
      </w:r>
      <w:r>
        <w:rPr>
          <w:rFonts w:ascii="Times New Roman" w:eastAsia="Times New Roman"/>
          <w:sz w:val="24"/>
        </w:rPr>
        <w:t>2~</w:t>
      </w:r>
      <w:r>
        <w:rPr>
          <w:spacing w:val="-7"/>
          <w:sz w:val="24"/>
        </w:rPr>
        <w:t xml:space="preserve">表 </w:t>
      </w:r>
      <w:r>
        <w:rPr>
          <w:rFonts w:ascii="Times New Roman" w:eastAsia="Times New Roman"/>
          <w:sz w:val="24"/>
        </w:rPr>
        <w:t xml:space="preserve">6 </w:t>
      </w:r>
      <w:r>
        <w:rPr>
          <w:sz w:val="24"/>
        </w:rPr>
        <w:t>的规定。</w:t>
      </w:r>
    </w:p>
    <w:p>
      <w:pPr>
        <w:pStyle w:val="BodyText"/>
        <w:spacing w:before="1"/>
        <w:ind w:left="551"/>
        <w:rPr>
          <w:rFonts w:ascii="Times New Roman" w:eastAsia="Times New Roman"/>
        </w:rPr>
      </w:pPr>
      <w:r>
        <w:rPr>
          <w:spacing w:val="-30"/>
        </w:rPr>
        <w:t xml:space="preserve">表 </w:t>
      </w:r>
      <w:r>
        <w:rPr>
          <w:rFonts w:ascii="Times New Roman" w:eastAsia="Times New Roman"/>
        </w:rPr>
        <w:t>2</w:t>
      </w:r>
      <w:r>
        <w:rPr>
          <w:rFonts w:ascii="Times New Roman" w:eastAsia="Times New Roman"/>
          <w:spacing w:val="60"/>
        </w:rPr>
        <w:t xml:space="preserve"> </w:t>
      </w:r>
      <w:r>
        <w:rPr>
          <w:spacing w:val="-1"/>
        </w:rPr>
        <w:t>常绿乔木类种植穴规格 单位：</w:t>
      </w:r>
      <w:r>
        <w:rPr>
          <w:rFonts w:ascii="Times New Roman" w:eastAsia="Times New Roman"/>
          <w:spacing w:val="-5"/>
        </w:rPr>
        <w:t>cm</w:t>
      </w:r>
    </w:p>
    <w:p>
      <w:pPr>
        <w:pStyle w:val="BodyText"/>
        <w:spacing w:before="10"/>
        <w:ind w:left="0"/>
        <w:rPr>
          <w:rFonts w:ascii="Times New Roman"/>
          <w:sz w:val="12"/>
        </w:rPr>
      </w:pPr>
      <w:r>
        <w:drawing>
          <wp:anchor distT="0" distB="0" distL="0" distR="0" simplePos="0" relativeHeight="251661312" behindDoc="0" locked="0" layoutInCell="1" allowOverlap="1">
            <wp:simplePos x="0" y="0"/>
            <wp:positionH relativeFrom="page">
              <wp:posOffset>2152572</wp:posOffset>
            </wp:positionH>
            <wp:positionV relativeFrom="paragraph">
              <wp:posOffset>109537</wp:posOffset>
            </wp:positionV>
            <wp:extent cx="3782168" cy="5162550"/>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8" cstate="print"/>
                    <a:stretch>
                      <a:fillRect/>
                    </a:stretch>
                  </pic:blipFill>
                  <pic:spPr>
                    <a:xfrm>
                      <a:off x="0" y="0"/>
                      <a:ext cx="3782168" cy="5162550"/>
                    </a:xfrm>
                    <a:prstGeom prst="rect">
                      <a:avLst/>
                    </a:prstGeom>
                  </pic:spPr>
                </pic:pic>
              </a:graphicData>
            </a:graphic>
          </wp:anchor>
        </w:drawing>
      </w:r>
    </w:p>
    <w:p>
      <w:pPr>
        <w:pStyle w:val="ListParagraph"/>
        <w:numPr>
          <w:ilvl w:val="2"/>
          <w:numId w:val="5"/>
        </w:numPr>
        <w:tabs>
          <w:tab w:val="left" w:pos="1091"/>
        </w:tabs>
        <w:spacing w:before="190" w:after="0" w:line="240" w:lineRule="auto"/>
        <w:ind w:left="1091" w:right="0" w:hanging="540"/>
        <w:jc w:val="left"/>
        <w:rPr>
          <w:rFonts w:ascii="Times New Roman" w:eastAsia="Times New Roman"/>
          <w:sz w:val="24"/>
        </w:rPr>
      </w:pPr>
      <w:r>
        <w:rPr>
          <w:spacing w:val="-1"/>
          <w:sz w:val="24"/>
        </w:rPr>
        <w:t>种植穴、种植槽挖出的好土和弃土分别置放处理，底部应回填适量好土。</w:t>
      </w:r>
    </w:p>
    <w:p>
      <w:pPr>
        <w:pStyle w:val="ListParagraph"/>
        <w:numPr>
          <w:ilvl w:val="2"/>
          <w:numId w:val="5"/>
        </w:numPr>
        <w:tabs>
          <w:tab w:val="left" w:pos="1091"/>
        </w:tabs>
        <w:spacing w:before="92" w:after="0" w:line="240" w:lineRule="auto"/>
        <w:ind w:left="1091" w:right="0" w:hanging="540"/>
        <w:jc w:val="left"/>
        <w:rPr>
          <w:rFonts w:ascii="Times New Roman" w:eastAsia="Times New Roman"/>
          <w:sz w:val="24"/>
        </w:rPr>
      </w:pPr>
      <w:r>
        <w:rPr>
          <w:spacing w:val="-1"/>
          <w:sz w:val="24"/>
        </w:rPr>
        <w:t>土壤干燥时应于种植前浸穴。</w:t>
      </w:r>
    </w:p>
    <w:p>
      <w:pPr>
        <w:pStyle w:val="Heading3"/>
        <w:numPr>
          <w:ilvl w:val="1"/>
          <w:numId w:val="5"/>
        </w:numPr>
        <w:tabs>
          <w:tab w:val="left" w:pos="614"/>
        </w:tabs>
        <w:spacing w:before="16" w:after="0" w:line="240" w:lineRule="auto"/>
        <w:ind w:left="613" w:right="0" w:hanging="423"/>
        <w:jc w:val="left"/>
      </w:pPr>
      <w:r>
        <w:rPr>
          <w:spacing w:val="-3"/>
        </w:rPr>
        <w:t>树木种植</w:t>
      </w:r>
    </w:p>
    <w:p>
      <w:pPr>
        <w:pStyle w:val="ListParagraph"/>
        <w:numPr>
          <w:ilvl w:val="2"/>
          <w:numId w:val="5"/>
        </w:numPr>
        <w:tabs>
          <w:tab w:val="left" w:pos="1091"/>
        </w:tabs>
        <w:spacing w:before="34" w:after="0" w:line="240" w:lineRule="auto"/>
        <w:ind w:left="1091" w:right="0" w:hanging="660"/>
        <w:jc w:val="left"/>
        <w:rPr>
          <w:sz w:val="24"/>
        </w:rPr>
      </w:pPr>
      <w:r>
        <w:rPr>
          <w:spacing w:val="-1"/>
          <w:sz w:val="24"/>
        </w:rPr>
        <w:t>种植的质量应符合下列规定：</w:t>
      </w:r>
    </w:p>
    <w:p>
      <w:pPr>
        <w:pStyle w:val="BodyText"/>
        <w:spacing w:before="93"/>
        <w:ind w:left="671"/>
      </w:pPr>
      <w:r>
        <w:rPr>
          <w:spacing w:val="-1"/>
        </w:rPr>
        <w:t>①种植应按设计图纸要求核对苗木品种、规格及种植位置。</w:t>
      </w:r>
    </w:p>
    <w:p>
      <w:pPr>
        <w:spacing w:after="0"/>
        <w:sectPr>
          <w:headerReference w:type="default" r:id="rId9"/>
          <w:pgSz w:w="11910" w:h="16840"/>
          <w:pgMar w:top="1140" w:right="0" w:bottom="280" w:left="1680" w:header="873" w:footer="0"/>
          <w:pgNumType w:start="5"/>
          <w:cols w:space="708"/>
        </w:sectPr>
      </w:pPr>
    </w:p>
    <w:p>
      <w:pPr>
        <w:pStyle w:val="BodyText"/>
        <w:spacing w:before="48" w:line="312" w:lineRule="auto"/>
        <w:ind w:right="1395" w:firstLine="480"/>
        <w:jc w:val="both"/>
      </w:pPr>
      <w:r>
        <w:rPr>
          <w:spacing w:val="-2"/>
        </w:rPr>
        <w:t>②规则式种植应保持对称平衡，行道树或行列种植树木应在一条线上，相邻植</w:t>
      </w:r>
      <w:r>
        <w:rPr>
          <w:spacing w:val="-2"/>
        </w:rPr>
        <w:t>株规格应合理搭配，高度、干径、树形近似，种植的树木应保持直立，不得倾斜，</w:t>
      </w:r>
      <w:r>
        <w:rPr>
          <w:spacing w:val="-2"/>
        </w:rPr>
        <w:t>应注意观赏面的合理朝向。</w:t>
      </w:r>
    </w:p>
    <w:p>
      <w:pPr>
        <w:pStyle w:val="BodyText"/>
        <w:spacing w:before="1" w:line="312" w:lineRule="auto"/>
        <w:ind w:right="1416" w:firstLine="480"/>
      </w:pPr>
      <w:r>
        <w:rPr>
          <w:spacing w:val="-2"/>
        </w:rPr>
        <w:t>③种植绿篱的株行距应均匀。树形丰满的一面应向外，按苗木高度、树干大小</w:t>
      </w:r>
      <w:r>
        <w:rPr>
          <w:spacing w:val="-2"/>
        </w:rPr>
        <w:t>搭配均匀。在苗圃修剪成型的绿篱，种植时应按造型拼栽，深浅一致。</w:t>
      </w:r>
    </w:p>
    <w:p>
      <w:pPr>
        <w:pStyle w:val="BodyText"/>
        <w:ind w:left="671"/>
      </w:pPr>
      <w:r>
        <w:rPr>
          <w:spacing w:val="-1"/>
        </w:rPr>
        <w:t>④种植带土球树木时，不易腐烂的包装物必须拆除。</w:t>
      </w:r>
    </w:p>
    <w:p>
      <w:pPr>
        <w:pStyle w:val="BodyText"/>
        <w:spacing w:before="93"/>
        <w:ind w:left="671"/>
      </w:pPr>
      <w:r>
        <w:rPr>
          <w:spacing w:val="-1"/>
        </w:rPr>
        <w:t>⑤珍贵树种应采取树冠喷雾、树干保湿和树根喷布生根激素等措施。</w:t>
      </w:r>
    </w:p>
    <w:p>
      <w:pPr>
        <w:pStyle w:val="BodyText"/>
        <w:spacing w:before="92" w:line="312" w:lineRule="auto"/>
        <w:ind w:right="1416" w:firstLine="480"/>
      </w:pPr>
      <w:r>
        <w:rPr>
          <w:spacing w:val="-2"/>
        </w:rPr>
        <w:t>⑥种植时，根系必须舒展，填土应分层踏实，种植深度应与原种植线一致。竹</w:t>
      </w:r>
      <w:r>
        <w:rPr>
          <w:spacing w:val="-5"/>
        </w:rPr>
        <w:t xml:space="preserve">类可比原种植线深 </w:t>
      </w:r>
      <w:r>
        <w:t>5∽10cm。</w:t>
      </w:r>
    </w:p>
    <w:p>
      <w:pPr>
        <w:pStyle w:val="ListParagraph"/>
        <w:numPr>
          <w:ilvl w:val="2"/>
          <w:numId w:val="5"/>
        </w:numPr>
        <w:tabs>
          <w:tab w:val="left" w:pos="1091"/>
        </w:tabs>
        <w:spacing w:before="1" w:after="0" w:line="240" w:lineRule="auto"/>
        <w:ind w:left="1091" w:right="0" w:hanging="660"/>
        <w:jc w:val="left"/>
        <w:rPr>
          <w:sz w:val="24"/>
        </w:rPr>
      </w:pPr>
      <w:r>
        <w:rPr>
          <w:spacing w:val="-1"/>
          <w:sz w:val="24"/>
        </w:rPr>
        <w:t>树木种植应符合下列规定：</w:t>
      </w:r>
    </w:p>
    <w:p>
      <w:pPr>
        <w:pStyle w:val="BodyText"/>
        <w:spacing w:before="92" w:line="312" w:lineRule="auto"/>
        <w:ind w:right="1416" w:firstLine="480"/>
      </w:pPr>
      <w:r>
        <w:rPr>
          <w:spacing w:val="-2"/>
        </w:rPr>
        <w:t>①树木置入种植穴前，应先检查种植穴大小及深度，不符合根系要求时，应修</w:t>
      </w:r>
      <w:r>
        <w:rPr>
          <w:spacing w:val="-2"/>
        </w:rPr>
        <w:t>整种植穴。</w:t>
      </w:r>
    </w:p>
    <w:p>
      <w:pPr>
        <w:pStyle w:val="BodyText"/>
        <w:spacing w:before="1" w:line="312" w:lineRule="auto"/>
        <w:ind w:right="1395" w:firstLine="480"/>
      </w:pPr>
      <w:r>
        <w:rPr>
          <w:spacing w:val="-4"/>
        </w:rPr>
        <w:t xml:space="preserve">②种植裸根树木时，应将种植穴底填土呈半圆土堆，置入树木填土至 </w:t>
      </w:r>
      <w:r>
        <w:rPr>
          <w:spacing w:val="-2"/>
        </w:rPr>
        <w:t>1/3</w:t>
      </w:r>
      <w:r>
        <w:rPr>
          <w:spacing w:val="-16"/>
        </w:rPr>
        <w:t xml:space="preserve"> 时，</w:t>
      </w:r>
      <w:r>
        <w:rPr>
          <w:spacing w:val="-2"/>
        </w:rPr>
        <w:t>应轻提树干使根系舒展，并充分接触土壤，随填土分层踏实。</w:t>
      </w:r>
    </w:p>
    <w:p>
      <w:pPr>
        <w:pStyle w:val="BodyText"/>
        <w:ind w:left="671"/>
      </w:pPr>
      <w:r>
        <w:rPr>
          <w:spacing w:val="-1"/>
        </w:rPr>
        <w:t>③带土球树木必须踏实穴底土层，而后置入种植穴，填土踏实。</w:t>
      </w:r>
    </w:p>
    <w:p>
      <w:pPr>
        <w:pStyle w:val="BodyText"/>
        <w:spacing w:before="93" w:line="312" w:lineRule="auto"/>
        <w:ind w:right="1416" w:firstLine="480"/>
      </w:pPr>
      <w:r>
        <w:rPr>
          <w:spacing w:val="-2"/>
        </w:rPr>
        <w:t>④绿篱成块种植或群植时，应由中心向外顺序退植。坡式种植时应由上向下种</w:t>
      </w:r>
      <w:r>
        <w:rPr>
          <w:spacing w:val="-2"/>
        </w:rPr>
        <w:t>植。大型块植或不同彩色丛植时，宜分区分块种植。</w:t>
      </w:r>
    </w:p>
    <w:p>
      <w:pPr>
        <w:pStyle w:val="ListParagraph"/>
        <w:numPr>
          <w:ilvl w:val="2"/>
          <w:numId w:val="5"/>
        </w:numPr>
        <w:tabs>
          <w:tab w:val="left" w:pos="1091"/>
        </w:tabs>
        <w:spacing w:before="0" w:after="0" w:line="240" w:lineRule="auto"/>
        <w:ind w:left="1091" w:right="0" w:hanging="660"/>
        <w:jc w:val="left"/>
        <w:rPr>
          <w:sz w:val="24"/>
        </w:rPr>
      </w:pPr>
      <w:r>
        <w:rPr>
          <w:spacing w:val="-1"/>
          <w:sz w:val="24"/>
        </w:rPr>
        <w:t>落叶乔木在非种植季节种植时，应根据不同情况分别采取以下技术措施。</w:t>
      </w:r>
    </w:p>
    <w:p>
      <w:pPr>
        <w:pStyle w:val="BodyText"/>
        <w:spacing w:before="93"/>
        <w:ind w:left="671"/>
      </w:pPr>
      <w:r>
        <w:rPr>
          <w:spacing w:val="-1"/>
        </w:rPr>
        <w:t>①苗木必须提前采取疏枝、环状断根或在适宜季节起苗用容器假植等处理。</w:t>
      </w:r>
    </w:p>
    <w:p>
      <w:pPr>
        <w:pStyle w:val="BodyText"/>
        <w:spacing w:before="92" w:line="312" w:lineRule="auto"/>
        <w:ind w:right="1416" w:firstLine="480"/>
      </w:pPr>
      <w:r>
        <w:rPr>
          <w:spacing w:val="-2"/>
        </w:rPr>
        <w:t>②苗木应进行强修剪，剪除部分侧枝，保留的侧枝也应疏剪或短截，并应保留</w:t>
      </w:r>
      <w:r>
        <w:rPr>
          <w:spacing w:val="-2"/>
        </w:rPr>
        <w:t>原树冠的三分之一，同时必须加大土球体积。</w:t>
      </w:r>
    </w:p>
    <w:p>
      <w:pPr>
        <w:pStyle w:val="BodyText"/>
        <w:spacing w:before="1"/>
        <w:ind w:left="671"/>
      </w:pPr>
      <w:r>
        <w:rPr>
          <w:spacing w:val="-1"/>
        </w:rPr>
        <w:t>③可摘叶的应摘去部分叶片，但不得伤害幼芽。</w:t>
      </w:r>
    </w:p>
    <w:p>
      <w:pPr>
        <w:pStyle w:val="BodyText"/>
        <w:spacing w:before="92"/>
        <w:ind w:left="671"/>
      </w:pPr>
      <w:r>
        <w:rPr>
          <w:spacing w:val="-1"/>
        </w:rPr>
        <w:t>④夏季或搭棚遮荫、树冠喷雾、树干保湿，保持空气湿润；冬季应防风防寒。</w:t>
      </w:r>
    </w:p>
    <w:p>
      <w:pPr>
        <w:pStyle w:val="ListParagraph"/>
        <w:numPr>
          <w:ilvl w:val="2"/>
          <w:numId w:val="5"/>
        </w:numPr>
        <w:tabs>
          <w:tab w:val="left" w:pos="1091"/>
        </w:tabs>
        <w:spacing w:before="93" w:after="0" w:line="240" w:lineRule="auto"/>
        <w:ind w:left="1091" w:right="0" w:hanging="660"/>
        <w:jc w:val="left"/>
        <w:rPr>
          <w:sz w:val="24"/>
        </w:rPr>
      </w:pPr>
      <w:r>
        <w:rPr>
          <w:spacing w:val="-1"/>
          <w:sz w:val="24"/>
        </w:rPr>
        <w:t>树木种植后浇水、支撑固定应符合下列规定：</w:t>
      </w:r>
    </w:p>
    <w:p>
      <w:pPr>
        <w:pStyle w:val="BodyText"/>
        <w:spacing w:before="92" w:line="312" w:lineRule="auto"/>
        <w:ind w:right="1416" w:firstLine="480"/>
      </w:pPr>
      <w:r>
        <w:rPr>
          <w:spacing w:val="-2"/>
        </w:rPr>
        <w:t xml:space="preserve">①种植后应在略大于种植穴直径的周围，筑成高 </w:t>
      </w:r>
      <w:r>
        <w:t>10∽15cm</w:t>
      </w:r>
      <w:r>
        <w:rPr>
          <w:spacing w:val="-6"/>
        </w:rPr>
        <w:t xml:space="preserve"> 的灌水土堰，堰应</w:t>
      </w:r>
      <w:r>
        <w:rPr>
          <w:spacing w:val="-2"/>
        </w:rPr>
        <w:t>筑实不得漏水。坡地可采用鱼鳞穴式种植。</w:t>
      </w:r>
    </w:p>
    <w:p>
      <w:pPr>
        <w:pStyle w:val="BodyText"/>
        <w:spacing w:before="1"/>
        <w:ind w:left="671"/>
      </w:pPr>
      <w:r>
        <w:rPr>
          <w:spacing w:val="-1"/>
        </w:rPr>
        <w:t>②新植树木应在当日浇透第一遍水，以后应根据当地情况及时补水。</w:t>
      </w:r>
    </w:p>
    <w:p>
      <w:pPr>
        <w:pStyle w:val="BodyText"/>
        <w:spacing w:before="92" w:line="312" w:lineRule="auto"/>
        <w:ind w:right="1395" w:firstLine="480"/>
      </w:pPr>
      <w:r>
        <w:rPr>
          <w:spacing w:val="-2"/>
        </w:rPr>
        <w:t>③粘性土壤，宜适量浇水，根系不发达树种，浇水量宜较多；肉质根系树种，</w:t>
      </w:r>
      <w:r>
        <w:rPr>
          <w:spacing w:val="-2"/>
        </w:rPr>
        <w:t>浇水量宜少。</w:t>
      </w:r>
    </w:p>
    <w:p>
      <w:pPr>
        <w:pStyle w:val="BodyText"/>
        <w:spacing w:before="1"/>
        <w:ind w:left="671"/>
      </w:pPr>
      <w:r>
        <w:rPr>
          <w:spacing w:val="-1"/>
        </w:rPr>
        <w:t>④秋季种植的树林，浇足水后可封穴越冬。</w:t>
      </w:r>
    </w:p>
    <w:p>
      <w:pPr>
        <w:pStyle w:val="BodyText"/>
        <w:spacing w:before="92" w:line="312" w:lineRule="auto"/>
        <w:ind w:right="1416" w:firstLine="480"/>
      </w:pPr>
      <w:r>
        <w:rPr>
          <w:spacing w:val="-2"/>
        </w:rPr>
        <w:t>⑤干旱地区或遇干旱天气时，应增加浇水次数。干热风季节，应对新发芽放叶</w:t>
      </w:r>
      <w:r>
        <w:rPr>
          <w:spacing w:val="-2"/>
        </w:rPr>
        <w:t xml:space="preserve">的树冠喷雾，宜在上午 </w:t>
      </w:r>
      <w:r>
        <w:t>10</w:t>
      </w:r>
      <w:r>
        <w:rPr>
          <w:spacing w:val="-8"/>
        </w:rPr>
        <w:t xml:space="preserve"> 时前和下午 </w:t>
      </w:r>
      <w:r>
        <w:t>15</w:t>
      </w:r>
      <w:r>
        <w:rPr>
          <w:spacing w:val="-5"/>
        </w:rPr>
        <w:t xml:space="preserve"> 时后进行。</w:t>
      </w:r>
    </w:p>
    <w:p>
      <w:pPr>
        <w:pStyle w:val="BodyText"/>
        <w:spacing w:before="1" w:line="312" w:lineRule="auto"/>
        <w:ind w:right="1416" w:firstLine="480"/>
      </w:pPr>
      <w:r>
        <w:rPr>
          <w:spacing w:val="-2"/>
        </w:rPr>
        <w:t>⑥浇水时应防止因水流过急冲刷裸露根系或冲毁围堰，造成跑漏水。浇水后出</w:t>
      </w:r>
      <w:r>
        <w:rPr>
          <w:spacing w:val="-2"/>
        </w:rPr>
        <w:t>现土壤沉陷，致使树林倾斜时，应及时扶正、培土。</w:t>
      </w:r>
    </w:p>
    <w:p>
      <w:pPr>
        <w:spacing w:after="0" w:line="312" w:lineRule="auto"/>
        <w:sectPr>
          <w:headerReference w:type="default" r:id="rId10"/>
          <w:pgSz w:w="11910" w:h="16840"/>
          <w:pgMar w:top="1140" w:right="0" w:bottom="280" w:left="1680" w:header="873" w:footer="0"/>
          <w:pgNumType w:start="6"/>
          <w:cols w:space="708"/>
        </w:sectPr>
      </w:pPr>
    </w:p>
    <w:p>
      <w:pPr>
        <w:pStyle w:val="BodyText"/>
        <w:spacing w:before="48"/>
        <w:ind w:left="671"/>
      </w:pPr>
      <w:r>
        <w:rPr>
          <w:spacing w:val="-1"/>
        </w:rPr>
        <w:t>⑦浇水渗下后，应及时用围堰土封树穴。再筑堰时，不得损伤根系。</w:t>
      </w:r>
    </w:p>
    <w:p>
      <w:pPr>
        <w:pStyle w:val="Heading3"/>
        <w:numPr>
          <w:ilvl w:val="1"/>
          <w:numId w:val="5"/>
        </w:numPr>
        <w:tabs>
          <w:tab w:val="left" w:pos="614"/>
        </w:tabs>
        <w:spacing w:before="16" w:after="0" w:line="240" w:lineRule="auto"/>
        <w:ind w:left="613" w:right="0" w:hanging="423"/>
        <w:jc w:val="left"/>
      </w:pPr>
      <w:r>
        <w:rPr>
          <w:spacing w:val="-2"/>
        </w:rPr>
        <w:t>草坪、花卉种植</w:t>
      </w:r>
    </w:p>
    <w:p>
      <w:pPr>
        <w:pStyle w:val="ListParagraph"/>
        <w:numPr>
          <w:ilvl w:val="2"/>
          <w:numId w:val="5"/>
        </w:numPr>
        <w:tabs>
          <w:tab w:val="left" w:pos="1091"/>
        </w:tabs>
        <w:spacing w:before="34" w:after="0" w:line="240" w:lineRule="auto"/>
        <w:ind w:left="1091" w:right="0" w:hanging="660"/>
        <w:jc w:val="left"/>
        <w:rPr>
          <w:sz w:val="24"/>
        </w:rPr>
      </w:pPr>
      <w:r>
        <w:rPr>
          <w:spacing w:val="-1"/>
          <w:sz w:val="24"/>
        </w:rPr>
        <w:t>草坪播种应符合下列规定：</w:t>
      </w:r>
    </w:p>
    <w:p>
      <w:pPr>
        <w:pStyle w:val="BodyText"/>
        <w:spacing w:before="92" w:line="312" w:lineRule="auto"/>
        <w:ind w:right="1416" w:firstLine="570"/>
      </w:pPr>
      <w:r>
        <w:rPr>
          <w:spacing w:val="-4"/>
        </w:rPr>
        <w:t>①选择优良种籽，不得含有杂质，播种前应做发芽试验和催芽处理，确定合理</w:t>
      </w:r>
      <w:r>
        <w:rPr>
          <w:spacing w:val="-2"/>
        </w:rPr>
        <w:t>的播种量。</w:t>
      </w:r>
    </w:p>
    <w:p>
      <w:pPr>
        <w:pStyle w:val="BodyText"/>
        <w:spacing w:before="1" w:line="312" w:lineRule="auto"/>
        <w:ind w:right="1295" w:firstLine="570"/>
      </w:pPr>
      <w:r>
        <w:rPr>
          <w:spacing w:val="-16"/>
        </w:rPr>
        <w:t>②播种时应先浇水浸地，保持土壤湿润，稍干后将表层土耙细耙平，进行撒播，</w:t>
      </w:r>
      <w:r>
        <w:rPr>
          <w:spacing w:val="-5"/>
        </w:rPr>
        <w:t xml:space="preserve">均匀覆土 </w:t>
      </w:r>
      <w:r>
        <w:t>0.30∽0.50cm</w:t>
      </w:r>
      <w:r>
        <w:rPr>
          <w:spacing w:val="-5"/>
        </w:rPr>
        <w:t xml:space="preserve"> 后轻压,然后喷水。</w:t>
      </w:r>
    </w:p>
    <w:p>
      <w:pPr>
        <w:pStyle w:val="BodyText"/>
        <w:spacing w:line="312" w:lineRule="auto"/>
        <w:ind w:right="1416" w:firstLine="570"/>
      </w:pPr>
      <w:r>
        <w:rPr>
          <w:spacing w:val="-5"/>
        </w:rPr>
        <w:t xml:space="preserve">③播种后应及时喷水，水点宜细密均匀，浸透土层 </w:t>
      </w:r>
      <w:r>
        <w:rPr>
          <w:spacing w:val="-2"/>
        </w:rPr>
        <w:t>8∽10cm，除降雨天气，喷</w:t>
      </w:r>
      <w:r>
        <w:rPr>
          <w:spacing w:val="-2"/>
        </w:rPr>
        <w:t>水不得间断。亦可用草帘覆盖保持湿度，至发芽时撒除。</w:t>
      </w:r>
    </w:p>
    <w:p>
      <w:pPr>
        <w:pStyle w:val="BodyText"/>
        <w:spacing w:before="1"/>
        <w:ind w:left="761"/>
      </w:pPr>
      <w:r>
        <w:rPr>
          <w:spacing w:val="-1"/>
        </w:rPr>
        <w:t>④植生带铺设后覆土、轻压、喷水，方法同播种。</w:t>
      </w:r>
    </w:p>
    <w:p>
      <w:pPr>
        <w:pStyle w:val="BodyText"/>
        <w:spacing w:before="92"/>
        <w:ind w:left="761"/>
      </w:pPr>
      <w:r>
        <w:rPr>
          <w:spacing w:val="-1"/>
        </w:rPr>
        <w:t>⑤坡地和大面积草坪铺设可采喷播法。</w:t>
      </w:r>
    </w:p>
    <w:p>
      <w:pPr>
        <w:pStyle w:val="ListParagraph"/>
        <w:numPr>
          <w:ilvl w:val="2"/>
          <w:numId w:val="5"/>
        </w:numPr>
        <w:tabs>
          <w:tab w:val="left" w:pos="1091"/>
        </w:tabs>
        <w:spacing w:before="93" w:after="0" w:line="240" w:lineRule="auto"/>
        <w:ind w:left="1091" w:right="0" w:hanging="660"/>
        <w:jc w:val="left"/>
        <w:rPr>
          <w:sz w:val="24"/>
        </w:rPr>
      </w:pPr>
      <w:r>
        <w:rPr>
          <w:spacing w:val="-1"/>
          <w:sz w:val="24"/>
        </w:rPr>
        <w:t>铺设草块应符合下列规定：</w:t>
      </w:r>
    </w:p>
    <w:p>
      <w:pPr>
        <w:pStyle w:val="BodyText"/>
        <w:spacing w:before="92" w:line="312" w:lineRule="auto"/>
        <w:ind w:right="1416" w:firstLine="570"/>
      </w:pPr>
      <w:r>
        <w:rPr>
          <w:spacing w:val="-4"/>
        </w:rPr>
        <w:t>①草块应选择无杂草、生长势好的草源。在干旱地掘草块前应适量浇水，待渗</w:t>
      </w:r>
      <w:r>
        <w:rPr>
          <w:spacing w:val="-2"/>
        </w:rPr>
        <w:t>透后掘取。</w:t>
      </w:r>
    </w:p>
    <w:p>
      <w:pPr>
        <w:pStyle w:val="BodyText"/>
        <w:spacing w:before="1"/>
        <w:ind w:left="761"/>
      </w:pPr>
      <w:r>
        <w:rPr>
          <w:spacing w:val="-5"/>
        </w:rPr>
        <w:t xml:space="preserve">②草块运输时宜用木板置放 </w:t>
      </w:r>
      <w:r>
        <w:t>2∽3</w:t>
      </w:r>
      <w:r>
        <w:rPr>
          <w:spacing w:val="-9"/>
        </w:rPr>
        <w:t xml:space="preserve"> 层，装卸车时，应防止破碎。</w:t>
      </w:r>
    </w:p>
    <w:p>
      <w:pPr>
        <w:pStyle w:val="BodyText"/>
        <w:spacing w:before="92" w:line="312" w:lineRule="auto"/>
        <w:ind w:right="1416" w:firstLine="570"/>
      </w:pPr>
      <w:r>
        <w:rPr>
          <w:spacing w:val="-4"/>
        </w:rPr>
        <w:t>③铺设草块可采取密铺或间铺。密铺应互相衔接不留缝，间铺间隙应均匀，并</w:t>
      </w:r>
      <w:r>
        <w:rPr>
          <w:spacing w:val="-2"/>
        </w:rPr>
        <w:t>填以种植土。草块铺设后应滚压、灌水。</w:t>
      </w:r>
    </w:p>
    <w:p>
      <w:pPr>
        <w:pStyle w:val="ListParagraph"/>
        <w:numPr>
          <w:ilvl w:val="2"/>
          <w:numId w:val="5"/>
        </w:numPr>
        <w:tabs>
          <w:tab w:val="left" w:pos="1091"/>
        </w:tabs>
        <w:spacing w:before="1" w:after="0" w:line="312" w:lineRule="auto"/>
        <w:ind w:left="191" w:right="1416" w:firstLine="240"/>
        <w:jc w:val="left"/>
        <w:rPr>
          <w:sz w:val="24"/>
        </w:rPr>
      </w:pPr>
      <w:r>
        <w:rPr>
          <w:spacing w:val="-9"/>
          <w:sz w:val="24"/>
        </w:rPr>
        <w:t xml:space="preserve">花卉用苗应选用经过 </w:t>
      </w:r>
      <w:r>
        <w:rPr>
          <w:spacing w:val="-4"/>
          <w:sz w:val="24"/>
        </w:rPr>
        <w:t>1∽2</w:t>
      </w:r>
      <w:r>
        <w:rPr>
          <w:spacing w:val="-12"/>
          <w:sz w:val="24"/>
        </w:rPr>
        <w:t xml:space="preserve"> 次移植，根系发育良好的植株。起苗应符合下列</w:t>
      </w:r>
      <w:r>
        <w:rPr>
          <w:spacing w:val="-4"/>
          <w:sz w:val="24"/>
        </w:rPr>
        <w:t>规定：</w:t>
      </w:r>
    </w:p>
    <w:p>
      <w:pPr>
        <w:pStyle w:val="BodyText"/>
        <w:ind w:left="761"/>
      </w:pPr>
      <w:r>
        <w:rPr>
          <w:spacing w:val="-1"/>
        </w:rPr>
        <w:t>①裸根苗，应随起苗随种植。</w:t>
      </w:r>
    </w:p>
    <w:p>
      <w:pPr>
        <w:pStyle w:val="BodyText"/>
        <w:spacing w:before="93"/>
        <w:ind w:left="761"/>
      </w:pPr>
      <w:r>
        <w:rPr>
          <w:spacing w:val="-1"/>
        </w:rPr>
        <w:t>②带土球苗，应在圃地灌水渗透后起苗，保持土球完整不散。</w:t>
      </w:r>
    </w:p>
    <w:p>
      <w:pPr>
        <w:pStyle w:val="BodyText"/>
        <w:spacing w:before="92"/>
        <w:ind w:left="761"/>
      </w:pPr>
      <w:r>
        <w:rPr>
          <w:spacing w:val="-1"/>
        </w:rPr>
        <w:t>③盆育花苗去盆时，应保持盆土不散。</w:t>
      </w:r>
    </w:p>
    <w:p>
      <w:pPr>
        <w:pStyle w:val="BodyText"/>
        <w:spacing w:before="93"/>
        <w:ind w:left="761"/>
      </w:pPr>
      <w:r>
        <w:rPr>
          <w:spacing w:val="-1"/>
        </w:rPr>
        <w:t>④起苗后种植前，应注意保鲜，花苗不得萎蔫。</w:t>
      </w:r>
    </w:p>
    <w:p>
      <w:pPr>
        <w:pStyle w:val="ListParagraph"/>
        <w:numPr>
          <w:ilvl w:val="2"/>
          <w:numId w:val="5"/>
        </w:numPr>
        <w:tabs>
          <w:tab w:val="left" w:pos="1091"/>
        </w:tabs>
        <w:spacing w:before="92" w:after="0" w:line="312" w:lineRule="auto"/>
        <w:ind w:left="191" w:right="1416" w:firstLine="240"/>
        <w:jc w:val="left"/>
        <w:rPr>
          <w:sz w:val="24"/>
        </w:rPr>
      </w:pPr>
      <w:r>
        <w:rPr>
          <w:spacing w:val="-5"/>
          <w:sz w:val="24"/>
        </w:rPr>
        <w:t xml:space="preserve">各类花卉种植时，在晴朗天气、春秋季节、最高气湿 </w:t>
      </w:r>
      <w:r>
        <w:rPr>
          <w:spacing w:val="-2"/>
          <w:sz w:val="24"/>
        </w:rPr>
        <w:t>25℃以下时可全天种</w:t>
      </w:r>
      <w:r>
        <w:rPr>
          <w:spacing w:val="-6"/>
          <w:sz w:val="24"/>
        </w:rPr>
        <w:t xml:space="preserve">植；当气温高于 </w:t>
      </w:r>
      <w:r>
        <w:rPr>
          <w:sz w:val="24"/>
        </w:rPr>
        <w:t>25℃时，应避开中午高温时间。</w:t>
      </w:r>
    </w:p>
    <w:p>
      <w:pPr>
        <w:pStyle w:val="ListParagraph"/>
        <w:numPr>
          <w:ilvl w:val="2"/>
          <w:numId w:val="5"/>
        </w:numPr>
        <w:tabs>
          <w:tab w:val="left" w:pos="1091"/>
        </w:tabs>
        <w:spacing w:before="1" w:after="0" w:line="240" w:lineRule="auto"/>
        <w:ind w:left="1091" w:right="0" w:hanging="660"/>
        <w:jc w:val="left"/>
        <w:rPr>
          <w:sz w:val="24"/>
        </w:rPr>
      </w:pPr>
      <w:r>
        <w:rPr>
          <w:spacing w:val="-1"/>
          <w:sz w:val="24"/>
        </w:rPr>
        <w:t>花卉种植的顺序应符合下列规定：</w:t>
      </w:r>
    </w:p>
    <w:p>
      <w:pPr>
        <w:pStyle w:val="BodyText"/>
        <w:spacing w:before="92"/>
        <w:ind w:left="761"/>
      </w:pPr>
      <w:r>
        <w:rPr>
          <w:spacing w:val="-1"/>
        </w:rPr>
        <w:t>①独立花坛，应由中心向外的顺序种植。</w:t>
      </w:r>
    </w:p>
    <w:p>
      <w:pPr>
        <w:pStyle w:val="BodyText"/>
        <w:spacing w:before="93"/>
        <w:ind w:left="761"/>
      </w:pPr>
      <w:r>
        <w:rPr>
          <w:spacing w:val="-1"/>
        </w:rPr>
        <w:t>②坡式花坛，应由上向下种植。</w:t>
      </w:r>
    </w:p>
    <w:p>
      <w:pPr>
        <w:pStyle w:val="BodyText"/>
        <w:spacing w:before="92"/>
        <w:ind w:left="761"/>
      </w:pPr>
      <w:r>
        <w:rPr>
          <w:spacing w:val="-1"/>
        </w:rPr>
        <w:t>③高矮不同品种的花苗混植时，应按先矮后高的顺序种植。</w:t>
      </w:r>
    </w:p>
    <w:p>
      <w:pPr>
        <w:pStyle w:val="BodyText"/>
        <w:spacing w:before="93" w:line="312" w:lineRule="auto"/>
        <w:ind w:right="1416" w:firstLine="570"/>
      </w:pPr>
      <w:r>
        <w:rPr>
          <w:spacing w:val="-4"/>
        </w:rPr>
        <w:t>④宿根花卉与一、二年生花卉混植时，应先种植宿根花卉，后种植一、二年生</w:t>
      </w:r>
      <w:r>
        <w:rPr>
          <w:spacing w:val="-4"/>
        </w:rPr>
        <w:t>花卉。</w:t>
      </w:r>
    </w:p>
    <w:p>
      <w:pPr>
        <w:pStyle w:val="BodyText"/>
        <w:ind w:left="761"/>
      </w:pPr>
      <w:r>
        <w:rPr>
          <w:spacing w:val="-1"/>
        </w:rPr>
        <w:t>⑤模纹花坛，应先种植图案的轮廓线，后种植内部填充部分。</w:t>
      </w:r>
    </w:p>
    <w:p>
      <w:pPr>
        <w:pStyle w:val="BodyText"/>
        <w:spacing w:before="93"/>
        <w:ind w:left="761"/>
      </w:pPr>
      <w:r>
        <w:rPr>
          <w:spacing w:val="-1"/>
        </w:rPr>
        <w:t>⑥大型花坛，宜分区、分块种植。</w:t>
      </w:r>
    </w:p>
    <w:p>
      <w:pPr>
        <w:pStyle w:val="ListParagraph"/>
        <w:numPr>
          <w:ilvl w:val="2"/>
          <w:numId w:val="5"/>
        </w:numPr>
        <w:tabs>
          <w:tab w:val="left" w:pos="1091"/>
        </w:tabs>
        <w:spacing w:before="92" w:after="0" w:line="240" w:lineRule="auto"/>
        <w:ind w:left="1091" w:right="0" w:hanging="660"/>
        <w:jc w:val="left"/>
        <w:rPr>
          <w:sz w:val="24"/>
        </w:rPr>
      </w:pPr>
      <w:r>
        <w:rPr>
          <w:spacing w:val="-1"/>
          <w:sz w:val="24"/>
        </w:rPr>
        <w:t>种植花苗的株行距，应按植株高低、分蘖多少、冠丛大小决定。以成苗后</w:t>
      </w:r>
    </w:p>
    <w:p>
      <w:pPr>
        <w:spacing w:after="0" w:line="240" w:lineRule="auto"/>
        <w:jc w:val="left"/>
        <w:rPr>
          <w:sz w:val="24"/>
        </w:rPr>
        <w:sectPr>
          <w:headerReference w:type="default" r:id="rId11"/>
          <w:pgSz w:w="11910" w:h="16840"/>
          <w:pgMar w:top="1140" w:right="0" w:bottom="280" w:left="1680" w:header="873" w:footer="0"/>
          <w:pgNumType w:start="7"/>
          <w:cols w:space="708"/>
        </w:sectPr>
      </w:pPr>
    </w:p>
    <w:p>
      <w:pPr>
        <w:pStyle w:val="BodyText"/>
        <w:spacing w:before="48"/>
      </w:pPr>
      <w:r>
        <w:rPr>
          <w:spacing w:val="-2"/>
        </w:rPr>
        <w:t>不露出地面为宜。</w:t>
      </w:r>
    </w:p>
    <w:p>
      <w:pPr>
        <w:pStyle w:val="ListParagraph"/>
        <w:numPr>
          <w:ilvl w:val="0"/>
          <w:numId w:val="4"/>
        </w:numPr>
        <w:tabs>
          <w:tab w:val="left" w:pos="797"/>
        </w:tabs>
        <w:spacing w:before="92" w:after="0" w:line="312" w:lineRule="auto"/>
        <w:ind w:left="191" w:right="1416" w:firstLine="0"/>
        <w:jc w:val="left"/>
        <w:rPr>
          <w:sz w:val="24"/>
        </w:rPr>
      </w:pPr>
      <w:r>
        <w:rPr>
          <w:spacing w:val="-2"/>
          <w:sz w:val="24"/>
        </w:rPr>
        <w:t>花苗种植时，种植深度宜为原种植深度，不得损伤茎叶，并保持根系完整。</w:t>
      </w:r>
      <w:r>
        <w:rPr>
          <w:spacing w:val="-1"/>
          <w:sz w:val="24"/>
        </w:rPr>
        <w:t xml:space="preserve">球茎花卉种植深度宜为球茎的 </w:t>
      </w:r>
      <w:r>
        <w:rPr>
          <w:sz w:val="24"/>
        </w:rPr>
        <w:t>1∽2</w:t>
      </w:r>
      <w:r>
        <w:rPr>
          <w:spacing w:val="-5"/>
          <w:sz w:val="24"/>
        </w:rPr>
        <w:t xml:space="preserve"> 倍。块根、块茎、根茎类可覆土 </w:t>
      </w:r>
      <w:r>
        <w:rPr>
          <w:sz w:val="24"/>
        </w:rPr>
        <w:t>3cm。</w:t>
      </w:r>
    </w:p>
    <w:p>
      <w:pPr>
        <w:pStyle w:val="ListParagraph"/>
        <w:numPr>
          <w:ilvl w:val="0"/>
          <w:numId w:val="4"/>
        </w:numPr>
        <w:tabs>
          <w:tab w:val="left" w:pos="792"/>
        </w:tabs>
        <w:spacing w:before="1" w:after="0" w:line="240" w:lineRule="auto"/>
        <w:ind w:left="792" w:right="0" w:hanging="601"/>
        <w:jc w:val="left"/>
        <w:rPr>
          <w:sz w:val="24"/>
        </w:rPr>
      </w:pPr>
      <w:r>
        <w:rPr>
          <w:spacing w:val="-1"/>
          <w:sz w:val="24"/>
        </w:rPr>
        <w:t>花卉种植后，应及时浇水，并应保持植株清洁。</w:t>
      </w:r>
    </w:p>
    <w:p>
      <w:pPr>
        <w:pStyle w:val="ListParagraph"/>
        <w:numPr>
          <w:ilvl w:val="1"/>
          <w:numId w:val="5"/>
        </w:numPr>
        <w:tabs>
          <w:tab w:val="left" w:pos="614"/>
        </w:tabs>
        <w:spacing w:before="79" w:after="0" w:line="240" w:lineRule="auto"/>
        <w:ind w:left="613" w:right="0" w:hanging="423"/>
        <w:jc w:val="left"/>
        <w:rPr>
          <w:rFonts w:ascii="微软雅黑" w:eastAsia="微软雅黑"/>
          <w:b/>
          <w:sz w:val="24"/>
        </w:rPr>
      </w:pPr>
      <w:r>
        <w:rPr>
          <w:spacing w:val="-2"/>
          <w:sz w:val="24"/>
        </w:rPr>
        <w:t>绿化工程的附属设施</w:t>
      </w:r>
    </w:p>
    <w:p>
      <w:pPr>
        <w:pStyle w:val="ListParagraph"/>
        <w:numPr>
          <w:ilvl w:val="2"/>
          <w:numId w:val="5"/>
        </w:numPr>
        <w:tabs>
          <w:tab w:val="left" w:pos="1091"/>
        </w:tabs>
        <w:spacing w:before="75" w:after="0" w:line="240" w:lineRule="auto"/>
        <w:ind w:left="1091" w:right="0" w:hanging="660"/>
        <w:jc w:val="left"/>
        <w:rPr>
          <w:sz w:val="24"/>
        </w:rPr>
      </w:pPr>
      <w:r>
        <w:rPr>
          <w:spacing w:val="-1"/>
          <w:sz w:val="24"/>
        </w:rPr>
        <w:t>绿地的给水和喷灌的施工应符合下列规定：</w:t>
      </w:r>
    </w:p>
    <w:p>
      <w:pPr>
        <w:pStyle w:val="BodyText"/>
        <w:spacing w:before="132"/>
        <w:ind w:left="791"/>
      </w:pPr>
      <w:r>
        <w:rPr>
          <w:spacing w:val="-1"/>
        </w:rPr>
        <w:t>①给水管道的基础应坚实和密实，不得铺设在冻土和未经处理的松土上。</w:t>
      </w:r>
    </w:p>
    <w:p>
      <w:pPr>
        <w:pStyle w:val="BodyText"/>
        <w:spacing w:before="133"/>
        <w:ind w:left="791"/>
      </w:pPr>
      <w:r>
        <w:rPr>
          <w:spacing w:val="-1"/>
        </w:rPr>
        <w:t>②管道的套箍、接口应牢固、紧密，管端清洁不乱丝，对口间隙准确。</w:t>
      </w:r>
    </w:p>
    <w:p>
      <w:pPr>
        <w:pStyle w:val="BodyText"/>
        <w:spacing w:before="132"/>
        <w:ind w:left="791"/>
      </w:pPr>
      <w:r>
        <w:rPr>
          <w:spacing w:val="-1"/>
        </w:rPr>
        <w:t>③管道铺设应符合设计要求，铺设后必须进行水压试验。</w:t>
      </w:r>
    </w:p>
    <w:p>
      <w:pPr>
        <w:pStyle w:val="BodyText"/>
        <w:spacing w:before="133"/>
        <w:ind w:left="791"/>
      </w:pPr>
      <w:r>
        <w:rPr>
          <w:spacing w:val="-1"/>
        </w:rPr>
        <w:t>④管道的沟槽还土后应进行分层夯实。</w:t>
      </w:r>
    </w:p>
    <w:p>
      <w:pPr>
        <w:pStyle w:val="ListParagraph"/>
        <w:numPr>
          <w:ilvl w:val="2"/>
          <w:numId w:val="5"/>
        </w:numPr>
        <w:tabs>
          <w:tab w:val="left" w:pos="851"/>
        </w:tabs>
        <w:spacing w:before="132" w:after="0" w:line="240" w:lineRule="auto"/>
        <w:ind w:left="851" w:right="0" w:hanging="660"/>
        <w:jc w:val="left"/>
        <w:rPr>
          <w:sz w:val="24"/>
        </w:rPr>
      </w:pPr>
      <w:r>
        <w:rPr>
          <w:spacing w:val="-1"/>
          <w:sz w:val="24"/>
        </w:rPr>
        <w:t>绿地排水管道的施工应符合下列规定：</w:t>
      </w:r>
    </w:p>
    <w:p>
      <w:pPr>
        <w:pStyle w:val="BodyText"/>
        <w:spacing w:before="133"/>
        <w:ind w:left="791"/>
      </w:pPr>
      <w:r>
        <w:t>①排水管道的坡度必须符合设计要求，管道标高偏差不应大于±10mm</w:t>
      </w:r>
      <w:r>
        <w:rPr>
          <w:spacing w:val="-10"/>
        </w:rPr>
        <w:t>。</w:t>
      </w:r>
    </w:p>
    <w:p>
      <w:pPr>
        <w:pStyle w:val="BodyText"/>
        <w:spacing w:before="132" w:line="343" w:lineRule="auto"/>
        <w:ind w:right="1416" w:firstLine="600"/>
      </w:pPr>
      <w:r>
        <w:rPr>
          <w:spacing w:val="-2"/>
        </w:rPr>
        <w:t>②管道连接要求承插口或套箍接口应平直，环形间隙应均匀。灰口应密实、</w:t>
      </w:r>
      <w:r>
        <w:rPr>
          <w:spacing w:val="-2"/>
        </w:rPr>
        <w:t>饱满，抹带接口表面应平整，无间断和裂缝、空鼓现象。</w:t>
      </w:r>
    </w:p>
    <w:p>
      <w:pPr>
        <w:pStyle w:val="BodyText"/>
        <w:spacing w:before="1" w:line="343" w:lineRule="auto"/>
        <w:ind w:right="1416" w:firstLine="600"/>
      </w:pPr>
      <w:r>
        <w:rPr>
          <w:spacing w:val="-2"/>
        </w:rPr>
        <w:t>③排水管道覆土深度应根据雨水井与接连管的坡度、冰冻深度和外部荷载确</w:t>
      </w:r>
      <w:r>
        <w:rPr>
          <w:spacing w:val="-4"/>
        </w:rPr>
        <w:t xml:space="preserve">定，覆土深度不宜小于 </w:t>
      </w:r>
      <w:r>
        <w:t>50cm。</w:t>
      </w:r>
    </w:p>
    <w:p>
      <w:pPr>
        <w:pStyle w:val="ListParagraph"/>
        <w:numPr>
          <w:ilvl w:val="2"/>
          <w:numId w:val="5"/>
        </w:numPr>
        <w:tabs>
          <w:tab w:val="left" w:pos="851"/>
        </w:tabs>
        <w:spacing w:before="0" w:after="0" w:line="240" w:lineRule="auto"/>
        <w:ind w:left="851" w:right="0" w:hanging="660"/>
        <w:jc w:val="left"/>
        <w:rPr>
          <w:sz w:val="24"/>
        </w:rPr>
      </w:pPr>
      <w:r>
        <w:rPr>
          <w:spacing w:val="-1"/>
          <w:sz w:val="24"/>
        </w:rPr>
        <w:t>绿地护栏施工时应符合下列规定：</w:t>
      </w:r>
    </w:p>
    <w:p>
      <w:pPr>
        <w:pStyle w:val="BodyText"/>
        <w:spacing w:before="133"/>
        <w:ind w:left="791"/>
      </w:pPr>
      <w:r>
        <w:rPr>
          <w:spacing w:val="-3"/>
        </w:rPr>
        <w:t xml:space="preserve">①铁制护栏立柱混凝土墩的强度等级不得低于 </w:t>
      </w:r>
      <w:r>
        <w:t>C15，</w:t>
      </w:r>
      <w:r>
        <w:rPr>
          <w:spacing w:val="-2"/>
        </w:rPr>
        <w:t>墩下素土应夯实。</w:t>
      </w:r>
    </w:p>
    <w:p>
      <w:pPr>
        <w:pStyle w:val="BodyText"/>
        <w:spacing w:before="132"/>
        <w:ind w:left="791"/>
      </w:pPr>
      <w:r>
        <w:rPr>
          <w:spacing w:val="-1"/>
        </w:rPr>
        <w:t>②墩台的预埋件位置应准确，焊接点应光滑牢固。</w:t>
      </w:r>
    </w:p>
    <w:p>
      <w:pPr>
        <w:pStyle w:val="BodyText"/>
        <w:spacing w:before="133"/>
        <w:ind w:left="791"/>
      </w:pPr>
      <w:r>
        <w:rPr>
          <w:spacing w:val="-1"/>
        </w:rPr>
        <w:t>③铁制护栏锈层应打磨干净刷防锈漆一遍，调和漆两遍。</w:t>
      </w:r>
    </w:p>
    <w:p>
      <w:pPr>
        <w:pStyle w:val="ListParagraph"/>
        <w:numPr>
          <w:ilvl w:val="2"/>
          <w:numId w:val="5"/>
        </w:numPr>
        <w:tabs>
          <w:tab w:val="left" w:pos="851"/>
        </w:tabs>
        <w:spacing w:before="132" w:after="0" w:line="240" w:lineRule="auto"/>
        <w:ind w:left="851" w:right="0" w:hanging="660"/>
        <w:jc w:val="left"/>
        <w:rPr>
          <w:sz w:val="24"/>
        </w:rPr>
      </w:pPr>
      <w:r>
        <w:rPr>
          <w:spacing w:val="-1"/>
          <w:sz w:val="24"/>
        </w:rPr>
        <w:t>花池挡墙施工应符合下列规定：</w:t>
      </w:r>
    </w:p>
    <w:p>
      <w:pPr>
        <w:pStyle w:val="BodyText"/>
        <w:spacing w:before="133"/>
        <w:ind w:left="791"/>
      </w:pPr>
      <w:r>
        <w:rPr>
          <w:spacing w:val="-1"/>
        </w:rPr>
        <w:t>①花池挡墙地基下的素土应夯实。</w:t>
      </w:r>
    </w:p>
    <w:p>
      <w:pPr>
        <w:pStyle w:val="BodyText"/>
        <w:spacing w:before="132"/>
        <w:ind w:left="791"/>
      </w:pPr>
      <w:r>
        <w:rPr>
          <w:spacing w:val="-10"/>
        </w:rPr>
        <w:t xml:space="preserve">②防潮层以 </w:t>
      </w:r>
      <w:r>
        <w:t>1：2.5</w:t>
      </w:r>
      <w:r>
        <w:rPr>
          <w:spacing w:val="-14"/>
        </w:rPr>
        <w:t xml:space="preserve"> 水泥砂浆，内掺 </w:t>
      </w:r>
      <w:r>
        <w:t>5%</w:t>
      </w:r>
      <w:r>
        <w:rPr>
          <w:spacing w:val="-9"/>
        </w:rPr>
        <w:t xml:space="preserve">防水粉，厚度 </w:t>
      </w:r>
      <w:r>
        <w:t>20mm，</w:t>
      </w:r>
      <w:r>
        <w:rPr>
          <w:spacing w:val="-4"/>
        </w:rPr>
        <w:t>压实。</w:t>
      </w:r>
    </w:p>
    <w:p>
      <w:pPr>
        <w:pStyle w:val="BodyText"/>
        <w:spacing w:before="133" w:line="343" w:lineRule="auto"/>
        <w:ind w:right="1416" w:firstLine="600"/>
      </w:pPr>
      <w:r>
        <w:rPr>
          <w:spacing w:val="-6"/>
        </w:rPr>
        <w:t xml:space="preserve">③清水砖砌花池挡墙，砖的抗压强度标号应大于或等于 </w:t>
      </w:r>
      <w:r>
        <w:rPr>
          <w:spacing w:val="-4"/>
        </w:rPr>
        <w:t>MU7.5，水泥砂浆砌筑</w:t>
      </w:r>
      <w:r>
        <w:rPr>
          <w:spacing w:val="-2"/>
        </w:rPr>
        <w:t xml:space="preserve">时标号不低于 </w:t>
      </w:r>
      <w:r>
        <w:t>M5，</w:t>
      </w:r>
      <w:r>
        <w:rPr>
          <w:spacing w:val="-5"/>
        </w:rPr>
        <w:t xml:space="preserve">应以 </w:t>
      </w:r>
      <w:r>
        <w:t>1：2</w:t>
      </w:r>
      <w:r>
        <w:rPr>
          <w:spacing w:val="-4"/>
        </w:rPr>
        <w:t xml:space="preserve"> 水泥砂浆勾缝。</w:t>
      </w:r>
    </w:p>
    <w:p>
      <w:pPr>
        <w:pStyle w:val="BodyText"/>
        <w:spacing w:line="343" w:lineRule="auto"/>
        <w:ind w:right="1416" w:firstLine="600"/>
      </w:pPr>
      <w:r>
        <w:rPr>
          <w:spacing w:val="-7"/>
        </w:rPr>
        <w:t xml:space="preserve">④花岗岩料石花池挡墙，水泥砂浆标号不应底于 </w:t>
      </w:r>
      <w:r>
        <w:rPr>
          <w:spacing w:val="-4"/>
        </w:rPr>
        <w:t>M5</w:t>
      </w:r>
      <w:r>
        <w:rPr>
          <w:spacing w:val="-17"/>
        </w:rPr>
        <w:t xml:space="preserve">，宜用 </w:t>
      </w:r>
      <w:r>
        <w:rPr>
          <w:spacing w:val="-4"/>
        </w:rPr>
        <w:t>1：2</w:t>
      </w:r>
      <w:r>
        <w:rPr>
          <w:spacing w:val="-13"/>
        </w:rPr>
        <w:t xml:space="preserve"> 水泥砂浆勾凹</w:t>
      </w:r>
      <w:r>
        <w:rPr>
          <w:spacing w:val="-9"/>
        </w:rPr>
        <w:t xml:space="preserve">缝，缝深 </w:t>
      </w:r>
      <w:r>
        <w:t>10mm。</w:t>
      </w:r>
    </w:p>
    <w:p>
      <w:pPr>
        <w:pStyle w:val="BodyText"/>
        <w:spacing w:before="1" w:line="343" w:lineRule="auto"/>
        <w:ind w:right="1416" w:firstLine="600"/>
      </w:pPr>
      <w:r>
        <w:rPr>
          <w:spacing w:val="-7"/>
        </w:rPr>
        <w:t xml:space="preserve">⑤混凝土预制或现浇花池挡墙，宜内配直径 </w:t>
      </w:r>
      <w:r>
        <w:rPr>
          <w:spacing w:val="-4"/>
        </w:rPr>
        <w:t>6mm</w:t>
      </w:r>
      <w:r>
        <w:rPr>
          <w:spacing w:val="-16"/>
        </w:rPr>
        <w:t xml:space="preserve"> 钢筋，双向中距 </w:t>
      </w:r>
      <w:r>
        <w:rPr>
          <w:spacing w:val="-4"/>
        </w:rPr>
        <w:t>200mm，混凝</w:t>
      </w:r>
      <w:r>
        <w:rPr>
          <w:spacing w:val="-3"/>
        </w:rPr>
        <w:t xml:space="preserve">土强度等级不应低于 </w:t>
      </w:r>
      <w:r>
        <w:t>C15，</w:t>
      </w:r>
      <w:r>
        <w:rPr>
          <w:spacing w:val="-3"/>
        </w:rPr>
        <w:t xml:space="preserve">壁厚不宜小于 </w:t>
      </w:r>
      <w:r>
        <w:t>80mm。</w:t>
      </w:r>
    </w:p>
    <w:p>
      <w:pPr>
        <w:pStyle w:val="ListParagraph"/>
        <w:numPr>
          <w:ilvl w:val="2"/>
          <w:numId w:val="5"/>
        </w:numPr>
        <w:tabs>
          <w:tab w:val="left" w:pos="851"/>
        </w:tabs>
        <w:spacing w:before="1" w:after="0" w:line="240" w:lineRule="auto"/>
        <w:ind w:left="851" w:right="0" w:hanging="660"/>
        <w:jc w:val="left"/>
        <w:rPr>
          <w:sz w:val="24"/>
        </w:rPr>
      </w:pPr>
      <w:r>
        <w:rPr>
          <w:spacing w:val="-1"/>
          <w:sz w:val="24"/>
        </w:rPr>
        <w:t>园路施工应符合下列规定：</w:t>
      </w:r>
    </w:p>
    <w:p>
      <w:pPr>
        <w:pStyle w:val="BodyText"/>
        <w:spacing w:before="132" w:line="343" w:lineRule="auto"/>
        <w:ind w:right="1296" w:firstLine="600"/>
      </w:pPr>
      <w:r>
        <w:rPr>
          <w:spacing w:val="-2"/>
        </w:rPr>
        <w:t xml:space="preserve">①定桩放线应依据设计的路面中线，宜每隔 </w:t>
      </w:r>
      <w:r>
        <w:t>20cm</w:t>
      </w:r>
      <w:r>
        <w:rPr>
          <w:spacing w:val="-6"/>
        </w:rPr>
        <w:t xml:space="preserve"> 设置一中心桩，道路曲线应</w:t>
      </w:r>
      <w:r>
        <w:rPr>
          <w:spacing w:val="-7"/>
        </w:rPr>
        <w:t>在曲线的起点、曲线中点、曲线的终点各设一中心桩，并写明标号后以中心桩为准，</w:t>
      </w:r>
    </w:p>
    <w:p>
      <w:pPr>
        <w:spacing w:after="0" w:line="343" w:lineRule="auto"/>
        <w:sectPr>
          <w:headerReference w:type="default" r:id="rId12"/>
          <w:pgSz w:w="11910" w:h="16840"/>
          <w:pgMar w:top="1140" w:right="0" w:bottom="280" w:left="1680" w:header="873" w:footer="0"/>
          <w:pgNumType w:start="8"/>
          <w:cols w:space="708"/>
        </w:sectPr>
      </w:pPr>
    </w:p>
    <w:p>
      <w:pPr>
        <w:pStyle w:val="BodyText"/>
        <w:spacing w:before="112"/>
      </w:pPr>
      <w:r>
        <w:rPr>
          <w:spacing w:val="-1"/>
        </w:rPr>
        <w:t>按路面宽度定下边桩，最后放出路面平曲线。各中心桩应标注道路标高。</w:t>
      </w:r>
    </w:p>
    <w:p>
      <w:pPr>
        <w:pStyle w:val="BodyText"/>
        <w:spacing w:before="132" w:line="343" w:lineRule="auto"/>
        <w:ind w:right="1416" w:firstLine="600"/>
        <w:jc w:val="both"/>
      </w:pPr>
      <w:r>
        <w:rPr>
          <w:spacing w:val="-5"/>
        </w:rPr>
        <w:t xml:space="preserve">②开挖路槽应按设计路面宽度，每侧加放 </w:t>
      </w:r>
      <w:r>
        <w:rPr>
          <w:spacing w:val="-4"/>
        </w:rPr>
        <w:t>20cm</w:t>
      </w:r>
      <w:r>
        <w:rPr>
          <w:spacing w:val="-8"/>
        </w:rPr>
        <w:t xml:space="preserve"> 开槽，槽底应夯实或碾压，不</w:t>
      </w:r>
      <w:r>
        <w:rPr>
          <w:spacing w:val="-2"/>
        </w:rPr>
        <w:t xml:space="preserve">得有翻浆、弹簧现象。槽底平整度的误差，不得大于 </w:t>
      </w:r>
      <w:r>
        <w:t>2cm。</w:t>
      </w:r>
    </w:p>
    <w:p>
      <w:pPr>
        <w:pStyle w:val="BodyText"/>
        <w:spacing w:before="1" w:line="343" w:lineRule="auto"/>
        <w:ind w:right="1416" w:firstLine="600"/>
        <w:jc w:val="both"/>
      </w:pPr>
      <w:r>
        <w:rPr>
          <w:spacing w:val="-1"/>
        </w:rPr>
        <w:t xml:space="preserve">③铺筑基层，应按设计要求备好铺装材料，虚铺厚度宜为实铺厚度的 </w:t>
      </w:r>
      <w:r>
        <w:t xml:space="preserve">140%∽ </w:t>
      </w:r>
      <w:r>
        <w:rPr>
          <w:spacing w:val="-2"/>
        </w:rPr>
        <w:t>160%，碾压夯实后，表面应坚实平整。铺筑基层的厚度、平整度、中线高程均应符</w:t>
      </w:r>
      <w:r>
        <w:rPr>
          <w:spacing w:val="-2"/>
        </w:rPr>
        <w:t>合设计要求。</w:t>
      </w:r>
    </w:p>
    <w:p>
      <w:pPr>
        <w:pStyle w:val="BodyText"/>
        <w:spacing w:before="1" w:line="343" w:lineRule="auto"/>
        <w:ind w:right="1476" w:firstLine="600"/>
        <w:jc w:val="both"/>
      </w:pPr>
      <w:r>
        <w:rPr>
          <w:spacing w:val="4"/>
        </w:rPr>
        <w:t xml:space="preserve">④铺筑结合层可采用 </w:t>
      </w:r>
      <w:r>
        <w:t>1：3</w:t>
      </w:r>
      <w:r>
        <w:rPr>
          <w:spacing w:val="-2"/>
        </w:rPr>
        <w:t xml:space="preserve"> 白灰砂浆，厚度 </w:t>
      </w:r>
      <w:r>
        <w:t>25mm</w:t>
      </w:r>
      <w:r>
        <w:rPr>
          <w:spacing w:val="6"/>
        </w:rPr>
        <w:t>，或采用粗砂垫层，厚度</w:t>
      </w:r>
      <w:r>
        <w:t xml:space="preserve"> </w:t>
      </w:r>
      <w:r>
        <w:rPr>
          <w:spacing w:val="-2"/>
        </w:rPr>
        <w:t>30mm。</w:t>
      </w:r>
    </w:p>
    <w:p>
      <w:pPr>
        <w:pStyle w:val="BodyText"/>
        <w:spacing w:line="343" w:lineRule="auto"/>
        <w:ind w:right="1416" w:firstLine="600"/>
        <w:jc w:val="both"/>
      </w:pPr>
      <w:r>
        <w:rPr>
          <w:spacing w:val="-5"/>
        </w:rPr>
        <w:t xml:space="preserve">⑤道牙的基础应与路槽同时填挖碾压，结合层可采用 </w:t>
      </w:r>
      <w:r>
        <w:rPr>
          <w:spacing w:val="-4"/>
        </w:rPr>
        <w:t>1：3</w:t>
      </w:r>
      <w:r>
        <w:rPr>
          <w:spacing w:val="-8"/>
        </w:rPr>
        <w:t xml:space="preserve"> 白灰砂浆铺砌。道</w:t>
      </w:r>
      <w:r>
        <w:rPr>
          <w:spacing w:val="-3"/>
        </w:rPr>
        <w:t xml:space="preserve">牙接口处应以 </w:t>
      </w:r>
      <w:r>
        <w:t>1：3</w:t>
      </w:r>
      <w:r>
        <w:rPr>
          <w:spacing w:val="-7"/>
        </w:rPr>
        <w:t xml:space="preserve"> 水泥砂浆勾缝，凹缝深 </w:t>
      </w:r>
      <w:r>
        <w:t>5mm</w:t>
      </w:r>
      <w:r>
        <w:rPr>
          <w:spacing w:val="-3"/>
        </w:rPr>
        <w:t xml:space="preserve">。道牙背后应以 </w:t>
      </w:r>
      <w:r>
        <w:t>12%白灰土夯实。</w:t>
      </w:r>
    </w:p>
    <w:p>
      <w:pPr>
        <w:pStyle w:val="ListParagraph"/>
        <w:numPr>
          <w:ilvl w:val="2"/>
          <w:numId w:val="5"/>
        </w:numPr>
        <w:tabs>
          <w:tab w:val="left" w:pos="851"/>
        </w:tabs>
        <w:spacing w:before="1" w:after="0" w:line="240" w:lineRule="auto"/>
        <w:ind w:left="851" w:right="0" w:hanging="660"/>
        <w:jc w:val="left"/>
        <w:rPr>
          <w:sz w:val="24"/>
        </w:rPr>
      </w:pPr>
      <w:r>
        <w:rPr>
          <w:spacing w:val="-1"/>
          <w:sz w:val="24"/>
        </w:rPr>
        <w:t>各种面层铺设时应符合下列规定：</w:t>
      </w:r>
    </w:p>
    <w:p>
      <w:pPr>
        <w:pStyle w:val="BodyText"/>
        <w:spacing w:before="132" w:line="343" w:lineRule="auto"/>
        <w:ind w:right="1416" w:firstLine="480"/>
      </w:pPr>
      <w:r>
        <w:rPr>
          <w:spacing w:val="-2"/>
        </w:rPr>
        <w:t>①铺筑各种预制砖块，应轻轻放平，宜用橡胶锤敲打、稳定，不得损伤砖的边</w:t>
      </w:r>
      <w:r>
        <w:rPr>
          <w:spacing w:val="-6"/>
        </w:rPr>
        <w:t>角。</w:t>
      </w:r>
    </w:p>
    <w:p>
      <w:pPr>
        <w:pStyle w:val="BodyText"/>
        <w:spacing w:before="1" w:line="343" w:lineRule="auto"/>
        <w:ind w:right="1296" w:firstLine="480"/>
      </w:pPr>
      <w:r>
        <w:rPr>
          <w:spacing w:val="-2"/>
        </w:rPr>
        <w:t xml:space="preserve">②卵石嵌花路面，应先铺垫 </w:t>
      </w:r>
      <w:r>
        <w:t>M10</w:t>
      </w:r>
      <w:r>
        <w:rPr>
          <w:spacing w:val="-6"/>
        </w:rPr>
        <w:t xml:space="preserve"> 水泥砂浆，厚度 </w:t>
      </w:r>
      <w:r>
        <w:t>30mm</w:t>
      </w:r>
      <w:r>
        <w:rPr>
          <w:spacing w:val="-2"/>
        </w:rPr>
        <w:t xml:space="preserve">，再铺水泥素浆 </w:t>
      </w:r>
      <w:r>
        <w:t>20mm，</w:t>
      </w:r>
      <w:r>
        <w:rPr>
          <w:spacing w:val="-10"/>
        </w:rPr>
        <w:t xml:space="preserve">卵石厚度的 </w:t>
      </w:r>
      <w:r>
        <w:t>60%</w:t>
      </w:r>
      <w:r>
        <w:rPr>
          <w:spacing w:val="-15"/>
        </w:rPr>
        <w:t xml:space="preserve">插入素浆，待沙浆强度升至 </w:t>
      </w:r>
      <w:r>
        <w:t>70%</w:t>
      </w:r>
      <w:r>
        <w:rPr>
          <w:spacing w:val="-33"/>
        </w:rPr>
        <w:t xml:space="preserve">时，应以 </w:t>
      </w:r>
      <w:r>
        <w:t>30%</w:t>
      </w:r>
      <w:r>
        <w:rPr>
          <w:spacing w:val="-1"/>
        </w:rPr>
        <w:t>草酸溶液冲刷石子表面。</w:t>
      </w:r>
    </w:p>
    <w:p>
      <w:pPr>
        <w:pStyle w:val="BodyText"/>
        <w:spacing w:line="343" w:lineRule="auto"/>
        <w:ind w:right="1416" w:firstLine="480"/>
      </w:pPr>
      <w:r>
        <w:rPr>
          <w:spacing w:val="-2"/>
        </w:rPr>
        <w:t>③水泥或沥青整体路面，应按设计要求精确配料，搅拌均匀，模板与支撑应垂</w:t>
      </w:r>
      <w:r>
        <w:rPr>
          <w:spacing w:val="-2"/>
        </w:rPr>
        <w:t>直牢固，伸缩缝位置应准确，应震捣或碾压、路表面应平整坚实。</w:t>
      </w:r>
    </w:p>
    <w:p>
      <w:pPr>
        <w:pStyle w:val="BodyText"/>
        <w:spacing w:before="1"/>
        <w:ind w:left="671"/>
      </w:pPr>
      <w:r>
        <w:rPr>
          <w:spacing w:val="-3"/>
        </w:rPr>
        <w:t xml:space="preserve">④嵌草路面的缝隙应填入培养土，栽植穴深度不宜小于 </w:t>
      </w:r>
      <w:r>
        <w:t>8cm</w:t>
      </w:r>
      <w:r>
        <w:rPr>
          <w:spacing w:val="-10"/>
        </w:rPr>
        <w:t>。</w:t>
      </w:r>
    </w:p>
    <w:p>
      <w:pPr>
        <w:pStyle w:val="Heading3"/>
        <w:numPr>
          <w:ilvl w:val="1"/>
          <w:numId w:val="5"/>
        </w:numPr>
        <w:tabs>
          <w:tab w:val="left" w:pos="1154"/>
        </w:tabs>
        <w:spacing w:before="56" w:after="0" w:line="240" w:lineRule="auto"/>
        <w:ind w:left="1153" w:right="0" w:hanging="483"/>
        <w:jc w:val="left"/>
      </w:pPr>
      <w:r>
        <w:rPr>
          <w:color w:val="FF0000"/>
          <w:spacing w:val="-2"/>
        </w:rPr>
        <w:t>苗木运输和假植</w:t>
      </w:r>
    </w:p>
    <w:p>
      <w:pPr>
        <w:pStyle w:val="ListParagraph"/>
        <w:numPr>
          <w:ilvl w:val="2"/>
          <w:numId w:val="5"/>
        </w:numPr>
        <w:tabs>
          <w:tab w:val="left" w:pos="1391"/>
        </w:tabs>
        <w:spacing w:before="74" w:after="0" w:line="240" w:lineRule="auto"/>
        <w:ind w:left="1391" w:right="0" w:hanging="720"/>
        <w:jc w:val="left"/>
        <w:rPr>
          <w:sz w:val="24"/>
        </w:rPr>
      </w:pPr>
      <w:r>
        <w:rPr>
          <w:spacing w:val="-1"/>
          <w:sz w:val="24"/>
        </w:rPr>
        <w:t>苗木运输量应根据现场种植量确定。</w:t>
      </w:r>
    </w:p>
    <w:p>
      <w:pPr>
        <w:pStyle w:val="ListParagraph"/>
        <w:numPr>
          <w:ilvl w:val="2"/>
          <w:numId w:val="5"/>
        </w:numPr>
        <w:tabs>
          <w:tab w:val="left" w:pos="1391"/>
        </w:tabs>
        <w:spacing w:before="132" w:after="0" w:line="240" w:lineRule="auto"/>
        <w:ind w:left="1391" w:right="0" w:hanging="720"/>
        <w:jc w:val="left"/>
        <w:rPr>
          <w:sz w:val="24"/>
        </w:rPr>
      </w:pPr>
      <w:r>
        <w:rPr>
          <w:spacing w:val="-1"/>
          <w:sz w:val="24"/>
        </w:rPr>
        <w:t>苗木在装卸车时应轻提轻放，不得损伤苗木和造成散球。</w:t>
      </w:r>
    </w:p>
    <w:p>
      <w:pPr>
        <w:pStyle w:val="ListParagraph"/>
        <w:numPr>
          <w:ilvl w:val="2"/>
          <w:numId w:val="5"/>
        </w:numPr>
        <w:tabs>
          <w:tab w:val="left" w:pos="1391"/>
        </w:tabs>
        <w:spacing w:before="133" w:after="0" w:line="343" w:lineRule="auto"/>
        <w:ind w:left="191" w:right="1416" w:firstLine="480"/>
        <w:jc w:val="left"/>
        <w:rPr>
          <w:sz w:val="24"/>
        </w:rPr>
      </w:pPr>
      <w:r>
        <w:rPr>
          <w:spacing w:val="-2"/>
          <w:sz w:val="24"/>
        </w:rPr>
        <w:t>起吊小型带土球苗木时应用绳网兜土球吊起，不得直接用绳索绑缚根颈</w:t>
      </w:r>
      <w:r>
        <w:rPr>
          <w:spacing w:val="-3"/>
          <w:sz w:val="24"/>
        </w:rPr>
        <w:t xml:space="preserve">起吊；起吊重量超过 </w:t>
      </w:r>
      <w:r>
        <w:rPr>
          <w:sz w:val="24"/>
        </w:rPr>
        <w:t>1t</w:t>
      </w:r>
      <w:r>
        <w:rPr>
          <w:spacing w:val="-5"/>
          <w:sz w:val="24"/>
        </w:rPr>
        <w:t xml:space="preserve"> 的大型土球</w:t>
      </w:r>
      <w:r>
        <w:rPr>
          <w:sz w:val="24"/>
        </w:rPr>
        <w:t>（土台</w:t>
      </w:r>
      <w:r>
        <w:rPr>
          <w:spacing w:val="-120"/>
          <w:sz w:val="24"/>
        </w:rPr>
        <w:t>）</w:t>
      </w:r>
      <w:r>
        <w:rPr>
          <w:sz w:val="24"/>
        </w:rPr>
        <w:t>，应在其外部套大绳吊起。</w:t>
      </w:r>
    </w:p>
    <w:p>
      <w:pPr>
        <w:pStyle w:val="ListParagraph"/>
        <w:numPr>
          <w:ilvl w:val="2"/>
          <w:numId w:val="5"/>
        </w:numPr>
        <w:tabs>
          <w:tab w:val="left" w:pos="1391"/>
        </w:tabs>
        <w:spacing w:before="0" w:after="0" w:line="240" w:lineRule="auto"/>
        <w:ind w:left="1391" w:right="0" w:hanging="720"/>
        <w:jc w:val="left"/>
        <w:rPr>
          <w:sz w:val="24"/>
        </w:rPr>
      </w:pPr>
      <w:r>
        <w:rPr>
          <w:spacing w:val="-1"/>
          <w:sz w:val="24"/>
        </w:rPr>
        <w:t>土球苗木装车时，将土球朝向车头方向，树冠朝向车尾方向码放整齐。</w:t>
      </w:r>
    </w:p>
    <w:p>
      <w:pPr>
        <w:pStyle w:val="ListParagraph"/>
        <w:numPr>
          <w:ilvl w:val="2"/>
          <w:numId w:val="5"/>
        </w:numPr>
        <w:tabs>
          <w:tab w:val="left" w:pos="1391"/>
        </w:tabs>
        <w:spacing w:before="133" w:after="0" w:line="343" w:lineRule="auto"/>
        <w:ind w:left="191" w:right="1416" w:firstLine="480"/>
        <w:jc w:val="left"/>
        <w:rPr>
          <w:sz w:val="24"/>
        </w:rPr>
      </w:pPr>
      <w:r>
        <w:rPr>
          <w:spacing w:val="-2"/>
          <w:sz w:val="24"/>
        </w:rPr>
        <w:t>裸根乔木长途运输时，应保持根系湿润，装车时应顺序码放整齐，装车</w:t>
      </w:r>
      <w:r>
        <w:rPr>
          <w:spacing w:val="-2"/>
          <w:sz w:val="24"/>
        </w:rPr>
        <w:t>后应将树干捆牢，并应加垫层防止磨损树干及进行根系保护。</w:t>
      </w:r>
    </w:p>
    <w:p>
      <w:pPr>
        <w:pStyle w:val="ListParagraph"/>
        <w:numPr>
          <w:ilvl w:val="2"/>
          <w:numId w:val="5"/>
        </w:numPr>
        <w:tabs>
          <w:tab w:val="left" w:pos="1391"/>
        </w:tabs>
        <w:spacing w:before="1" w:after="0" w:line="240" w:lineRule="auto"/>
        <w:ind w:left="1391" w:right="0" w:hanging="720"/>
        <w:jc w:val="left"/>
        <w:rPr>
          <w:sz w:val="24"/>
        </w:rPr>
      </w:pPr>
      <w:r>
        <w:rPr>
          <w:spacing w:val="-1"/>
          <w:sz w:val="24"/>
        </w:rPr>
        <w:t>装运竹类时，不得损伤竹竿与竹鞭之间的着生点和鞭芽。</w:t>
      </w:r>
    </w:p>
    <w:p>
      <w:pPr>
        <w:pStyle w:val="ListParagraph"/>
        <w:numPr>
          <w:ilvl w:val="2"/>
          <w:numId w:val="5"/>
        </w:numPr>
        <w:tabs>
          <w:tab w:val="left" w:pos="1391"/>
        </w:tabs>
        <w:spacing w:before="132" w:after="0" w:line="343" w:lineRule="auto"/>
        <w:ind w:left="191" w:right="1416" w:firstLine="480"/>
        <w:jc w:val="left"/>
        <w:rPr>
          <w:sz w:val="24"/>
        </w:rPr>
      </w:pPr>
      <w:r>
        <w:rPr>
          <w:spacing w:val="-2"/>
          <w:sz w:val="24"/>
        </w:rPr>
        <w:t>苗木运到现场后，裸根苗木应当天种植，不能种植的苗木应及时进行假</w:t>
      </w:r>
      <w:r>
        <w:rPr>
          <w:spacing w:val="-6"/>
          <w:sz w:val="24"/>
        </w:rPr>
        <w:t>植。</w:t>
      </w:r>
    </w:p>
    <w:p>
      <w:pPr>
        <w:pStyle w:val="ListParagraph"/>
        <w:numPr>
          <w:ilvl w:val="2"/>
          <w:numId w:val="5"/>
        </w:numPr>
        <w:tabs>
          <w:tab w:val="left" w:pos="1391"/>
        </w:tabs>
        <w:spacing w:before="1" w:after="0" w:line="343" w:lineRule="auto"/>
        <w:ind w:left="191" w:right="1416" w:firstLine="480"/>
        <w:jc w:val="left"/>
        <w:rPr>
          <w:sz w:val="24"/>
        </w:rPr>
      </w:pPr>
      <w:r>
        <w:rPr>
          <w:spacing w:val="-2"/>
          <w:sz w:val="24"/>
        </w:rPr>
        <w:t>带土球苗木运至施工现场后，当日不能种植时，应适当喷水保持土球湿</w:t>
      </w:r>
      <w:r>
        <w:rPr>
          <w:spacing w:val="-6"/>
          <w:sz w:val="24"/>
        </w:rPr>
        <w:t>润。</w:t>
      </w:r>
    </w:p>
    <w:p>
      <w:pPr>
        <w:spacing w:after="0" w:line="343" w:lineRule="auto"/>
        <w:jc w:val="left"/>
        <w:rPr>
          <w:sz w:val="24"/>
        </w:rPr>
        <w:sectPr>
          <w:headerReference w:type="default" r:id="rId13"/>
          <w:pgSz w:w="11910" w:h="16840"/>
          <w:pgMar w:top="1140" w:right="0" w:bottom="280" w:left="1680" w:header="873" w:footer="0"/>
          <w:pgNumType w:start="9"/>
          <w:cols w:space="708"/>
        </w:sectPr>
      </w:pPr>
    </w:p>
    <w:p>
      <w:pPr>
        <w:pStyle w:val="ListParagraph"/>
        <w:numPr>
          <w:ilvl w:val="2"/>
          <w:numId w:val="5"/>
        </w:numPr>
        <w:tabs>
          <w:tab w:val="left" w:pos="1391"/>
        </w:tabs>
        <w:spacing w:before="112" w:after="0" w:line="240" w:lineRule="auto"/>
        <w:ind w:left="1391" w:right="0" w:hanging="720"/>
        <w:jc w:val="left"/>
        <w:rPr>
          <w:sz w:val="24"/>
        </w:rPr>
      </w:pPr>
      <w:r>
        <w:rPr>
          <w:spacing w:val="-1"/>
          <w:sz w:val="24"/>
        </w:rPr>
        <w:t>珍贵树种和非植树季节所需苗木，应提前备苗，带容器假植。</w:t>
      </w:r>
    </w:p>
    <w:p>
      <w:pPr>
        <w:pStyle w:val="ListParagraph"/>
        <w:numPr>
          <w:ilvl w:val="2"/>
          <w:numId w:val="5"/>
        </w:numPr>
        <w:tabs>
          <w:tab w:val="left" w:pos="1511"/>
        </w:tabs>
        <w:spacing w:before="132" w:after="0" w:line="240" w:lineRule="auto"/>
        <w:ind w:left="1511" w:right="0" w:hanging="840"/>
        <w:jc w:val="left"/>
        <w:rPr>
          <w:sz w:val="24"/>
        </w:rPr>
      </w:pPr>
      <w:r>
        <w:rPr>
          <w:spacing w:val="-4"/>
          <w:sz w:val="24"/>
        </w:rPr>
        <w:t>运输过程应遵守有关交通法规，办理相关手续（如检疫证</w:t>
      </w:r>
      <w:r>
        <w:rPr>
          <w:spacing w:val="-84"/>
          <w:sz w:val="24"/>
        </w:rPr>
        <w:t>）</w:t>
      </w:r>
      <w:r>
        <w:rPr>
          <w:spacing w:val="-20"/>
          <w:sz w:val="24"/>
        </w:rPr>
        <w:t>，确保安全。</w:t>
      </w:r>
    </w:p>
    <w:p>
      <w:pPr>
        <w:pStyle w:val="Heading3"/>
        <w:numPr>
          <w:ilvl w:val="1"/>
          <w:numId w:val="5"/>
        </w:numPr>
        <w:tabs>
          <w:tab w:val="left" w:pos="1094"/>
        </w:tabs>
        <w:spacing w:before="56" w:after="0" w:line="240" w:lineRule="auto"/>
        <w:ind w:left="1093" w:right="0" w:hanging="423"/>
        <w:jc w:val="left"/>
        <w:rPr>
          <w:color w:val="FF0000"/>
        </w:rPr>
      </w:pPr>
      <w:r>
        <w:rPr>
          <w:color w:val="FF0000"/>
          <w:spacing w:val="-2"/>
        </w:rPr>
        <w:t>苗木种植前的修剪</w:t>
      </w:r>
    </w:p>
    <w:p>
      <w:pPr>
        <w:pStyle w:val="ListParagraph"/>
        <w:numPr>
          <w:ilvl w:val="2"/>
          <w:numId w:val="5"/>
        </w:numPr>
        <w:tabs>
          <w:tab w:val="left" w:pos="1391"/>
        </w:tabs>
        <w:spacing w:before="74" w:after="0" w:line="343" w:lineRule="auto"/>
        <w:ind w:left="191" w:right="1416" w:firstLine="480"/>
        <w:jc w:val="left"/>
        <w:rPr>
          <w:sz w:val="24"/>
        </w:rPr>
      </w:pPr>
      <w:r>
        <w:rPr>
          <w:spacing w:val="-2"/>
          <w:sz w:val="24"/>
        </w:rPr>
        <w:t>种植前应进行苗木根系修剪，将劈裂根、病虫根、过长根剪除，并根据</w:t>
      </w:r>
      <w:r>
        <w:rPr>
          <w:spacing w:val="-2"/>
          <w:sz w:val="24"/>
        </w:rPr>
        <w:t>根系大小、好坏对树冠。进行修剪，保持地上地下部生长平衡。</w:t>
      </w:r>
    </w:p>
    <w:p>
      <w:pPr>
        <w:pStyle w:val="ListParagraph"/>
        <w:numPr>
          <w:ilvl w:val="2"/>
          <w:numId w:val="5"/>
        </w:numPr>
        <w:tabs>
          <w:tab w:val="left" w:pos="1391"/>
        </w:tabs>
        <w:spacing w:before="1" w:after="0" w:line="240" w:lineRule="auto"/>
        <w:ind w:left="1391" w:right="0" w:hanging="720"/>
        <w:jc w:val="left"/>
        <w:rPr>
          <w:sz w:val="24"/>
        </w:rPr>
      </w:pPr>
      <w:r>
        <w:rPr>
          <w:spacing w:val="-1"/>
          <w:sz w:val="24"/>
        </w:rPr>
        <w:t>乔木类修剪应符合下列规定：</w:t>
      </w:r>
    </w:p>
    <w:p>
      <w:pPr>
        <w:pStyle w:val="ListParagraph"/>
        <w:numPr>
          <w:ilvl w:val="3"/>
          <w:numId w:val="5"/>
        </w:numPr>
        <w:tabs>
          <w:tab w:val="left" w:pos="1631"/>
        </w:tabs>
        <w:spacing w:before="132" w:after="0" w:line="343" w:lineRule="auto"/>
        <w:ind w:left="191" w:right="1296" w:firstLine="480"/>
        <w:jc w:val="left"/>
        <w:rPr>
          <w:sz w:val="24"/>
        </w:rPr>
      </w:pPr>
      <w:r>
        <w:rPr>
          <w:spacing w:val="-2"/>
          <w:sz w:val="24"/>
        </w:rPr>
        <w:t>落叶乔木应保持原有树形，适当疏枝，保持主侧枝分布均匀，对保留</w:t>
      </w:r>
      <w:r>
        <w:rPr>
          <w:spacing w:val="-6"/>
          <w:sz w:val="24"/>
        </w:rPr>
        <w:t xml:space="preserve">的主侧枝应在健壮叶芽上方短截，可剪去枝条 </w:t>
      </w:r>
      <w:r>
        <w:rPr>
          <w:spacing w:val="-4"/>
          <w:sz w:val="24"/>
        </w:rPr>
        <w:t>1/5~2/3，有主尖的乔木应保留主尖，</w:t>
      </w:r>
      <w:r>
        <w:rPr>
          <w:spacing w:val="-2"/>
          <w:sz w:val="24"/>
        </w:rPr>
        <w:t>如银杏只能疏枝，不得短截，国槐、栾树等耐修剪树种不得抹头修剪。</w:t>
      </w:r>
    </w:p>
    <w:p>
      <w:pPr>
        <w:pStyle w:val="ListParagraph"/>
        <w:numPr>
          <w:ilvl w:val="3"/>
          <w:numId w:val="5"/>
        </w:numPr>
        <w:tabs>
          <w:tab w:val="left" w:pos="1631"/>
        </w:tabs>
        <w:spacing w:before="1" w:after="0" w:line="343" w:lineRule="auto"/>
        <w:ind w:left="191" w:right="1416" w:firstLine="480"/>
        <w:jc w:val="left"/>
        <w:rPr>
          <w:sz w:val="24"/>
        </w:rPr>
      </w:pPr>
      <w:r>
        <w:rPr>
          <w:spacing w:val="-2"/>
          <w:sz w:val="24"/>
        </w:rPr>
        <w:t>常绿针叶树，只剪除病虫技、枯死枝、生长衰弱枝、过密的轮生枝和</w:t>
      </w:r>
      <w:r>
        <w:rPr>
          <w:spacing w:val="-4"/>
          <w:sz w:val="24"/>
        </w:rPr>
        <w:t>下垂技。</w:t>
      </w:r>
    </w:p>
    <w:p>
      <w:pPr>
        <w:pStyle w:val="ListParagraph"/>
        <w:numPr>
          <w:ilvl w:val="3"/>
          <w:numId w:val="5"/>
        </w:numPr>
        <w:tabs>
          <w:tab w:val="left" w:pos="1571"/>
        </w:tabs>
        <w:spacing w:before="1" w:after="0" w:line="343" w:lineRule="auto"/>
        <w:ind w:left="191" w:right="1416" w:firstLine="480"/>
        <w:jc w:val="left"/>
        <w:rPr>
          <w:sz w:val="24"/>
        </w:rPr>
      </w:pPr>
      <w:r>
        <w:rPr>
          <w:spacing w:val="-8"/>
          <w:sz w:val="24"/>
        </w:rPr>
        <w:t xml:space="preserve">用作行道树的乔木，分枝点高应大于 </w:t>
      </w:r>
      <w:r>
        <w:rPr>
          <w:spacing w:val="-4"/>
          <w:sz w:val="24"/>
        </w:rPr>
        <w:t>2.8</w:t>
      </w:r>
      <w:r>
        <w:rPr>
          <w:spacing w:val="-55"/>
          <w:sz w:val="24"/>
        </w:rPr>
        <w:t xml:space="preserve"> </w:t>
      </w:r>
      <w:r>
        <w:rPr>
          <w:spacing w:val="-4"/>
          <w:sz w:val="24"/>
        </w:rPr>
        <w:t>m，分枝点以上枝条酌情疏剪</w:t>
      </w:r>
      <w:r>
        <w:rPr>
          <w:spacing w:val="-4"/>
          <w:sz w:val="24"/>
        </w:rPr>
        <w:t>或短截。</w:t>
      </w:r>
    </w:p>
    <w:p>
      <w:pPr>
        <w:pStyle w:val="ListParagraph"/>
        <w:numPr>
          <w:ilvl w:val="2"/>
          <w:numId w:val="5"/>
        </w:numPr>
        <w:tabs>
          <w:tab w:val="left" w:pos="1391"/>
        </w:tabs>
        <w:spacing w:before="0" w:after="0" w:line="240" w:lineRule="auto"/>
        <w:ind w:left="1391" w:right="0" w:hanging="720"/>
        <w:jc w:val="left"/>
        <w:rPr>
          <w:sz w:val="24"/>
        </w:rPr>
      </w:pPr>
      <w:r>
        <w:rPr>
          <w:spacing w:val="-1"/>
          <w:sz w:val="24"/>
        </w:rPr>
        <w:t>灌木及藤木修剪应符合下列规定：</w:t>
      </w:r>
    </w:p>
    <w:p>
      <w:pPr>
        <w:pStyle w:val="ListParagraph"/>
        <w:numPr>
          <w:ilvl w:val="3"/>
          <w:numId w:val="5"/>
        </w:numPr>
        <w:tabs>
          <w:tab w:val="left" w:pos="1631"/>
        </w:tabs>
        <w:spacing w:before="133" w:after="0" w:line="343" w:lineRule="auto"/>
        <w:ind w:left="191" w:right="1416" w:firstLine="480"/>
        <w:jc w:val="left"/>
        <w:rPr>
          <w:sz w:val="24"/>
        </w:rPr>
      </w:pPr>
      <w:r>
        <w:rPr>
          <w:spacing w:val="-2"/>
          <w:sz w:val="24"/>
        </w:rPr>
        <w:t>有明显主干型灌木，修剪时应保持原有树型，主枝分布均匀，主枝短</w:t>
      </w:r>
      <w:r>
        <w:rPr>
          <w:spacing w:val="-6"/>
          <w:sz w:val="24"/>
        </w:rPr>
        <w:t xml:space="preserve">截长度应不超过 </w:t>
      </w:r>
      <w:r>
        <w:rPr>
          <w:sz w:val="24"/>
        </w:rPr>
        <w:t>1/2。</w:t>
      </w:r>
    </w:p>
    <w:p>
      <w:pPr>
        <w:pStyle w:val="ListParagraph"/>
        <w:numPr>
          <w:ilvl w:val="3"/>
          <w:numId w:val="5"/>
        </w:numPr>
        <w:tabs>
          <w:tab w:val="left" w:pos="1631"/>
        </w:tabs>
        <w:spacing w:before="0" w:after="0" w:line="240" w:lineRule="auto"/>
        <w:ind w:left="1631" w:right="0" w:hanging="960"/>
        <w:jc w:val="left"/>
        <w:rPr>
          <w:sz w:val="24"/>
        </w:rPr>
      </w:pPr>
      <w:r>
        <w:rPr>
          <w:spacing w:val="-5"/>
          <w:sz w:val="24"/>
        </w:rPr>
        <w:t xml:space="preserve">丛枝型灌木预留枝条大于 </w:t>
      </w:r>
      <w:r>
        <w:rPr>
          <w:sz w:val="24"/>
        </w:rPr>
        <w:t>30 cm，</w:t>
      </w:r>
      <w:r>
        <w:rPr>
          <w:spacing w:val="-1"/>
          <w:sz w:val="24"/>
        </w:rPr>
        <w:t>多干型灌木适当疏枝。</w:t>
      </w:r>
    </w:p>
    <w:p>
      <w:pPr>
        <w:pStyle w:val="ListParagraph"/>
        <w:numPr>
          <w:ilvl w:val="3"/>
          <w:numId w:val="5"/>
        </w:numPr>
        <w:tabs>
          <w:tab w:val="left" w:pos="1631"/>
        </w:tabs>
        <w:spacing w:before="133" w:after="0" w:line="240" w:lineRule="auto"/>
        <w:ind w:left="1631" w:right="0" w:hanging="960"/>
        <w:jc w:val="left"/>
        <w:rPr>
          <w:sz w:val="24"/>
        </w:rPr>
      </w:pPr>
      <w:r>
        <w:rPr>
          <w:spacing w:val="-1"/>
          <w:sz w:val="24"/>
        </w:rPr>
        <w:t>用作绿篱、色块、造型的苗木，在种植后按设计要求整形修剪。</w:t>
      </w:r>
    </w:p>
    <w:p>
      <w:pPr>
        <w:pStyle w:val="ListParagraph"/>
        <w:numPr>
          <w:ilvl w:val="3"/>
          <w:numId w:val="5"/>
        </w:numPr>
        <w:tabs>
          <w:tab w:val="left" w:pos="1631"/>
        </w:tabs>
        <w:spacing w:before="132" w:after="0" w:line="343" w:lineRule="auto"/>
        <w:ind w:left="191" w:right="1416" w:firstLine="480"/>
        <w:jc w:val="left"/>
        <w:rPr>
          <w:sz w:val="24"/>
        </w:rPr>
      </w:pPr>
      <w:r>
        <w:rPr>
          <w:spacing w:val="-2"/>
          <w:sz w:val="24"/>
        </w:rPr>
        <w:t>藤木类苗木应剪除枯死枝、病虫枝以及影响观瞻部分，上架藤木可剪</w:t>
      </w:r>
      <w:r>
        <w:rPr>
          <w:spacing w:val="-2"/>
          <w:sz w:val="24"/>
        </w:rPr>
        <w:t>除交错枝、横向生长枝。</w:t>
      </w:r>
    </w:p>
    <w:p>
      <w:pPr>
        <w:pStyle w:val="ListParagraph"/>
        <w:numPr>
          <w:ilvl w:val="2"/>
          <w:numId w:val="5"/>
        </w:numPr>
        <w:tabs>
          <w:tab w:val="left" w:pos="1391"/>
        </w:tabs>
        <w:spacing w:before="1" w:after="0" w:line="240" w:lineRule="auto"/>
        <w:ind w:left="1391" w:right="0" w:hanging="720"/>
        <w:jc w:val="left"/>
        <w:rPr>
          <w:sz w:val="24"/>
        </w:rPr>
      </w:pPr>
      <w:r>
        <w:rPr>
          <w:spacing w:val="-1"/>
          <w:sz w:val="24"/>
        </w:rPr>
        <w:t>苗木修剪质量应符合下列规定：</w:t>
      </w:r>
    </w:p>
    <w:p>
      <w:pPr>
        <w:pStyle w:val="ListParagraph"/>
        <w:numPr>
          <w:ilvl w:val="3"/>
          <w:numId w:val="5"/>
        </w:numPr>
        <w:tabs>
          <w:tab w:val="left" w:pos="1631"/>
        </w:tabs>
        <w:spacing w:before="132" w:after="0" w:line="240" w:lineRule="auto"/>
        <w:ind w:left="1631" w:right="0" w:hanging="960"/>
        <w:jc w:val="left"/>
        <w:rPr>
          <w:sz w:val="24"/>
        </w:rPr>
      </w:pPr>
      <w:r>
        <w:rPr>
          <w:spacing w:val="-1"/>
          <w:sz w:val="24"/>
        </w:rPr>
        <w:t>剪口应平滑，不得劈裂。</w:t>
      </w:r>
    </w:p>
    <w:p>
      <w:pPr>
        <w:pStyle w:val="ListParagraph"/>
        <w:numPr>
          <w:ilvl w:val="3"/>
          <w:numId w:val="5"/>
        </w:numPr>
        <w:tabs>
          <w:tab w:val="left" w:pos="1631"/>
        </w:tabs>
        <w:spacing w:before="133" w:after="0" w:line="240" w:lineRule="auto"/>
        <w:ind w:left="1631" w:right="0" w:hanging="960"/>
        <w:jc w:val="left"/>
        <w:rPr>
          <w:sz w:val="24"/>
        </w:rPr>
      </w:pPr>
      <w:r>
        <w:rPr>
          <w:spacing w:val="-3"/>
          <w:sz w:val="24"/>
        </w:rPr>
        <w:t xml:space="preserve">枝条短截时应留外芽，剪口应位于留芽位置上方 </w:t>
      </w:r>
      <w:r>
        <w:rPr>
          <w:sz w:val="24"/>
        </w:rPr>
        <w:t>0.5 cm</w:t>
      </w:r>
      <w:r>
        <w:rPr>
          <w:spacing w:val="-10"/>
          <w:sz w:val="24"/>
        </w:rPr>
        <w:t>。</w:t>
      </w:r>
    </w:p>
    <w:p>
      <w:pPr>
        <w:pStyle w:val="ListParagraph"/>
        <w:numPr>
          <w:ilvl w:val="3"/>
          <w:numId w:val="5"/>
        </w:numPr>
        <w:tabs>
          <w:tab w:val="left" w:pos="1631"/>
        </w:tabs>
        <w:spacing w:before="132" w:after="0" w:line="240" w:lineRule="auto"/>
        <w:ind w:left="1631" w:right="0" w:hanging="960"/>
        <w:jc w:val="left"/>
        <w:rPr>
          <w:sz w:val="24"/>
        </w:rPr>
      </w:pPr>
      <w:r>
        <w:rPr>
          <w:spacing w:val="-12"/>
          <w:sz w:val="24"/>
        </w:rPr>
        <w:t xml:space="preserve">修剪直径 </w:t>
      </w:r>
      <w:r>
        <w:rPr>
          <w:sz w:val="24"/>
        </w:rPr>
        <w:t>2 cm</w:t>
      </w:r>
      <w:r>
        <w:rPr>
          <w:spacing w:val="-9"/>
          <w:sz w:val="24"/>
        </w:rPr>
        <w:t xml:space="preserve"> 以上大枝及粗根时，截口必须削平并涂防腐剂。</w:t>
      </w:r>
    </w:p>
    <w:p>
      <w:pPr>
        <w:pStyle w:val="ListParagraph"/>
        <w:numPr>
          <w:ilvl w:val="2"/>
          <w:numId w:val="5"/>
        </w:numPr>
        <w:tabs>
          <w:tab w:val="left" w:pos="1391"/>
        </w:tabs>
        <w:spacing w:before="133" w:after="0" w:line="343" w:lineRule="auto"/>
        <w:ind w:left="191" w:right="1395" w:firstLine="480"/>
        <w:jc w:val="left"/>
        <w:rPr>
          <w:sz w:val="24"/>
        </w:rPr>
      </w:pPr>
      <w:r>
        <w:rPr>
          <w:spacing w:val="-3"/>
          <w:sz w:val="24"/>
        </w:rPr>
        <w:t>对于生长季移植的落叶树, 根据不同树种在保持树形的前提下应重剪，</w:t>
      </w:r>
      <w:r>
        <w:rPr>
          <w:spacing w:val="-2"/>
          <w:sz w:val="24"/>
        </w:rPr>
        <w:t>保证成活。</w:t>
      </w:r>
    </w:p>
    <w:p>
      <w:pPr>
        <w:pStyle w:val="Heading3"/>
        <w:numPr>
          <w:ilvl w:val="1"/>
          <w:numId w:val="5"/>
        </w:numPr>
        <w:tabs>
          <w:tab w:val="left" w:pos="1094"/>
        </w:tabs>
        <w:spacing w:before="0" w:after="0" w:line="366" w:lineRule="exact"/>
        <w:ind w:left="1093" w:right="0" w:hanging="423"/>
        <w:jc w:val="left"/>
        <w:rPr>
          <w:color w:val="FF0000"/>
        </w:rPr>
      </w:pPr>
      <w:r>
        <w:rPr>
          <w:color w:val="FF0000"/>
          <w:spacing w:val="-3"/>
        </w:rPr>
        <w:t>树木种植</w:t>
      </w:r>
    </w:p>
    <w:p>
      <w:pPr>
        <w:pStyle w:val="ListParagraph"/>
        <w:numPr>
          <w:ilvl w:val="2"/>
          <w:numId w:val="5"/>
        </w:numPr>
        <w:tabs>
          <w:tab w:val="left" w:pos="1331"/>
        </w:tabs>
        <w:spacing w:before="74" w:after="0" w:line="343" w:lineRule="auto"/>
        <w:ind w:left="191" w:right="1416" w:firstLine="480"/>
        <w:jc w:val="left"/>
        <w:rPr>
          <w:sz w:val="24"/>
        </w:rPr>
      </w:pPr>
      <w:r>
        <w:rPr>
          <w:spacing w:val="-2"/>
          <w:sz w:val="24"/>
        </w:rPr>
        <w:t>树木种植应以春季为主，雨季可种植常绿树，耐寒的落叶乔木可于秋季</w:t>
      </w:r>
      <w:r>
        <w:rPr>
          <w:spacing w:val="-2"/>
          <w:sz w:val="24"/>
        </w:rPr>
        <w:t>落叶后种植。</w:t>
      </w:r>
    </w:p>
    <w:p>
      <w:pPr>
        <w:pStyle w:val="ListParagraph"/>
        <w:numPr>
          <w:ilvl w:val="2"/>
          <w:numId w:val="5"/>
        </w:numPr>
        <w:tabs>
          <w:tab w:val="left" w:pos="1391"/>
        </w:tabs>
        <w:spacing w:before="1" w:after="0" w:line="240" w:lineRule="auto"/>
        <w:ind w:left="1391" w:right="0" w:hanging="720"/>
        <w:jc w:val="left"/>
        <w:rPr>
          <w:sz w:val="24"/>
        </w:rPr>
      </w:pPr>
      <w:r>
        <w:rPr>
          <w:spacing w:val="-1"/>
          <w:sz w:val="24"/>
        </w:rPr>
        <w:t>种植施工质量应符合下列规定：</w:t>
      </w:r>
    </w:p>
    <w:p>
      <w:pPr>
        <w:pStyle w:val="ListParagraph"/>
        <w:numPr>
          <w:ilvl w:val="3"/>
          <w:numId w:val="5"/>
        </w:numPr>
        <w:tabs>
          <w:tab w:val="left" w:pos="1631"/>
        </w:tabs>
        <w:spacing w:before="132" w:after="0" w:line="240" w:lineRule="auto"/>
        <w:ind w:left="1631" w:right="0" w:hanging="960"/>
        <w:jc w:val="left"/>
        <w:rPr>
          <w:sz w:val="24"/>
        </w:rPr>
      </w:pPr>
      <w:r>
        <w:rPr>
          <w:spacing w:val="-1"/>
          <w:sz w:val="24"/>
        </w:rPr>
        <w:t>种植应按设计图纸要求核对苗木品种、规格及种植位置。</w:t>
      </w:r>
    </w:p>
    <w:p>
      <w:pPr>
        <w:spacing w:after="0" w:line="240" w:lineRule="auto"/>
        <w:jc w:val="left"/>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https://d.book118.com/925211013142011121</w:t>
        </w:r>
      </w:hyperlink>
    </w:p>
    <w:p>
      <w:pPr>
        <w:spacing w:after="0" w:line="240" w:lineRule="auto"/>
        <w:jc w:val="left"/>
        <w:rPr>
          <w:sz w:val="24"/>
        </w:rPr>
      </w:pPr>
    </w:p>
    <w:sectPr>
      <w:headerReference w:type="default" r:id="rId15"/>
      <w:pgSz w:w="11910" w:h="16840"/>
      <w:pgMar w:top="1140" w:right="0" w:bottom="280" w:left="1680" w:header="873" w:footer="0"/>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仿宋">
    <w:altName w:val="仿宋"/>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49" style="mso-position-horizontal-relative:page;mso-position-vertical-relative:page;position:absolute;z-index:-251658240" from="92.1pt,57.55pt" to="525.9pt,57.55pt" stroked="t" strokecolor="black" strokeweight="0.75pt">
          <v:stroke dashstyle="solid"/>
        </v:line>
      </w:pict>
    </w:r>
    <w:r>
      <w:pict>
        <v:shapetype id="_x0000_t202" coordsize="21600,21600" o:spt="202" path="m,l,21600r21600,l21600,xe">
          <v:stroke joinstyle="miter"/>
          <v:path gradientshapeok="t" o:connecttype="rect"/>
        </v:shapetype>
        <v:shape id="_x0000_s2050" type="#_x0000_t202" style="width:281pt;height:13.15pt;margin-top:43.46pt;margin-left:169.3pt;mso-position-horizontal-relative:page;mso-position-vertical-relative:page;position:absolute;z-index:-251657216" filled="f" stroked="f">
          <v:textbox inset="0,0,0,0">
            <w:txbxContent>
              <w:p>
                <w:pPr>
                  <w:spacing w:before="0" w:line="262" w:lineRule="exact"/>
                  <w:ind w:left="20" w:right="0" w:firstLine="0"/>
                  <w:jc w:val="left"/>
                  <w:rPr>
                    <w:rFonts w:ascii="Microsoft JhengHei" w:eastAsia="Microsoft JhengHei"/>
                    <w:b/>
                    <w:sz w:val="22"/>
                  </w:rPr>
                </w:pPr>
                <w:r>
                  <w:rPr>
                    <w:rFonts w:ascii="Microsoft JhengHei" w:eastAsia="Microsoft JhengHei"/>
                    <w:b/>
                    <w:shadow/>
                    <w:color w:val="FFFFFF"/>
                    <w:sz w:val="22"/>
                  </w:rPr>
                  <w:t>南</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京</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工</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大</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建</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设</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监</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理</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咨</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询</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有</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限</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公</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司</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监</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理</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细</w:t>
                </w:r>
                <w:r>
                  <w:rPr>
                    <w:rFonts w:ascii="Microsoft JhengHei" w:eastAsia="Microsoft JhengHei"/>
                    <w:b/>
                    <w:shadow w:val="0"/>
                    <w:color w:val="FFFFFF"/>
                    <w:spacing w:val="39"/>
                    <w:sz w:val="22"/>
                  </w:rPr>
                  <w:t xml:space="preserve"> </w:t>
                </w:r>
                <w:r>
                  <w:rPr>
                    <w:rFonts w:ascii="Microsoft JhengHei" w:eastAsia="Microsoft JhengHei"/>
                    <w:b/>
                    <w:shadow/>
                    <w:color w:val="FFFFFF"/>
                    <w:spacing w:val="-10"/>
                    <w:sz w:val="22"/>
                  </w:rPr>
                  <w:t>则</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1" style="mso-position-horizontal-relative:page;mso-position-vertical-relative:page;position:absolute;z-index:-251656192" from="92.1pt,57.55pt" to="525.9pt,57.55pt" stroked="t" strokecolor="black" strokeweight="0.75pt">
          <v:stroke dashstyle="solid"/>
        </v:line>
      </w:pict>
    </w:r>
    <w:r>
      <w:pict>
        <v:shapetype id="_x0000_t202" coordsize="21600,21600" o:spt="202" path="m,l,21600r21600,l21600,xe">
          <v:stroke joinstyle="miter"/>
          <v:path gradientshapeok="t" o:connecttype="rect"/>
        </v:shapetype>
        <v:shape id="_x0000_s2052" type="#_x0000_t202" style="width:281pt;height:13.15pt;margin-top:43.46pt;margin-left:169.3pt;mso-position-horizontal-relative:page;mso-position-vertical-relative:page;position:absolute;z-index:-251655168" filled="f" stroked="f">
          <v:textbox inset="0,0,0,0">
            <w:txbxContent>
              <w:p>
                <w:pPr>
                  <w:spacing w:before="0" w:line="262" w:lineRule="exact"/>
                  <w:ind w:left="20" w:right="0" w:firstLine="0"/>
                  <w:jc w:val="left"/>
                  <w:rPr>
                    <w:rFonts w:ascii="Microsoft JhengHei" w:eastAsia="Microsoft JhengHei"/>
                    <w:b/>
                    <w:sz w:val="22"/>
                  </w:rPr>
                </w:pPr>
                <w:r>
                  <w:rPr>
                    <w:rFonts w:ascii="Microsoft JhengHei" w:eastAsia="Microsoft JhengHei"/>
                    <w:b/>
                    <w:shadow/>
                    <w:color w:val="FFFFFF"/>
                    <w:sz w:val="22"/>
                  </w:rPr>
                  <w:t>南</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京</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工</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大</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建</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设</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监</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理</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咨</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询</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有</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限</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公</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司</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监</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理</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细</w:t>
                </w:r>
                <w:r>
                  <w:rPr>
                    <w:rFonts w:ascii="Microsoft JhengHei" w:eastAsia="Microsoft JhengHei"/>
                    <w:b/>
                    <w:shadow w:val="0"/>
                    <w:color w:val="FFFFFF"/>
                    <w:spacing w:val="39"/>
                    <w:sz w:val="22"/>
                  </w:rPr>
                  <w:t xml:space="preserve"> </w:t>
                </w:r>
                <w:r>
                  <w:rPr>
                    <w:rFonts w:ascii="Microsoft JhengHei" w:eastAsia="Microsoft JhengHei"/>
                    <w:b/>
                    <w:shadow/>
                    <w:color w:val="FFFFFF"/>
                    <w:spacing w:val="-10"/>
                    <w:sz w:val="22"/>
                  </w:rPr>
                  <w:t>则</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3" style="mso-position-horizontal-relative:page;mso-position-vertical-relative:page;position:absolute;z-index:-251654144" from="92.1pt,57.55pt" to="525.9pt,57.55pt" stroked="t" strokecolor="black" strokeweight="0.75pt">
          <v:stroke dashstyle="solid"/>
        </v:line>
      </w:pict>
    </w:r>
    <w:r>
      <w:pict>
        <v:shapetype id="_x0000_t202" coordsize="21600,21600" o:spt="202" path="m,l,21600r21600,l21600,xe">
          <v:stroke joinstyle="miter"/>
          <v:path gradientshapeok="t" o:connecttype="rect"/>
        </v:shapetype>
        <v:shape id="_x0000_s2054" type="#_x0000_t202" style="width:281pt;height:13.15pt;margin-top:43.46pt;margin-left:169.3pt;mso-position-horizontal-relative:page;mso-position-vertical-relative:page;position:absolute;z-index:-251653120" filled="f" stroked="f">
          <v:textbox inset="0,0,0,0">
            <w:txbxContent>
              <w:p>
                <w:pPr>
                  <w:spacing w:before="0" w:line="262" w:lineRule="exact"/>
                  <w:ind w:left="20" w:right="0" w:firstLine="0"/>
                  <w:jc w:val="left"/>
                  <w:rPr>
                    <w:rFonts w:ascii="Microsoft JhengHei" w:eastAsia="Microsoft JhengHei"/>
                    <w:b/>
                    <w:sz w:val="22"/>
                  </w:rPr>
                </w:pPr>
                <w:r>
                  <w:rPr>
                    <w:rFonts w:ascii="Microsoft JhengHei" w:eastAsia="Microsoft JhengHei"/>
                    <w:b/>
                    <w:shadow/>
                    <w:color w:val="FFFFFF"/>
                    <w:sz w:val="22"/>
                  </w:rPr>
                  <w:t>南</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京</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工</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大</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建</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设</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监</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理</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咨</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询</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有</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限</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公</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司</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监</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理</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细</w:t>
                </w:r>
                <w:r>
                  <w:rPr>
                    <w:rFonts w:ascii="Microsoft JhengHei" w:eastAsia="Microsoft JhengHei"/>
                    <w:b/>
                    <w:shadow w:val="0"/>
                    <w:color w:val="FFFFFF"/>
                    <w:spacing w:val="39"/>
                    <w:sz w:val="22"/>
                  </w:rPr>
                  <w:t xml:space="preserve"> </w:t>
                </w:r>
                <w:r>
                  <w:rPr>
                    <w:rFonts w:ascii="Microsoft JhengHei" w:eastAsia="Microsoft JhengHei"/>
                    <w:b/>
                    <w:shadow/>
                    <w:color w:val="FFFFFF"/>
                    <w:spacing w:val="-10"/>
                    <w:sz w:val="22"/>
                  </w:rPr>
                  <w:t>则</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5" style="mso-position-horizontal-relative:page;mso-position-vertical-relative:page;position:absolute;z-index:-251652096" from="92.1pt,57.55pt" to="525.9pt,57.55pt" stroked="t" strokecolor="black" strokeweight="0.75pt">
          <v:stroke dashstyle="solid"/>
        </v:line>
      </w:pict>
    </w:r>
    <w:r>
      <w:pict>
        <v:shapetype id="_x0000_t202" coordsize="21600,21600" o:spt="202" path="m,l,21600r21600,l21600,xe">
          <v:stroke joinstyle="miter"/>
          <v:path gradientshapeok="t" o:connecttype="rect"/>
        </v:shapetype>
        <v:shape id="_x0000_s2056" type="#_x0000_t202" style="width:281pt;height:13.15pt;margin-top:43.46pt;margin-left:169.3pt;mso-position-horizontal-relative:page;mso-position-vertical-relative:page;position:absolute;z-index:-251651072" filled="f" stroked="f">
          <v:textbox inset="0,0,0,0">
            <w:txbxContent>
              <w:p>
                <w:pPr>
                  <w:spacing w:before="0" w:line="262" w:lineRule="exact"/>
                  <w:ind w:left="20" w:right="0" w:firstLine="0"/>
                  <w:jc w:val="left"/>
                  <w:rPr>
                    <w:rFonts w:ascii="Microsoft JhengHei" w:eastAsia="Microsoft JhengHei"/>
                    <w:b/>
                    <w:sz w:val="22"/>
                  </w:rPr>
                </w:pPr>
                <w:r>
                  <w:rPr>
                    <w:rFonts w:ascii="Microsoft JhengHei" w:eastAsia="Microsoft JhengHei"/>
                    <w:b/>
                    <w:shadow/>
                    <w:color w:val="FFFFFF"/>
                    <w:sz w:val="22"/>
                  </w:rPr>
                  <w:t>南</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京</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工</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大</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建</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设</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监</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理</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咨</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询</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有</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限</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公</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司</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监</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理</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细</w:t>
                </w:r>
                <w:r>
                  <w:rPr>
                    <w:rFonts w:ascii="Microsoft JhengHei" w:eastAsia="Microsoft JhengHei"/>
                    <w:b/>
                    <w:shadow w:val="0"/>
                    <w:color w:val="FFFFFF"/>
                    <w:spacing w:val="39"/>
                    <w:sz w:val="22"/>
                  </w:rPr>
                  <w:t xml:space="preserve"> </w:t>
                </w:r>
                <w:r>
                  <w:rPr>
                    <w:rFonts w:ascii="Microsoft JhengHei" w:eastAsia="Microsoft JhengHei"/>
                    <w:b/>
                    <w:shadow/>
                    <w:color w:val="FFFFFF"/>
                    <w:spacing w:val="-10"/>
                    <w:sz w:val="22"/>
                  </w:rPr>
                  <w:t>则</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7" style="mso-position-horizontal-relative:page;mso-position-vertical-relative:page;position:absolute;z-index:-251650048" from="92.1pt,57.55pt" to="525.9pt,57.55pt" stroked="t" strokecolor="black" strokeweight="0.75pt">
          <v:stroke dashstyle="solid"/>
        </v:line>
      </w:pict>
    </w:r>
    <w:r>
      <w:pict>
        <v:shapetype id="_x0000_t202" coordsize="21600,21600" o:spt="202" path="m,l,21600r21600,l21600,xe">
          <v:stroke joinstyle="miter"/>
          <v:path gradientshapeok="t" o:connecttype="rect"/>
        </v:shapetype>
        <v:shape id="_x0000_s2058" type="#_x0000_t202" style="width:281pt;height:13.15pt;margin-top:43.46pt;margin-left:169.3pt;mso-position-horizontal-relative:page;mso-position-vertical-relative:page;position:absolute;z-index:-251649024" filled="f" stroked="f">
          <v:textbox inset="0,0,0,0">
            <w:txbxContent>
              <w:p>
                <w:pPr>
                  <w:spacing w:before="0" w:line="262" w:lineRule="exact"/>
                  <w:ind w:left="20" w:right="0" w:firstLine="0"/>
                  <w:jc w:val="left"/>
                  <w:rPr>
                    <w:rFonts w:ascii="Microsoft JhengHei" w:eastAsia="Microsoft JhengHei"/>
                    <w:b/>
                    <w:sz w:val="22"/>
                  </w:rPr>
                </w:pPr>
                <w:r>
                  <w:rPr>
                    <w:rFonts w:ascii="Microsoft JhengHei" w:eastAsia="Microsoft JhengHei"/>
                    <w:b/>
                    <w:shadow/>
                    <w:color w:val="FFFFFF"/>
                    <w:sz w:val="22"/>
                  </w:rPr>
                  <w:t>南</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京</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工</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大</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建</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设</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监</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理</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咨</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询</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有</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限</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公</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司</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监</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理</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细</w:t>
                </w:r>
                <w:r>
                  <w:rPr>
                    <w:rFonts w:ascii="Microsoft JhengHei" w:eastAsia="Microsoft JhengHei"/>
                    <w:b/>
                    <w:shadow w:val="0"/>
                    <w:color w:val="FFFFFF"/>
                    <w:spacing w:val="39"/>
                    <w:sz w:val="22"/>
                  </w:rPr>
                  <w:t xml:space="preserve"> </w:t>
                </w:r>
                <w:r>
                  <w:rPr>
                    <w:rFonts w:ascii="Microsoft JhengHei" w:eastAsia="Microsoft JhengHei"/>
                    <w:b/>
                    <w:shadow/>
                    <w:color w:val="FFFFFF"/>
                    <w:spacing w:val="-10"/>
                    <w:sz w:val="22"/>
                  </w:rPr>
                  <w:t>则</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59" style="mso-position-horizontal-relative:page;mso-position-vertical-relative:page;position:absolute;z-index:-251648000" from="92.1pt,57.55pt" to="525.9pt,57.55pt" stroked="t" strokecolor="black" strokeweight="0.75pt">
          <v:stroke dashstyle="solid"/>
        </v:line>
      </w:pict>
    </w:r>
    <w:r>
      <w:pict>
        <v:shapetype id="_x0000_t202" coordsize="21600,21600" o:spt="202" path="m,l,21600r21600,l21600,xe">
          <v:stroke joinstyle="miter"/>
          <v:path gradientshapeok="t" o:connecttype="rect"/>
        </v:shapetype>
        <v:shape id="_x0000_s2060" type="#_x0000_t202" style="width:281pt;height:13.15pt;margin-top:43.46pt;margin-left:169.3pt;mso-position-horizontal-relative:page;mso-position-vertical-relative:page;position:absolute;z-index:-251646976" filled="f" stroked="f">
          <v:textbox inset="0,0,0,0">
            <w:txbxContent>
              <w:p>
                <w:pPr>
                  <w:spacing w:before="0" w:line="262" w:lineRule="exact"/>
                  <w:ind w:left="20" w:right="0" w:firstLine="0"/>
                  <w:jc w:val="left"/>
                  <w:rPr>
                    <w:rFonts w:ascii="Microsoft JhengHei" w:eastAsia="Microsoft JhengHei"/>
                    <w:b/>
                    <w:sz w:val="22"/>
                  </w:rPr>
                </w:pPr>
                <w:r>
                  <w:rPr>
                    <w:rFonts w:ascii="Microsoft JhengHei" w:eastAsia="Microsoft JhengHei"/>
                    <w:b/>
                    <w:shadow/>
                    <w:color w:val="FFFFFF"/>
                    <w:sz w:val="22"/>
                  </w:rPr>
                  <w:t>南</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京</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工</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大</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建</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设</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监</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理</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咨</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询</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有</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限</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公</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司</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监</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理</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细</w:t>
                </w:r>
                <w:r>
                  <w:rPr>
                    <w:rFonts w:ascii="Microsoft JhengHei" w:eastAsia="Microsoft JhengHei"/>
                    <w:b/>
                    <w:shadow w:val="0"/>
                    <w:color w:val="FFFFFF"/>
                    <w:spacing w:val="39"/>
                    <w:sz w:val="22"/>
                  </w:rPr>
                  <w:t xml:space="preserve"> </w:t>
                </w:r>
                <w:r>
                  <w:rPr>
                    <w:rFonts w:ascii="Microsoft JhengHei" w:eastAsia="Microsoft JhengHei"/>
                    <w:b/>
                    <w:shadow/>
                    <w:color w:val="FFFFFF"/>
                    <w:spacing w:val="-10"/>
                    <w:sz w:val="22"/>
                  </w:rPr>
                  <w:t>则</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61" style="mso-position-horizontal-relative:page;mso-position-vertical-relative:page;position:absolute;z-index:-251645952" from="92.1pt,57.55pt" to="525.9pt,57.55pt" stroked="t" strokecolor="black" strokeweight="0.75pt">
          <v:stroke dashstyle="solid"/>
        </v:line>
      </w:pict>
    </w:r>
    <w:r>
      <w:pict>
        <v:shapetype id="_x0000_t202" coordsize="21600,21600" o:spt="202" path="m,l,21600r21600,l21600,xe">
          <v:stroke joinstyle="miter"/>
          <v:path gradientshapeok="t" o:connecttype="rect"/>
        </v:shapetype>
        <v:shape id="_x0000_s2062" type="#_x0000_t202" style="width:281pt;height:13.15pt;margin-top:43.46pt;margin-left:169.3pt;mso-position-horizontal-relative:page;mso-position-vertical-relative:page;position:absolute;z-index:-251644928" filled="f" stroked="f">
          <v:textbox inset="0,0,0,0">
            <w:txbxContent>
              <w:p>
                <w:pPr>
                  <w:spacing w:before="0" w:line="262" w:lineRule="exact"/>
                  <w:ind w:left="20" w:right="0" w:firstLine="0"/>
                  <w:jc w:val="left"/>
                  <w:rPr>
                    <w:rFonts w:ascii="Microsoft JhengHei" w:eastAsia="Microsoft JhengHei"/>
                    <w:b/>
                    <w:sz w:val="22"/>
                  </w:rPr>
                </w:pPr>
                <w:r>
                  <w:rPr>
                    <w:rFonts w:ascii="Microsoft JhengHei" w:eastAsia="Microsoft JhengHei"/>
                    <w:b/>
                    <w:shadow/>
                    <w:color w:val="FFFFFF"/>
                    <w:sz w:val="22"/>
                  </w:rPr>
                  <w:t>南</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京</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工</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大</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建</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设</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监</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理</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咨</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询</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有</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限</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公</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司</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监</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理</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细</w:t>
                </w:r>
                <w:r>
                  <w:rPr>
                    <w:rFonts w:ascii="Microsoft JhengHei" w:eastAsia="Microsoft JhengHei"/>
                    <w:b/>
                    <w:shadow w:val="0"/>
                    <w:color w:val="FFFFFF"/>
                    <w:spacing w:val="39"/>
                    <w:sz w:val="22"/>
                  </w:rPr>
                  <w:t xml:space="preserve"> </w:t>
                </w:r>
                <w:r>
                  <w:rPr>
                    <w:rFonts w:ascii="Microsoft JhengHei" w:eastAsia="Microsoft JhengHei"/>
                    <w:b/>
                    <w:shadow/>
                    <w:color w:val="FFFFFF"/>
                    <w:spacing w:val="-10"/>
                    <w:sz w:val="22"/>
                  </w:rPr>
                  <w:t>则</w:t>
                </w:r>
              </w:p>
            </w:txbxContent>
          </v:textbox>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63" style="mso-position-horizontal-relative:page;mso-position-vertical-relative:page;position:absolute;z-index:-251643904" from="92.1pt,57.55pt" to="525.9pt,57.55pt" stroked="t" strokecolor="black" strokeweight="0.75pt">
          <v:stroke dashstyle="solid"/>
        </v:line>
      </w:pict>
    </w:r>
    <w:r>
      <w:pict>
        <v:shapetype id="_x0000_t202" coordsize="21600,21600" o:spt="202" path="m,l,21600r21600,l21600,xe">
          <v:stroke joinstyle="miter"/>
          <v:path gradientshapeok="t" o:connecttype="rect"/>
        </v:shapetype>
        <v:shape id="_x0000_s2064" type="#_x0000_t202" style="width:281pt;height:13.15pt;margin-top:43.46pt;margin-left:169.3pt;mso-position-horizontal-relative:page;mso-position-vertical-relative:page;position:absolute;z-index:-251642880" filled="f" stroked="f">
          <v:textbox inset="0,0,0,0">
            <w:txbxContent>
              <w:p>
                <w:pPr>
                  <w:spacing w:before="0" w:line="262" w:lineRule="exact"/>
                  <w:ind w:left="20" w:right="0" w:firstLine="0"/>
                  <w:jc w:val="left"/>
                  <w:rPr>
                    <w:rFonts w:ascii="Microsoft JhengHei" w:eastAsia="Microsoft JhengHei"/>
                    <w:b/>
                    <w:sz w:val="22"/>
                  </w:rPr>
                </w:pPr>
                <w:r>
                  <w:rPr>
                    <w:rFonts w:ascii="Microsoft JhengHei" w:eastAsia="Microsoft JhengHei"/>
                    <w:b/>
                    <w:shadow/>
                    <w:color w:val="FFFFFF"/>
                    <w:sz w:val="22"/>
                  </w:rPr>
                  <w:t>南</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京</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工</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大</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建</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设</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监</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理</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咨</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询</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有</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限</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公</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司</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监</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理</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细</w:t>
                </w:r>
                <w:r>
                  <w:rPr>
                    <w:rFonts w:ascii="Microsoft JhengHei" w:eastAsia="Microsoft JhengHei"/>
                    <w:b/>
                    <w:shadow w:val="0"/>
                    <w:color w:val="FFFFFF"/>
                    <w:spacing w:val="39"/>
                    <w:sz w:val="22"/>
                  </w:rPr>
                  <w:t xml:space="preserve"> </w:t>
                </w:r>
                <w:r>
                  <w:rPr>
                    <w:rFonts w:ascii="Microsoft JhengHei" w:eastAsia="Microsoft JhengHei"/>
                    <w:b/>
                    <w:shadow/>
                    <w:color w:val="FFFFFF"/>
                    <w:spacing w:val="-10"/>
                    <w:sz w:val="22"/>
                  </w:rPr>
                  <w:t>则</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65" style="mso-position-horizontal-relative:page;mso-position-vertical-relative:page;position:absolute;z-index:-251641856" from="92.1pt,57.55pt" to="525.9pt,57.55pt" stroked="t" strokecolor="black" strokeweight="0.75pt">
          <v:stroke dashstyle="solid"/>
        </v:line>
      </w:pict>
    </w:r>
    <w:r>
      <w:pict>
        <v:shapetype id="_x0000_t202" coordsize="21600,21600" o:spt="202" path="m,l,21600r21600,l21600,xe">
          <v:stroke joinstyle="miter"/>
          <v:path gradientshapeok="t" o:connecttype="rect"/>
        </v:shapetype>
        <v:shape id="_x0000_s2066" type="#_x0000_t202" style="width:281pt;height:13.15pt;margin-top:43.46pt;margin-left:169.3pt;mso-position-horizontal-relative:page;mso-position-vertical-relative:page;position:absolute;z-index:-251640832" filled="f" stroked="f">
          <v:textbox inset="0,0,0,0">
            <w:txbxContent>
              <w:p>
                <w:pPr>
                  <w:spacing w:before="0" w:line="262" w:lineRule="exact"/>
                  <w:ind w:left="20" w:right="0" w:firstLine="0"/>
                  <w:jc w:val="left"/>
                  <w:rPr>
                    <w:rFonts w:ascii="Microsoft JhengHei" w:eastAsia="Microsoft JhengHei"/>
                    <w:b/>
                    <w:sz w:val="22"/>
                  </w:rPr>
                </w:pPr>
                <w:r>
                  <w:rPr>
                    <w:rFonts w:ascii="Microsoft JhengHei" w:eastAsia="Microsoft JhengHei"/>
                    <w:b/>
                    <w:shadow/>
                    <w:color w:val="FFFFFF"/>
                    <w:sz w:val="22"/>
                  </w:rPr>
                  <w:t>南</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京</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工</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大</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建</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设</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监</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理</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咨</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询</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有</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限</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公</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司</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监</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理</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细</w:t>
                </w:r>
                <w:r>
                  <w:rPr>
                    <w:rFonts w:ascii="Microsoft JhengHei" w:eastAsia="Microsoft JhengHei"/>
                    <w:b/>
                    <w:shadow w:val="0"/>
                    <w:color w:val="FFFFFF"/>
                    <w:spacing w:val="39"/>
                    <w:sz w:val="22"/>
                  </w:rPr>
                  <w:t xml:space="preserve"> </w:t>
                </w:r>
                <w:r>
                  <w:rPr>
                    <w:rFonts w:ascii="Microsoft JhengHei" w:eastAsia="Microsoft JhengHei"/>
                    <w:b/>
                    <w:shadow/>
                    <w:color w:val="FFFFFF"/>
                    <w:spacing w:val="-10"/>
                    <w:sz w:val="22"/>
                  </w:rPr>
                  <w:t>则</w:t>
                </w:r>
              </w:p>
            </w:txbxContent>
          </v:textbox>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line id="_x0000_s2067" style="mso-position-horizontal-relative:page;mso-position-vertical-relative:page;position:absolute;z-index:-251639808" from="92.1pt,57.55pt" to="525.9pt,57.55pt" stroked="t" strokecolor="black" strokeweight="0.75pt">
          <v:stroke dashstyle="solid"/>
        </v:line>
      </w:pict>
    </w:r>
    <w:r>
      <w:pict>
        <v:shapetype id="_x0000_t202" coordsize="21600,21600" o:spt="202" path="m,l,21600r21600,l21600,xe">
          <v:stroke joinstyle="miter"/>
          <v:path gradientshapeok="t" o:connecttype="rect"/>
        </v:shapetype>
        <v:shape id="_x0000_s2068" type="#_x0000_t202" style="width:281pt;height:13.15pt;margin-top:43.46pt;margin-left:169.3pt;mso-position-horizontal-relative:page;mso-position-vertical-relative:page;position:absolute;z-index:-251638784" filled="f" stroked="f">
          <v:textbox inset="0,0,0,0">
            <w:txbxContent>
              <w:p>
                <w:pPr>
                  <w:spacing w:before="0" w:line="262" w:lineRule="exact"/>
                  <w:ind w:left="20" w:right="0" w:firstLine="0"/>
                  <w:jc w:val="left"/>
                  <w:rPr>
                    <w:rFonts w:ascii="Microsoft JhengHei" w:eastAsia="Microsoft JhengHei"/>
                    <w:b/>
                    <w:sz w:val="22"/>
                  </w:rPr>
                </w:pPr>
                <w:r>
                  <w:rPr>
                    <w:rFonts w:ascii="Microsoft JhengHei" w:eastAsia="Microsoft JhengHei"/>
                    <w:b/>
                    <w:shadow/>
                    <w:color w:val="FFFFFF"/>
                    <w:sz w:val="22"/>
                  </w:rPr>
                  <w:t>南</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京</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工</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大</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建</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设</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监</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理</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咨</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询</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有</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限</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公</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司</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监</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理</w:t>
                </w:r>
                <w:r>
                  <w:rPr>
                    <w:rFonts w:ascii="Microsoft JhengHei" w:eastAsia="Microsoft JhengHei"/>
                    <w:b/>
                    <w:shadow w:val="0"/>
                    <w:color w:val="FFFFFF"/>
                    <w:spacing w:val="39"/>
                    <w:sz w:val="22"/>
                  </w:rPr>
                  <w:t xml:space="preserve"> </w:t>
                </w:r>
                <w:r>
                  <w:rPr>
                    <w:rFonts w:ascii="Microsoft JhengHei" w:eastAsia="Microsoft JhengHei"/>
                    <w:b/>
                    <w:shadow/>
                    <w:color w:val="FFFFFF"/>
                    <w:sz w:val="22"/>
                  </w:rPr>
                  <w:t>细</w:t>
                </w:r>
                <w:r>
                  <w:rPr>
                    <w:rFonts w:ascii="Microsoft JhengHei" w:eastAsia="Microsoft JhengHei"/>
                    <w:b/>
                    <w:shadow w:val="0"/>
                    <w:color w:val="FFFFFF"/>
                    <w:spacing w:val="39"/>
                    <w:sz w:val="22"/>
                  </w:rPr>
                  <w:t xml:space="preserve"> </w:t>
                </w:r>
                <w:r>
                  <w:rPr>
                    <w:rFonts w:ascii="Microsoft JhengHei" w:eastAsia="Microsoft JhengHei"/>
                    <w:b/>
                    <w:shadow/>
                    <w:color w:val="FFFFFF"/>
                    <w:spacing w:val="-10"/>
                    <w:sz w:val="22"/>
                  </w:rPr>
                  <w:t>则</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A63B8EB"/>
    <w:multiLevelType w:val="hybridMultilevel"/>
    <w:tmpl w:val="00000000"/>
    <w:lvl w:ilvl="0">
      <w:start w:val="5"/>
      <w:numFmt w:val="decimal"/>
      <w:lvlText w:val="%1"/>
      <w:lvlJc w:val="left"/>
      <w:pPr>
        <w:ind w:left="1274" w:hanging="604"/>
        <w:jc w:val="left"/>
      </w:pPr>
      <w:rPr>
        <w:rFonts w:hint="default"/>
        <w:lang w:val="en-US" w:eastAsia="zh-CN" w:bidi="ar-SA"/>
      </w:rPr>
    </w:lvl>
    <w:lvl w:ilvl="1">
      <w:start w:val="12"/>
      <w:numFmt w:val="decimal"/>
      <w:lvlText w:val="%1.%2"/>
      <w:lvlJc w:val="left"/>
      <w:pPr>
        <w:ind w:left="1274" w:hanging="604"/>
        <w:jc w:val="left"/>
      </w:pPr>
      <w:rPr>
        <w:rFonts w:hint="default"/>
        <w:w w:val="81"/>
        <w:lang w:val="en-US" w:eastAsia="zh-CN" w:bidi="ar-SA"/>
      </w:rPr>
    </w:lvl>
    <w:lvl w:ilvl="2">
      <w:start w:val="1"/>
      <w:numFmt w:val="decimal"/>
      <w:lvlText w:val="%1.%2.%3"/>
      <w:lvlJc w:val="left"/>
      <w:pPr>
        <w:ind w:left="1511" w:hanging="840"/>
        <w:jc w:val="left"/>
      </w:pPr>
      <w:rPr>
        <w:rFonts w:ascii="宋体" w:eastAsia="宋体" w:hAnsi="宋体" w:cs="宋体" w:hint="default"/>
        <w:b w:val="0"/>
        <w:bCs w:val="0"/>
        <w:i w:val="0"/>
        <w:iCs w:val="0"/>
        <w:w w:val="100"/>
        <w:sz w:val="24"/>
        <w:szCs w:val="24"/>
        <w:lang w:val="en-US" w:eastAsia="zh-CN" w:bidi="ar-SA"/>
      </w:rPr>
    </w:lvl>
    <w:lvl w:ilvl="3">
      <w:start w:val="1"/>
      <w:numFmt w:val="decimal"/>
      <w:lvlText w:val="%1.%2.%3.%4"/>
      <w:lvlJc w:val="left"/>
      <w:pPr>
        <w:ind w:left="191" w:hanging="1020"/>
        <w:jc w:val="left"/>
      </w:pPr>
      <w:rPr>
        <w:rFonts w:ascii="宋体" w:eastAsia="宋体" w:hAnsi="宋体" w:cs="宋体" w:hint="default"/>
        <w:b w:val="0"/>
        <w:bCs w:val="0"/>
        <w:i w:val="0"/>
        <w:iCs w:val="0"/>
        <w:w w:val="100"/>
        <w:sz w:val="24"/>
        <w:szCs w:val="24"/>
        <w:lang w:val="en-US" w:eastAsia="zh-CN" w:bidi="ar-SA"/>
      </w:rPr>
    </w:lvl>
    <w:lvl w:ilvl="4">
      <w:start w:val="0"/>
      <w:numFmt w:val="bullet"/>
      <w:lvlText w:val="•"/>
      <w:lvlJc w:val="left"/>
      <w:pPr>
        <w:ind w:left="2969" w:hanging="1020"/>
      </w:pPr>
      <w:rPr>
        <w:rFonts w:hint="default"/>
        <w:lang w:val="en-US" w:eastAsia="zh-CN" w:bidi="ar-SA"/>
      </w:rPr>
    </w:lvl>
    <w:lvl w:ilvl="5">
      <w:start w:val="0"/>
      <w:numFmt w:val="bullet"/>
      <w:lvlText w:val="•"/>
      <w:lvlJc w:val="left"/>
      <w:pPr>
        <w:ind w:left="4179" w:hanging="1020"/>
      </w:pPr>
      <w:rPr>
        <w:rFonts w:hint="default"/>
        <w:lang w:val="en-US" w:eastAsia="zh-CN" w:bidi="ar-SA"/>
      </w:rPr>
    </w:lvl>
    <w:lvl w:ilvl="6">
      <w:start w:val="0"/>
      <w:numFmt w:val="bullet"/>
      <w:lvlText w:val="•"/>
      <w:lvlJc w:val="left"/>
      <w:pPr>
        <w:ind w:left="5388" w:hanging="1020"/>
      </w:pPr>
      <w:rPr>
        <w:rFonts w:hint="default"/>
        <w:lang w:val="en-US" w:eastAsia="zh-CN" w:bidi="ar-SA"/>
      </w:rPr>
    </w:lvl>
    <w:lvl w:ilvl="7">
      <w:start w:val="0"/>
      <w:numFmt w:val="bullet"/>
      <w:lvlText w:val="•"/>
      <w:lvlJc w:val="left"/>
      <w:pPr>
        <w:ind w:left="6598" w:hanging="1020"/>
      </w:pPr>
      <w:rPr>
        <w:rFonts w:hint="default"/>
        <w:lang w:val="en-US" w:eastAsia="zh-CN" w:bidi="ar-SA"/>
      </w:rPr>
    </w:lvl>
    <w:lvl w:ilvl="8">
      <w:start w:val="0"/>
      <w:numFmt w:val="bullet"/>
      <w:lvlText w:val="•"/>
      <w:lvlJc w:val="left"/>
      <w:pPr>
        <w:ind w:left="7807" w:hanging="1020"/>
      </w:pPr>
      <w:rPr>
        <w:rFonts w:hint="default"/>
        <w:lang w:val="en-US" w:eastAsia="zh-CN" w:bidi="ar-SA"/>
      </w:rPr>
    </w:lvl>
  </w:abstractNum>
  <w:abstractNum w:abstractNumId="1">
    <w:nsid w:val="1D5B560B"/>
    <w:multiLevelType w:val="hybridMultilevel"/>
    <w:tmpl w:val="00000000"/>
    <w:lvl w:ilvl="0">
      <w:start w:val="1"/>
      <w:numFmt w:val="decimal"/>
      <w:lvlText w:val="（%1）"/>
      <w:lvlJc w:val="left"/>
      <w:pPr>
        <w:ind w:left="191" w:hanging="701"/>
        <w:jc w:val="right"/>
      </w:pPr>
      <w:rPr>
        <w:rFonts w:ascii="宋体" w:eastAsia="宋体" w:hAnsi="宋体" w:cs="宋体" w:hint="default"/>
        <w:b w:val="0"/>
        <w:bCs w:val="0"/>
        <w:i w:val="0"/>
        <w:iCs w:val="0"/>
        <w:spacing w:val="-21"/>
        <w:w w:val="100"/>
        <w:sz w:val="26"/>
        <w:szCs w:val="26"/>
        <w:lang w:val="en-US" w:eastAsia="zh-CN" w:bidi="ar-SA"/>
      </w:rPr>
    </w:lvl>
    <w:lvl w:ilvl="1">
      <w:start w:val="0"/>
      <w:numFmt w:val="bullet"/>
      <w:lvlText w:val="•"/>
      <w:lvlJc w:val="left"/>
      <w:pPr>
        <w:ind w:left="1202" w:hanging="701"/>
      </w:pPr>
      <w:rPr>
        <w:rFonts w:hint="default"/>
        <w:lang w:val="en-US" w:eastAsia="zh-CN" w:bidi="ar-SA"/>
      </w:rPr>
    </w:lvl>
    <w:lvl w:ilvl="2">
      <w:start w:val="0"/>
      <w:numFmt w:val="bullet"/>
      <w:lvlText w:val="•"/>
      <w:lvlJc w:val="left"/>
      <w:pPr>
        <w:ind w:left="2205" w:hanging="701"/>
      </w:pPr>
      <w:rPr>
        <w:rFonts w:hint="default"/>
        <w:lang w:val="en-US" w:eastAsia="zh-CN" w:bidi="ar-SA"/>
      </w:rPr>
    </w:lvl>
    <w:lvl w:ilvl="3">
      <w:start w:val="0"/>
      <w:numFmt w:val="bullet"/>
      <w:lvlText w:val="•"/>
      <w:lvlJc w:val="left"/>
      <w:pPr>
        <w:ind w:left="3208" w:hanging="701"/>
      </w:pPr>
      <w:rPr>
        <w:rFonts w:hint="default"/>
        <w:lang w:val="en-US" w:eastAsia="zh-CN" w:bidi="ar-SA"/>
      </w:rPr>
    </w:lvl>
    <w:lvl w:ilvl="4">
      <w:start w:val="0"/>
      <w:numFmt w:val="bullet"/>
      <w:lvlText w:val="•"/>
      <w:lvlJc w:val="left"/>
      <w:pPr>
        <w:ind w:left="4210" w:hanging="701"/>
      </w:pPr>
      <w:rPr>
        <w:rFonts w:hint="default"/>
        <w:lang w:val="en-US" w:eastAsia="zh-CN" w:bidi="ar-SA"/>
      </w:rPr>
    </w:lvl>
    <w:lvl w:ilvl="5">
      <w:start w:val="0"/>
      <w:numFmt w:val="bullet"/>
      <w:lvlText w:val="•"/>
      <w:lvlJc w:val="left"/>
      <w:pPr>
        <w:ind w:left="5213" w:hanging="701"/>
      </w:pPr>
      <w:rPr>
        <w:rFonts w:hint="default"/>
        <w:lang w:val="en-US" w:eastAsia="zh-CN" w:bidi="ar-SA"/>
      </w:rPr>
    </w:lvl>
    <w:lvl w:ilvl="6">
      <w:start w:val="0"/>
      <w:numFmt w:val="bullet"/>
      <w:lvlText w:val="•"/>
      <w:lvlJc w:val="left"/>
      <w:pPr>
        <w:ind w:left="6216" w:hanging="701"/>
      </w:pPr>
      <w:rPr>
        <w:rFonts w:hint="default"/>
        <w:lang w:val="en-US" w:eastAsia="zh-CN" w:bidi="ar-SA"/>
      </w:rPr>
    </w:lvl>
    <w:lvl w:ilvl="7">
      <w:start w:val="0"/>
      <w:numFmt w:val="bullet"/>
      <w:lvlText w:val="•"/>
      <w:lvlJc w:val="left"/>
      <w:pPr>
        <w:ind w:left="7218" w:hanging="701"/>
      </w:pPr>
      <w:rPr>
        <w:rFonts w:hint="default"/>
        <w:lang w:val="en-US" w:eastAsia="zh-CN" w:bidi="ar-SA"/>
      </w:rPr>
    </w:lvl>
    <w:lvl w:ilvl="8">
      <w:start w:val="0"/>
      <w:numFmt w:val="bullet"/>
      <w:lvlText w:val="•"/>
      <w:lvlJc w:val="left"/>
      <w:pPr>
        <w:ind w:left="8221" w:hanging="701"/>
      </w:pPr>
      <w:rPr>
        <w:rFonts w:hint="default"/>
        <w:lang w:val="en-US" w:eastAsia="zh-CN" w:bidi="ar-SA"/>
      </w:rPr>
    </w:lvl>
  </w:abstractNum>
  <w:abstractNum w:abstractNumId="2">
    <w:nsid w:val="37A4645E"/>
    <w:multiLevelType w:val="hybridMultilevel"/>
    <w:tmpl w:val="00000000"/>
    <w:lvl w:ilvl="0">
      <w:start w:val="1"/>
      <w:numFmt w:val="decimal"/>
      <w:lvlText w:val="%1."/>
      <w:lvlJc w:val="left"/>
      <w:pPr>
        <w:ind w:left="552" w:hanging="362"/>
        <w:jc w:val="left"/>
      </w:pPr>
      <w:rPr>
        <w:rFonts w:ascii="Microsoft JhengHei" w:eastAsia="Microsoft JhengHei" w:hAnsi="Microsoft JhengHei" w:cs="Microsoft JhengHei" w:hint="default"/>
        <w:b/>
        <w:bCs/>
        <w:i w:val="0"/>
        <w:iCs w:val="0"/>
        <w:w w:val="83"/>
        <w:sz w:val="24"/>
        <w:szCs w:val="24"/>
        <w:lang w:val="en-US" w:eastAsia="zh-CN" w:bidi="ar-SA"/>
      </w:rPr>
    </w:lvl>
    <w:lvl w:ilvl="1">
      <w:start w:val="1"/>
      <w:numFmt w:val="decimal"/>
      <w:lvlText w:val="%1.%2"/>
      <w:lvlJc w:val="left"/>
      <w:pPr>
        <w:ind w:left="731" w:hanging="423"/>
        <w:jc w:val="right"/>
      </w:pPr>
      <w:rPr>
        <w:rFonts w:hint="default"/>
        <w:w w:val="81"/>
        <w:lang w:val="en-US" w:eastAsia="zh-CN" w:bidi="ar-SA"/>
      </w:rPr>
    </w:lvl>
    <w:lvl w:ilvl="2">
      <w:start w:val="1"/>
      <w:numFmt w:val="decimal"/>
      <w:lvlText w:val="%1.%2.%3"/>
      <w:lvlJc w:val="left"/>
      <w:pPr>
        <w:ind w:left="1152" w:hanging="423"/>
        <w:jc w:val="left"/>
      </w:pPr>
      <w:rPr>
        <w:rFonts w:ascii="宋体" w:eastAsia="宋体" w:hAnsi="宋体" w:cs="宋体" w:hint="default"/>
        <w:b w:val="0"/>
        <w:bCs w:val="0"/>
        <w:i w:val="0"/>
        <w:iCs w:val="0"/>
        <w:w w:val="100"/>
        <w:sz w:val="22"/>
        <w:szCs w:val="22"/>
        <w:lang w:val="en-US" w:eastAsia="zh-CN" w:bidi="ar-SA"/>
      </w:rPr>
    </w:lvl>
    <w:lvl w:ilvl="3">
      <w:start w:val="1"/>
      <w:numFmt w:val="decimal"/>
      <w:lvlText w:val="%1.%2.%3.%4"/>
      <w:lvlJc w:val="left"/>
      <w:pPr>
        <w:ind w:left="1331" w:hanging="900"/>
        <w:jc w:val="left"/>
      </w:pPr>
      <w:rPr>
        <w:rFonts w:ascii="宋体" w:eastAsia="宋体" w:hAnsi="宋体" w:cs="宋体" w:hint="default"/>
        <w:b w:val="0"/>
        <w:bCs w:val="0"/>
        <w:i w:val="0"/>
        <w:iCs w:val="0"/>
        <w:w w:val="100"/>
        <w:sz w:val="24"/>
        <w:szCs w:val="24"/>
        <w:lang w:val="en-US" w:eastAsia="zh-CN" w:bidi="ar-SA"/>
      </w:rPr>
    </w:lvl>
    <w:lvl w:ilvl="4">
      <w:start w:val="0"/>
      <w:numFmt w:val="bullet"/>
      <w:lvlText w:val="•"/>
      <w:lvlJc w:val="left"/>
      <w:pPr>
        <w:ind w:left="1160" w:hanging="900"/>
      </w:pPr>
      <w:rPr>
        <w:rFonts w:hint="default"/>
        <w:lang w:val="en-US" w:eastAsia="zh-CN" w:bidi="ar-SA"/>
      </w:rPr>
    </w:lvl>
    <w:lvl w:ilvl="5">
      <w:start w:val="0"/>
      <w:numFmt w:val="bullet"/>
      <w:lvlText w:val="•"/>
      <w:lvlJc w:val="left"/>
      <w:pPr>
        <w:ind w:left="1220" w:hanging="900"/>
      </w:pPr>
      <w:rPr>
        <w:rFonts w:hint="default"/>
        <w:lang w:val="en-US" w:eastAsia="zh-CN" w:bidi="ar-SA"/>
      </w:rPr>
    </w:lvl>
    <w:lvl w:ilvl="6">
      <w:start w:val="0"/>
      <w:numFmt w:val="bullet"/>
      <w:lvlText w:val="•"/>
      <w:lvlJc w:val="left"/>
      <w:pPr>
        <w:ind w:left="1340" w:hanging="900"/>
      </w:pPr>
      <w:rPr>
        <w:rFonts w:hint="default"/>
        <w:lang w:val="en-US" w:eastAsia="zh-CN" w:bidi="ar-SA"/>
      </w:rPr>
    </w:lvl>
    <w:lvl w:ilvl="7">
      <w:start w:val="0"/>
      <w:numFmt w:val="bullet"/>
      <w:lvlText w:val="•"/>
      <w:lvlJc w:val="left"/>
      <w:pPr>
        <w:ind w:left="1400" w:hanging="900"/>
      </w:pPr>
      <w:rPr>
        <w:rFonts w:hint="default"/>
        <w:lang w:val="en-US" w:eastAsia="zh-CN" w:bidi="ar-SA"/>
      </w:rPr>
    </w:lvl>
    <w:lvl w:ilvl="8">
      <w:start w:val="0"/>
      <w:numFmt w:val="bullet"/>
      <w:lvlText w:val="•"/>
      <w:lvlJc w:val="left"/>
      <w:pPr>
        <w:ind w:left="1520" w:hanging="900"/>
      </w:pPr>
      <w:rPr>
        <w:rFonts w:hint="default"/>
        <w:lang w:val="en-US" w:eastAsia="zh-CN" w:bidi="ar-SA"/>
      </w:rPr>
    </w:lvl>
  </w:abstractNum>
  <w:abstractNum w:abstractNumId="3">
    <w:nsid w:val="47A2D0C1"/>
    <w:multiLevelType w:val="hybridMultilevel"/>
    <w:tmpl w:val="00000000"/>
    <w:lvl w:ilvl="0">
      <w:start w:val="5"/>
      <w:numFmt w:val="decimal"/>
      <w:lvlText w:val="%1"/>
      <w:lvlJc w:val="left"/>
      <w:pPr>
        <w:ind w:left="191" w:hanging="780"/>
        <w:jc w:val="left"/>
      </w:pPr>
      <w:rPr>
        <w:rFonts w:hint="default"/>
        <w:lang w:val="en-US" w:eastAsia="zh-CN" w:bidi="ar-SA"/>
      </w:rPr>
    </w:lvl>
    <w:lvl w:ilvl="1">
      <w:start w:val="11"/>
      <w:numFmt w:val="decimal"/>
      <w:lvlText w:val="%1.%2"/>
      <w:lvlJc w:val="left"/>
      <w:pPr>
        <w:ind w:left="191" w:hanging="780"/>
        <w:jc w:val="left"/>
      </w:pPr>
      <w:rPr>
        <w:rFonts w:hint="default"/>
        <w:lang w:val="en-US" w:eastAsia="zh-CN" w:bidi="ar-SA"/>
      </w:rPr>
    </w:lvl>
    <w:lvl w:ilvl="2">
      <w:start w:val="1"/>
      <w:numFmt w:val="decimal"/>
      <w:lvlText w:val="%1.%2.%3"/>
      <w:lvlJc w:val="left"/>
      <w:pPr>
        <w:ind w:left="191" w:hanging="780"/>
        <w:jc w:val="left"/>
      </w:pPr>
      <w:rPr>
        <w:rFonts w:ascii="宋体" w:eastAsia="宋体" w:hAnsi="宋体" w:cs="宋体" w:hint="default"/>
        <w:b w:val="0"/>
        <w:bCs w:val="0"/>
        <w:i w:val="0"/>
        <w:iCs w:val="0"/>
        <w:w w:val="100"/>
        <w:sz w:val="24"/>
        <w:szCs w:val="24"/>
        <w:lang w:val="en-US" w:eastAsia="zh-CN" w:bidi="ar-SA"/>
      </w:rPr>
    </w:lvl>
    <w:lvl w:ilvl="3">
      <w:start w:val="1"/>
      <w:numFmt w:val="decimal"/>
      <w:lvlText w:val="%1.%2.%3.%4"/>
      <w:lvlJc w:val="left"/>
      <w:pPr>
        <w:ind w:left="191" w:hanging="1080"/>
        <w:jc w:val="left"/>
      </w:pPr>
      <w:rPr>
        <w:rFonts w:ascii="宋体" w:eastAsia="宋体" w:hAnsi="宋体" w:cs="宋体" w:hint="default"/>
        <w:b w:val="0"/>
        <w:bCs w:val="0"/>
        <w:i w:val="0"/>
        <w:iCs w:val="0"/>
        <w:w w:val="100"/>
        <w:sz w:val="24"/>
        <w:szCs w:val="24"/>
        <w:lang w:val="en-US" w:eastAsia="zh-CN" w:bidi="ar-SA"/>
      </w:rPr>
    </w:lvl>
    <w:lvl w:ilvl="4">
      <w:start w:val="0"/>
      <w:numFmt w:val="bullet"/>
      <w:lvlText w:val="•"/>
      <w:lvlJc w:val="left"/>
      <w:pPr>
        <w:ind w:left="4582" w:hanging="1080"/>
      </w:pPr>
      <w:rPr>
        <w:rFonts w:hint="default"/>
        <w:lang w:val="en-US" w:eastAsia="zh-CN" w:bidi="ar-SA"/>
      </w:rPr>
    </w:lvl>
    <w:lvl w:ilvl="5">
      <w:start w:val="0"/>
      <w:numFmt w:val="bullet"/>
      <w:lvlText w:val="•"/>
      <w:lvlJc w:val="left"/>
      <w:pPr>
        <w:ind w:left="5523" w:hanging="1080"/>
      </w:pPr>
      <w:rPr>
        <w:rFonts w:hint="default"/>
        <w:lang w:val="en-US" w:eastAsia="zh-CN" w:bidi="ar-SA"/>
      </w:rPr>
    </w:lvl>
    <w:lvl w:ilvl="6">
      <w:start w:val="0"/>
      <w:numFmt w:val="bullet"/>
      <w:lvlText w:val="•"/>
      <w:lvlJc w:val="left"/>
      <w:pPr>
        <w:ind w:left="6463" w:hanging="1080"/>
      </w:pPr>
      <w:rPr>
        <w:rFonts w:hint="default"/>
        <w:lang w:val="en-US" w:eastAsia="zh-CN" w:bidi="ar-SA"/>
      </w:rPr>
    </w:lvl>
    <w:lvl w:ilvl="7">
      <w:start w:val="0"/>
      <w:numFmt w:val="bullet"/>
      <w:lvlText w:val="•"/>
      <w:lvlJc w:val="left"/>
      <w:pPr>
        <w:ind w:left="7404" w:hanging="1080"/>
      </w:pPr>
      <w:rPr>
        <w:rFonts w:hint="default"/>
        <w:lang w:val="en-US" w:eastAsia="zh-CN" w:bidi="ar-SA"/>
      </w:rPr>
    </w:lvl>
    <w:lvl w:ilvl="8">
      <w:start w:val="0"/>
      <w:numFmt w:val="bullet"/>
      <w:lvlText w:val="•"/>
      <w:lvlJc w:val="left"/>
      <w:pPr>
        <w:ind w:left="8345" w:hanging="1080"/>
      </w:pPr>
      <w:rPr>
        <w:rFonts w:hint="default"/>
        <w:lang w:val="en-US" w:eastAsia="zh-CN" w:bidi="ar-SA"/>
      </w:rPr>
    </w:lvl>
  </w:abstractNum>
  <w:abstractNum w:abstractNumId="4">
    <w:nsid w:val="5E1D3631"/>
    <w:multiLevelType w:val="hybridMultilevel"/>
    <w:tmpl w:val="00000000"/>
    <w:lvl w:ilvl="0">
      <w:start w:val="1"/>
      <w:numFmt w:val="decimal"/>
      <w:lvlText w:val="%1."/>
      <w:lvlJc w:val="left"/>
      <w:pPr>
        <w:ind w:left="552" w:hanging="362"/>
        <w:jc w:val="left"/>
      </w:pPr>
      <w:rPr>
        <w:rFonts w:ascii="Microsoft JhengHei" w:eastAsia="Microsoft JhengHei" w:hAnsi="Microsoft JhengHei" w:cs="Microsoft JhengHei" w:hint="default"/>
        <w:b/>
        <w:bCs/>
        <w:i w:val="0"/>
        <w:iCs w:val="0"/>
        <w:w w:val="83"/>
        <w:sz w:val="24"/>
        <w:szCs w:val="24"/>
        <w:lang w:val="en-US" w:eastAsia="zh-CN" w:bidi="ar-SA"/>
      </w:rPr>
    </w:lvl>
    <w:lvl w:ilvl="1">
      <w:start w:val="1"/>
      <w:numFmt w:val="decimal"/>
      <w:lvlText w:val="%1.%2"/>
      <w:lvlJc w:val="left"/>
      <w:pPr>
        <w:ind w:left="731" w:hanging="423"/>
        <w:jc w:val="right"/>
      </w:pPr>
      <w:rPr>
        <w:rFonts w:hint="default"/>
        <w:w w:val="81"/>
        <w:lang w:val="en-US" w:eastAsia="zh-CN" w:bidi="ar-SA"/>
      </w:rPr>
    </w:lvl>
    <w:lvl w:ilvl="2">
      <w:start w:val="1"/>
      <w:numFmt w:val="decimal"/>
      <w:lvlText w:val="%1.%2.%3"/>
      <w:lvlJc w:val="left"/>
      <w:pPr>
        <w:ind w:left="1152" w:hanging="423"/>
        <w:jc w:val="left"/>
      </w:pPr>
      <w:rPr>
        <w:rFonts w:ascii="宋体" w:eastAsia="宋体" w:hAnsi="宋体" w:cs="宋体" w:hint="default"/>
        <w:b w:val="0"/>
        <w:bCs w:val="0"/>
        <w:i w:val="0"/>
        <w:iCs w:val="0"/>
        <w:w w:val="100"/>
        <w:sz w:val="22"/>
        <w:szCs w:val="22"/>
        <w:lang w:val="en-US" w:eastAsia="zh-CN" w:bidi="ar-SA"/>
      </w:rPr>
    </w:lvl>
    <w:lvl w:ilvl="3">
      <w:start w:val="1"/>
      <w:numFmt w:val="decimal"/>
      <w:lvlText w:val="%1.%2.%3.%4"/>
      <w:lvlJc w:val="left"/>
      <w:pPr>
        <w:ind w:left="1331" w:hanging="900"/>
        <w:jc w:val="left"/>
      </w:pPr>
      <w:rPr>
        <w:rFonts w:ascii="宋体" w:eastAsia="宋体" w:hAnsi="宋体" w:cs="宋体" w:hint="default"/>
        <w:b w:val="0"/>
        <w:bCs w:val="0"/>
        <w:i w:val="0"/>
        <w:iCs w:val="0"/>
        <w:w w:val="100"/>
        <w:sz w:val="24"/>
        <w:szCs w:val="24"/>
        <w:lang w:val="en-US" w:eastAsia="zh-CN" w:bidi="ar-SA"/>
      </w:rPr>
    </w:lvl>
    <w:lvl w:ilvl="4">
      <w:start w:val="0"/>
      <w:numFmt w:val="bullet"/>
      <w:lvlText w:val="•"/>
      <w:lvlJc w:val="left"/>
      <w:pPr>
        <w:ind w:left="1160" w:hanging="900"/>
      </w:pPr>
      <w:rPr>
        <w:rFonts w:hint="default"/>
        <w:lang w:val="en-US" w:eastAsia="zh-CN" w:bidi="ar-SA"/>
      </w:rPr>
    </w:lvl>
    <w:lvl w:ilvl="5">
      <w:start w:val="0"/>
      <w:numFmt w:val="bullet"/>
      <w:lvlText w:val="•"/>
      <w:lvlJc w:val="left"/>
      <w:pPr>
        <w:ind w:left="1220" w:hanging="900"/>
      </w:pPr>
      <w:rPr>
        <w:rFonts w:hint="default"/>
        <w:lang w:val="en-US" w:eastAsia="zh-CN" w:bidi="ar-SA"/>
      </w:rPr>
    </w:lvl>
    <w:lvl w:ilvl="6">
      <w:start w:val="0"/>
      <w:numFmt w:val="bullet"/>
      <w:lvlText w:val="•"/>
      <w:lvlJc w:val="left"/>
      <w:pPr>
        <w:ind w:left="1340" w:hanging="900"/>
      </w:pPr>
      <w:rPr>
        <w:rFonts w:hint="default"/>
        <w:lang w:val="en-US" w:eastAsia="zh-CN" w:bidi="ar-SA"/>
      </w:rPr>
    </w:lvl>
    <w:lvl w:ilvl="7">
      <w:start w:val="0"/>
      <w:numFmt w:val="bullet"/>
      <w:lvlText w:val="•"/>
      <w:lvlJc w:val="left"/>
      <w:pPr>
        <w:ind w:left="1400" w:hanging="900"/>
      </w:pPr>
      <w:rPr>
        <w:rFonts w:hint="default"/>
        <w:lang w:val="en-US" w:eastAsia="zh-CN" w:bidi="ar-SA"/>
      </w:rPr>
    </w:lvl>
    <w:lvl w:ilvl="8">
      <w:start w:val="0"/>
      <w:numFmt w:val="bullet"/>
      <w:lvlText w:val="•"/>
      <w:lvlJc w:val="left"/>
      <w:pPr>
        <w:ind w:left="1520" w:hanging="900"/>
      </w:pPr>
      <w:rPr>
        <w:rFonts w:hint="default"/>
        <w:lang w:val="en-US" w:eastAsia="zh-CN" w:bidi="ar-SA"/>
      </w:rPr>
    </w:lvl>
  </w:abstractNum>
  <w:abstractNum w:abstractNumId="5">
    <w:nsid w:val="701BA82C"/>
    <w:multiLevelType w:val="hybridMultilevel"/>
    <w:tmpl w:val="00000000"/>
    <w:lvl w:ilvl="0">
      <w:start w:val="7"/>
      <w:numFmt w:val="decimal"/>
      <w:lvlText w:val="（%1）"/>
      <w:lvlJc w:val="left"/>
      <w:pPr>
        <w:ind w:left="191" w:hanging="606"/>
        <w:jc w:val="lef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1202" w:hanging="606"/>
      </w:pPr>
      <w:rPr>
        <w:rFonts w:hint="default"/>
        <w:lang w:val="en-US" w:eastAsia="zh-CN" w:bidi="ar-SA"/>
      </w:rPr>
    </w:lvl>
    <w:lvl w:ilvl="2">
      <w:start w:val="0"/>
      <w:numFmt w:val="bullet"/>
      <w:lvlText w:val="•"/>
      <w:lvlJc w:val="left"/>
      <w:pPr>
        <w:ind w:left="2205" w:hanging="606"/>
      </w:pPr>
      <w:rPr>
        <w:rFonts w:hint="default"/>
        <w:lang w:val="en-US" w:eastAsia="zh-CN" w:bidi="ar-SA"/>
      </w:rPr>
    </w:lvl>
    <w:lvl w:ilvl="3">
      <w:start w:val="0"/>
      <w:numFmt w:val="bullet"/>
      <w:lvlText w:val="•"/>
      <w:lvlJc w:val="left"/>
      <w:pPr>
        <w:ind w:left="3208" w:hanging="606"/>
      </w:pPr>
      <w:rPr>
        <w:rFonts w:hint="default"/>
        <w:lang w:val="en-US" w:eastAsia="zh-CN" w:bidi="ar-SA"/>
      </w:rPr>
    </w:lvl>
    <w:lvl w:ilvl="4">
      <w:start w:val="0"/>
      <w:numFmt w:val="bullet"/>
      <w:lvlText w:val="•"/>
      <w:lvlJc w:val="left"/>
      <w:pPr>
        <w:ind w:left="4210" w:hanging="606"/>
      </w:pPr>
      <w:rPr>
        <w:rFonts w:hint="default"/>
        <w:lang w:val="en-US" w:eastAsia="zh-CN" w:bidi="ar-SA"/>
      </w:rPr>
    </w:lvl>
    <w:lvl w:ilvl="5">
      <w:start w:val="0"/>
      <w:numFmt w:val="bullet"/>
      <w:lvlText w:val="•"/>
      <w:lvlJc w:val="left"/>
      <w:pPr>
        <w:ind w:left="5213" w:hanging="606"/>
      </w:pPr>
      <w:rPr>
        <w:rFonts w:hint="default"/>
        <w:lang w:val="en-US" w:eastAsia="zh-CN" w:bidi="ar-SA"/>
      </w:rPr>
    </w:lvl>
    <w:lvl w:ilvl="6">
      <w:start w:val="0"/>
      <w:numFmt w:val="bullet"/>
      <w:lvlText w:val="•"/>
      <w:lvlJc w:val="left"/>
      <w:pPr>
        <w:ind w:left="6216" w:hanging="606"/>
      </w:pPr>
      <w:rPr>
        <w:rFonts w:hint="default"/>
        <w:lang w:val="en-US" w:eastAsia="zh-CN" w:bidi="ar-SA"/>
      </w:rPr>
    </w:lvl>
    <w:lvl w:ilvl="7">
      <w:start w:val="0"/>
      <w:numFmt w:val="bullet"/>
      <w:lvlText w:val="•"/>
      <w:lvlJc w:val="left"/>
      <w:pPr>
        <w:ind w:left="7218" w:hanging="606"/>
      </w:pPr>
      <w:rPr>
        <w:rFonts w:hint="default"/>
        <w:lang w:val="en-US" w:eastAsia="zh-CN" w:bidi="ar-SA"/>
      </w:rPr>
    </w:lvl>
    <w:lvl w:ilvl="8">
      <w:start w:val="0"/>
      <w:numFmt w:val="bullet"/>
      <w:lvlText w:val="•"/>
      <w:lvlJc w:val="left"/>
      <w:pPr>
        <w:ind w:left="8221" w:hanging="606"/>
      </w:pPr>
      <w:rPr>
        <w:rFonts w:hint="default"/>
        <w:lang w:val="en-US" w:eastAsia="zh-CN" w:bidi="ar-SA"/>
      </w:rPr>
    </w:lvl>
  </w:abstractNum>
  <w:num w:numId="1">
    <w:abstractNumId w:val="1"/>
  </w:num>
  <w:num w:numId="2">
    <w:abstractNumId w:val="0"/>
  </w:num>
  <w:num w:numId="3">
    <w:abstractNumId w:val="3"/>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2837"/>
      <w:outlineLvl w:val="0"/>
    </w:pPr>
    <w:rPr>
      <w:rFonts w:ascii="Microsoft JhengHei" w:eastAsia="Microsoft JhengHei" w:hAnsi="Microsoft JhengHei" w:cs="Microsoft JhengHei"/>
      <w:b/>
      <w:bCs/>
      <w:sz w:val="30"/>
      <w:szCs w:val="30"/>
      <w:lang w:val="en-US" w:eastAsia="zh-CN" w:bidi="ar-SA"/>
    </w:rPr>
  </w:style>
  <w:style w:type="paragraph" w:styleId="Heading2">
    <w:name w:val="heading 2"/>
    <w:basedOn w:val="Normal"/>
    <w:uiPriority w:val="1"/>
    <w:qFormat/>
    <w:pPr>
      <w:ind w:left="812"/>
      <w:outlineLvl w:val="1"/>
    </w:pPr>
    <w:rPr>
      <w:rFonts w:ascii="Microsoft JhengHei" w:eastAsia="Microsoft JhengHei" w:hAnsi="Microsoft JhengHei" w:cs="Microsoft JhengHei"/>
      <w:b/>
      <w:bCs/>
      <w:sz w:val="28"/>
      <w:szCs w:val="28"/>
      <w:lang w:val="en-US" w:eastAsia="zh-CN" w:bidi="ar-SA"/>
    </w:rPr>
  </w:style>
  <w:style w:type="paragraph" w:styleId="Heading3">
    <w:name w:val="heading 3"/>
    <w:basedOn w:val="Normal"/>
    <w:uiPriority w:val="1"/>
    <w:qFormat/>
    <w:pPr>
      <w:ind w:left="552" w:hanging="423"/>
      <w:outlineLvl w:val="2"/>
    </w:pPr>
    <w:rPr>
      <w:rFonts w:ascii="微软雅黑" w:eastAsia="微软雅黑" w:hAnsi="微软雅黑" w:cs="微软雅黑"/>
      <w:b/>
      <w:bCs/>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91"/>
    </w:pPr>
    <w:rPr>
      <w:rFonts w:ascii="宋体" w:eastAsia="宋体" w:hAnsi="宋体" w:cs="宋体"/>
      <w:sz w:val="24"/>
      <w:szCs w:val="24"/>
      <w:lang w:val="en-US" w:eastAsia="zh-CN" w:bidi="ar-SA"/>
    </w:rPr>
  </w:style>
  <w:style w:type="paragraph" w:styleId="Title">
    <w:name w:val="Title"/>
    <w:basedOn w:val="Normal"/>
    <w:uiPriority w:val="1"/>
    <w:qFormat/>
    <w:pPr>
      <w:spacing w:before="33" w:line="897" w:lineRule="exact"/>
      <w:ind w:left="711"/>
    </w:pPr>
    <w:rPr>
      <w:rFonts w:ascii="Microsoft JhengHei" w:eastAsia="Microsoft JhengHei" w:hAnsi="Microsoft JhengHei" w:cs="Microsoft JhengHei"/>
      <w:b/>
      <w:bCs/>
      <w:sz w:val="52"/>
      <w:szCs w:val="52"/>
      <w:lang w:val="en-US" w:eastAsia="zh-CN" w:bidi="ar-SA"/>
    </w:rPr>
  </w:style>
  <w:style w:type="paragraph" w:styleId="ListParagraph">
    <w:name w:val="List Paragraph"/>
    <w:basedOn w:val="Normal"/>
    <w:uiPriority w:val="1"/>
    <w:qFormat/>
    <w:pPr>
      <w:spacing w:before="1"/>
      <w:ind w:left="191" w:firstLine="480"/>
    </w:pPr>
    <w:rPr>
      <w:rFonts w:ascii="宋体" w:eastAsia="宋体" w:hAnsi="宋体" w:cs="宋体"/>
      <w:lang w:val="en-US" w:eastAsia="zh-CN" w:bidi="ar-SA"/>
    </w:rPr>
  </w:style>
  <w:style w:type="paragraph" w:customStyle="1" w:styleId="TableParagraph">
    <w:name w:val="Table Paragraph"/>
    <w:basedOn w:val="Normal"/>
    <w:uiPriority w:val="1"/>
    <w:qFormat/>
    <w:pPr>
      <w:spacing w:before="137"/>
      <w:ind w:left="174"/>
      <w:jc w:val="center"/>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yperlink" Target="https://d.book118.com/925211013142011121" TargetMode="External" /><Relationship Id="rId15" Type="http://schemas.openxmlformats.org/officeDocument/2006/relationships/header" Target="header10.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image" Target="media/image1.png" /><Relationship Id="rId9" Type="http://schemas.openxmlformats.org/officeDocument/2006/relationships/header" Target="head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2024-03-04T12:24:03Z</dcterms:created>
  <dcterms:modified xsi:type="dcterms:W3CDTF">2024-03-04T12:24:03Z</dcterms:modified>
</cp:coreProperties>
</file>