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53" w:line="404" w:lineRule="auto"/>
        <w:ind w:left="436" w:right="104" w:hanging="23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53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阿</w:t>
      </w:r>
      <w:r>
        <w:rPr>
          <w:rFonts w:ascii="SimSun" w:eastAsia="SimSun" w:hAnsi="SimSun" w:cs="SimSun"/>
          <w:spacing w:val="-47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鲁科尔沁旗双胜镇龙头山建筑用凝灰岩矿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0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二〇二三年度矿山地质环境治理计划书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0" w:line="470" w:lineRule="auto"/>
        <w:ind w:left="3064" w:right="1288" w:hanging="17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阿</w:t>
      </w:r>
      <w:r>
        <w:rPr>
          <w:rFonts w:ascii="SimSun" w:eastAsia="SimSun" w:hAnsi="SimSun" w:cs="SimSun"/>
          <w:spacing w:val="9"/>
          <w:sz w:val="31"/>
          <w:szCs w:val="31"/>
        </w:rPr>
        <w:t>鲁</w:t>
      </w:r>
      <w:r>
        <w:rPr>
          <w:rFonts w:ascii="SimSun" w:eastAsia="SimSun" w:hAnsi="SimSun" w:cs="SimSun"/>
          <w:spacing w:val="8"/>
          <w:sz w:val="31"/>
          <w:szCs w:val="31"/>
        </w:rPr>
        <w:t>科尔沁旗巴彦高勒兴达碎石有限公司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7"/>
          <w:sz w:val="31"/>
          <w:szCs w:val="31"/>
        </w:rPr>
        <w:t>〇二三年三月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8" w:line="11743" w:lineRule="exact"/>
        <w:ind w:firstLine="14"/>
        <w:textAlignment w:val="center"/>
      </w:pPr>
      <w:r>
        <w:drawing>
          <wp:inline distT="0" distB="0" distL="0" distR="0">
            <wp:extent cx="5273040" cy="745693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spacing w:before="8" w:line="11743" w:lineRule="exact"/>
        <w:ind w:firstLine="14"/>
        <w:textAlignment w:val="center"/>
      </w:pPr>
      <w:r>
        <w:drawing>
          <wp:inline distT="0" distB="0" distL="0" distR="0">
            <wp:extent cx="5273040" cy="745693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51189401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291" w:line="223" w:lineRule="auto"/>
            <w:ind w:left="3810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15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12"/>
              <w:sz w:val="28"/>
              <w:szCs w:val="28"/>
            </w:rPr>
            <w:t xml:space="preserve">  </w:t>
          </w:r>
          <w:r>
            <w:rPr>
              <w:rFonts w:ascii="SimSun" w:eastAsia="SimSun" w:hAnsi="SimSun" w:cs="SimSun"/>
              <w:spacing w:val="-12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98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矿山基本情况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矿山地质环境治理方案的编制与执行情况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、方案编制概况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3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、治理方案规划的近期治理工程内容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第三章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本年度矿山生产计划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、本年度的主要生产指标计划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矿山地质环境问题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18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、矿山地质环境问题现状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3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、矿山地质环境问题预测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184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矿山地质环境防治工程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18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23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、矿山地质环境监测工程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183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六章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经费估算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12</w:t>
            </w:r>
          </w:hyperlink>
        </w:p>
      </w:sdtContent>
    </w:sdt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0" w:lineRule="auto"/>
        <w:ind w:left="37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</w:p>
    <w:p>
      <w:pPr>
        <w:spacing w:before="205" w:line="301" w:lineRule="auto"/>
        <w:ind w:left="26" w:right="13" w:firstLine="1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1</w:t>
      </w:r>
      <w:r>
        <w:rPr>
          <w:rFonts w:ascii="SimSun" w:eastAsia="SimSun" w:hAnsi="SimSun" w:cs="SimSun"/>
          <w:spacing w:val="8"/>
          <w:sz w:val="23"/>
          <w:szCs w:val="23"/>
        </w:rPr>
        <w:t>、阿</w:t>
      </w:r>
      <w:r>
        <w:rPr>
          <w:rFonts w:ascii="SimSun" w:eastAsia="SimSun" w:hAnsi="SimSun" w:cs="SimSun"/>
          <w:spacing w:val="6"/>
          <w:sz w:val="23"/>
          <w:szCs w:val="23"/>
        </w:rPr>
        <w:t>鲁</w:t>
      </w:r>
      <w:r>
        <w:rPr>
          <w:rFonts w:ascii="SimSun" w:eastAsia="SimSun" w:hAnsi="SimSun" w:cs="SimSun"/>
          <w:spacing w:val="4"/>
          <w:sz w:val="23"/>
          <w:szCs w:val="23"/>
        </w:rPr>
        <w:t>科尔沁旗双胜镇龙头山建筑用凝灰岩矿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年度矿山地质环境治理工程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部署图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                                      </w:t>
      </w:r>
      <w:r>
        <w:rPr>
          <w:rFonts w:ascii="SimSun" w:eastAsia="SimSun" w:hAnsi="SimSun" w:cs="SimSun"/>
          <w:sz w:val="23"/>
          <w:szCs w:val="23"/>
        </w:rPr>
        <w:t xml:space="preserve">             </w:t>
      </w:r>
      <w:r>
        <w:rPr>
          <w:rFonts w:ascii="SimSun" w:eastAsia="SimSun" w:hAnsi="SimSun" w:cs="SimSun"/>
          <w:sz w:val="23"/>
          <w:szCs w:val="23"/>
        </w:rPr>
        <w:t>比例尺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1:1000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71" w:line="225" w:lineRule="auto"/>
        <w:ind w:left="2474"/>
        <w:outlineLvl w:val="0"/>
        <w:rPr>
          <w:rFonts w:ascii="SimSun" w:eastAsia="SimSun" w:hAnsi="SimSun" w:cs="SimSun"/>
          <w:sz w:val="35"/>
          <w:szCs w:val="35"/>
        </w:rPr>
      </w:pPr>
      <w:bookmarkStart w:id="0" w:name="_bookmark1"/>
      <w:bookmarkEnd w:id="0"/>
      <w:r>
        <w:rPr>
          <w:rFonts w:ascii="SimSun" w:eastAsia="SimSun" w:hAnsi="SimSun" w:cs="SimSun"/>
          <w:spacing w:val="15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8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一章</w:t>
      </w:r>
      <w:r>
        <w:rPr>
          <w:rFonts w:ascii="SimSun" w:eastAsia="SimSun" w:hAnsi="SimSun" w:cs="SimSun"/>
          <w:spacing w:val="8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8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矿山基本情况</w:t>
      </w:r>
    </w:p>
    <w:p>
      <w:pPr>
        <w:spacing w:before="271" w:line="225" w:lineRule="auto"/>
        <w:ind w:left="315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pacing w:val="9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山基本情况表</w:t>
      </w:r>
    </w:p>
    <w:tbl>
      <w:tblPr>
        <w:tblStyle w:val="TableNormal0"/>
        <w:tblW w:w="88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33"/>
        <w:gridCol w:w="1389"/>
        <w:gridCol w:w="2450"/>
        <w:gridCol w:w="241"/>
        <w:gridCol w:w="1258"/>
        <w:gridCol w:w="1936"/>
      </w:tblGrid>
      <w:tr>
        <w:tblPrEx>
          <w:tblW w:w="88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8807" w:type="dxa"/>
            <w:gridSpan w:val="6"/>
            <w:vAlign w:val="top"/>
          </w:tcPr>
          <w:p>
            <w:pPr>
              <w:spacing w:before="96" w:line="228" w:lineRule="auto"/>
              <w:ind w:left="35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矿山企业基本信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息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1"/>
        </w:trPr>
        <w:tc>
          <w:tcPr>
            <w:tcW w:w="1533" w:type="dxa"/>
            <w:vAlign w:val="top"/>
          </w:tcPr>
          <w:p>
            <w:pPr>
              <w:spacing w:before="94" w:line="228" w:lineRule="auto"/>
              <w:ind w:left="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274" w:type="dxa"/>
            <w:gridSpan w:val="5"/>
            <w:vAlign w:val="top"/>
          </w:tcPr>
          <w:p>
            <w:pPr>
              <w:spacing w:before="93" w:line="225" w:lineRule="auto"/>
              <w:ind w:left="1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阿鲁科尔沁旗双胜镇龙头山建筑用凝灰岩矿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2" w:line="228" w:lineRule="auto"/>
              <w:ind w:left="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4080" w:type="dxa"/>
            <w:gridSpan w:val="3"/>
            <w:vAlign w:val="top"/>
          </w:tcPr>
          <w:p>
            <w:pPr>
              <w:spacing w:before="93" w:line="227" w:lineRule="auto"/>
              <w:ind w:left="1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阿鲁科尔沁旗巴彦高勒兴达碎石有限公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司</w:t>
            </w:r>
          </w:p>
        </w:tc>
        <w:tc>
          <w:tcPr>
            <w:tcW w:w="1258" w:type="dxa"/>
            <w:vAlign w:val="top"/>
          </w:tcPr>
          <w:p>
            <w:pPr>
              <w:spacing w:before="93" w:line="227" w:lineRule="auto"/>
              <w:ind w:left="1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1936" w:type="dxa"/>
            <w:vAlign w:val="top"/>
          </w:tcPr>
          <w:p>
            <w:pPr>
              <w:spacing w:before="205" w:line="43" w:lineRule="exact"/>
              <w:textAlignment w:val="center"/>
            </w:pPr>
            <w:r>
              <w:drawing>
                <wp:inline distT="0" distB="0" distL="0" distR="0">
                  <wp:extent cx="548657" cy="27912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57" cy="27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3" w:line="228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4080" w:type="dxa"/>
            <w:gridSpan w:val="3"/>
            <w:vAlign w:val="top"/>
          </w:tcPr>
          <w:p>
            <w:pPr>
              <w:spacing w:before="130" w:line="195" w:lineRule="auto"/>
              <w:ind w:left="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150400202009715015053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8</w:t>
            </w:r>
          </w:p>
        </w:tc>
        <w:tc>
          <w:tcPr>
            <w:tcW w:w="1258" w:type="dxa"/>
            <w:vAlign w:val="top"/>
          </w:tcPr>
          <w:p>
            <w:pPr>
              <w:spacing w:before="93" w:line="228" w:lineRule="auto"/>
              <w:ind w:left="1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1936" w:type="dxa"/>
            <w:vAlign w:val="top"/>
          </w:tcPr>
          <w:p>
            <w:pPr>
              <w:spacing w:before="94" w:line="227" w:lineRule="auto"/>
              <w:ind w:left="1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5" w:line="229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4080" w:type="dxa"/>
            <w:gridSpan w:val="3"/>
            <w:vAlign w:val="top"/>
          </w:tcPr>
          <w:p>
            <w:pPr>
              <w:spacing w:before="94" w:line="241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2020-9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2023-9-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10</w:t>
            </w:r>
          </w:p>
        </w:tc>
        <w:tc>
          <w:tcPr>
            <w:tcW w:w="1258" w:type="dxa"/>
            <w:vAlign w:val="top"/>
          </w:tcPr>
          <w:p>
            <w:pPr>
              <w:spacing w:before="95" w:line="229" w:lineRule="auto"/>
              <w:ind w:left="1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1936" w:type="dxa"/>
            <w:vAlign w:val="top"/>
          </w:tcPr>
          <w:p>
            <w:pPr>
              <w:spacing w:before="95" w:line="228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1"/>
        </w:trPr>
        <w:tc>
          <w:tcPr>
            <w:tcW w:w="1533" w:type="dxa"/>
            <w:vAlign w:val="top"/>
          </w:tcPr>
          <w:p>
            <w:pPr>
              <w:spacing w:before="94" w:line="228" w:lineRule="auto"/>
              <w:ind w:left="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274" w:type="dxa"/>
            <w:gridSpan w:val="5"/>
            <w:vAlign w:val="top"/>
          </w:tcPr>
          <w:p>
            <w:pPr>
              <w:spacing w:before="93" w:line="225" w:lineRule="auto"/>
              <w:ind w:left="1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内蒙古自治区赤峰市阿鲁科尔沁旗双胜镇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1"/>
        </w:trPr>
        <w:tc>
          <w:tcPr>
            <w:tcW w:w="1533" w:type="dxa"/>
            <w:vAlign w:val="top"/>
          </w:tcPr>
          <w:p>
            <w:pPr>
              <w:spacing w:before="96" w:line="229" w:lineRule="auto"/>
              <w:ind w:left="2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274" w:type="dxa"/>
            <w:gridSpan w:val="5"/>
            <w:vAlign w:val="top"/>
          </w:tcPr>
          <w:p>
            <w:pPr>
              <w:spacing w:before="96" w:line="228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119°46′07″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119°46′27″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；北纬：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43°40′39″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43°40′49″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。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5" w:line="228" w:lineRule="auto"/>
              <w:ind w:left="3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839" w:type="dxa"/>
            <w:gridSpan w:val="2"/>
            <w:vAlign w:val="top"/>
          </w:tcPr>
          <w:p>
            <w:pPr>
              <w:spacing w:before="94" w:line="226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spacing w:before="95" w:line="228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1936" w:type="dxa"/>
            <w:vAlign w:val="top"/>
          </w:tcPr>
          <w:p>
            <w:pPr>
              <w:spacing w:before="95" w:line="229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型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6" w:line="228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839" w:type="dxa"/>
            <w:gridSpan w:val="2"/>
            <w:vAlign w:val="top"/>
          </w:tcPr>
          <w:p>
            <w:pPr>
              <w:spacing w:before="96"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筑用石料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(凝灰岩)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spacing w:before="96" w:line="228" w:lineRule="auto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1936" w:type="dxa"/>
            <w:vAlign w:val="top"/>
          </w:tcPr>
          <w:p>
            <w:pPr>
              <w:spacing w:before="96" w:line="228" w:lineRule="auto"/>
              <w:ind w:left="1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露天开采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7" w:line="228" w:lineRule="auto"/>
              <w:ind w:left="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839" w:type="dxa"/>
            <w:gridSpan w:val="2"/>
            <w:vAlign w:val="top"/>
          </w:tcPr>
          <w:p>
            <w:pPr>
              <w:spacing w:before="97" w:line="228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.0835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平方公里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spacing w:before="97" w:line="228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1936" w:type="dxa"/>
            <w:vAlign w:val="top"/>
          </w:tcPr>
          <w:p>
            <w:pPr>
              <w:spacing w:before="97" w:line="228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停产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6" w:line="228" w:lineRule="auto"/>
              <w:ind w:left="3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839" w:type="dxa"/>
            <w:gridSpan w:val="2"/>
            <w:vAlign w:val="top"/>
          </w:tcPr>
          <w:p>
            <w:pPr>
              <w:spacing w:before="96" w:line="228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020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spacing w:before="96" w:line="228" w:lineRule="auto"/>
              <w:ind w:left="1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1936" w:type="dxa"/>
            <w:vAlign w:val="top"/>
          </w:tcPr>
          <w:p>
            <w:pPr>
              <w:spacing w:before="65" w:line="274" w:lineRule="exact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万立方米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7" w:line="228" w:lineRule="auto"/>
              <w:ind w:left="1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3839" w:type="dxa"/>
            <w:gridSpan w:val="2"/>
            <w:vAlign w:val="top"/>
          </w:tcPr>
          <w:p>
            <w:pPr>
              <w:spacing w:before="97" w:line="228" w:lineRule="auto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4.4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spacing w:before="96" w:line="225" w:lineRule="auto"/>
              <w:ind w:left="1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1936" w:type="dxa"/>
            <w:vAlign w:val="top"/>
          </w:tcPr>
          <w:p>
            <w:pPr>
              <w:spacing w:before="66" w:line="274" w:lineRule="exact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万立方米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6" w:line="228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3839" w:type="dxa"/>
            <w:gridSpan w:val="2"/>
            <w:vAlign w:val="top"/>
          </w:tcPr>
          <w:p>
            <w:pPr>
              <w:spacing w:before="96" w:line="228" w:lineRule="auto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4.4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spacing w:before="95" w:line="228" w:lineRule="auto"/>
              <w:ind w:left="3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1936" w:type="dxa"/>
            <w:vAlign w:val="top"/>
          </w:tcPr>
          <w:p>
            <w:pPr>
              <w:spacing w:before="95" w:line="241" w:lineRule="auto"/>
              <w:ind w:left="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391m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6" w:line="227" w:lineRule="auto"/>
              <w:ind w:left="1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3839" w:type="dxa"/>
            <w:gridSpan w:val="2"/>
            <w:vAlign w:val="top"/>
          </w:tcPr>
          <w:p>
            <w:pPr>
              <w:spacing w:before="112" w:line="216" w:lineRule="auto"/>
              <w:ind w:left="11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2.7910×10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</w:p>
        </w:tc>
        <w:tc>
          <w:tcPr>
            <w:tcW w:w="1499" w:type="dxa"/>
            <w:gridSpan w:val="2"/>
            <w:vAlign w:val="top"/>
          </w:tcPr>
          <w:p>
            <w:pPr>
              <w:spacing w:before="96" w:line="227" w:lineRule="auto"/>
              <w:ind w:left="1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1936" w:type="dxa"/>
            <w:vAlign w:val="top"/>
          </w:tcPr>
          <w:p>
            <w:pPr>
              <w:spacing w:before="112" w:line="216" w:lineRule="auto"/>
              <w:ind w:left="11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2.7910×10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8807" w:type="dxa"/>
            <w:gridSpan w:val="6"/>
            <w:vAlign w:val="top"/>
          </w:tcPr>
          <w:p>
            <w:pPr>
              <w:spacing w:before="95" w:line="228" w:lineRule="auto"/>
              <w:ind w:left="25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区拐点坐标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国家大地坐标系)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区范围</w:t>
            </w:r>
          </w:p>
        </w:tc>
        <w:tc>
          <w:tcPr>
            <w:tcW w:w="1389" w:type="dxa"/>
            <w:vAlign w:val="top"/>
          </w:tcPr>
          <w:p>
            <w:pPr>
              <w:spacing w:before="96" w:line="228" w:lineRule="auto"/>
              <w:ind w:left="2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拐点编号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5" w:line="192" w:lineRule="auto"/>
              <w:ind w:left="12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5" w:line="192" w:lineRule="auto"/>
              <w:ind w:left="15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3" w:line="195" w:lineRule="auto"/>
              <w:ind w:left="6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3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38222.8500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3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40481363.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1" w:line="195" w:lineRule="auto"/>
              <w:ind w:left="6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2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38328.4600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1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481539.9900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2" w:line="195" w:lineRule="auto"/>
              <w:ind w:left="6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3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38322.9400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2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481729.5000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1" w:line="195" w:lineRule="auto"/>
              <w:ind w:left="6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1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48382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1560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1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481782.8630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5" w:line="192" w:lineRule="auto"/>
              <w:ind w:left="6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2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38024.7300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2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481480.9800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3" w:line="195" w:lineRule="auto"/>
              <w:ind w:left="6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3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38017.3700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3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481382.5500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4" w:line="192" w:lineRule="auto"/>
              <w:ind w:left="6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2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38066.2300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2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481342.5200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spacing w:before="132" w:line="195" w:lineRule="auto"/>
              <w:ind w:left="6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32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38167.9500</w:t>
            </w:r>
          </w:p>
        </w:tc>
        <w:tc>
          <w:tcPr>
            <w:tcW w:w="3194" w:type="dxa"/>
            <w:gridSpan w:val="2"/>
            <w:vAlign w:val="top"/>
          </w:tcPr>
          <w:p>
            <w:pPr>
              <w:spacing w:before="133" w:line="195" w:lineRule="auto"/>
              <w:ind w:left="9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481386.5500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4" w:type="dxa"/>
            <w:gridSpan w:val="5"/>
            <w:vAlign w:val="top"/>
          </w:tcPr>
          <w:p>
            <w:pPr>
              <w:spacing w:before="95" w:line="228" w:lineRule="auto"/>
              <w:ind w:left="2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开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采深度：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由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416m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391m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水平</w:t>
            </w:r>
          </w:p>
        </w:tc>
      </w:tr>
    </w:tbl>
    <w:p>
      <w:pPr>
        <w:sectPr>
          <w:footerReference w:type="default" r:id="rId7"/>
          <w:pgSz w:w="11907" w:h="16840"/>
          <w:pgMar w:top="1419" w:right="1410" w:bottom="868" w:left="1684" w:header="0" w:footer="707" w:gutter="0"/>
          <w:pgNumType w:start="6"/>
          <w:cols w:space="708"/>
        </w:sectPr>
      </w:pPr>
    </w:p>
    <w:tbl>
      <w:tblPr>
        <w:tblStyle w:val="TableNormal1"/>
        <w:tblW w:w="88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33"/>
        <w:gridCol w:w="3839"/>
        <w:gridCol w:w="1499"/>
        <w:gridCol w:w="1936"/>
      </w:tblGrid>
      <w:tr>
        <w:tblPrEx>
          <w:tblW w:w="88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6" w:line="229" w:lineRule="auto"/>
              <w:ind w:left="3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3839" w:type="dxa"/>
            <w:vAlign w:val="top"/>
          </w:tcPr>
          <w:p>
            <w:pPr>
              <w:spacing w:before="96" w:line="229" w:lineRule="auto"/>
              <w:ind w:lef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已提</w:t>
            </w:r>
            <w:r>
              <w:rPr>
                <w:rFonts w:ascii="SimSun" w:eastAsia="SimSun" w:hAnsi="SimSun" w:cs="SimSun"/>
                <w:sz w:val="20"/>
                <w:szCs w:val="20"/>
              </w:rPr>
              <w:t>取</w:t>
            </w:r>
          </w:p>
        </w:tc>
        <w:tc>
          <w:tcPr>
            <w:tcW w:w="1499" w:type="dxa"/>
            <w:vAlign w:val="top"/>
          </w:tcPr>
          <w:p>
            <w:pPr>
              <w:spacing w:before="97" w:line="228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1936" w:type="dxa"/>
            <w:vAlign w:val="top"/>
          </w:tcPr>
          <w:p>
            <w:pPr>
              <w:spacing w:before="97" w:line="228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1"/>
        </w:trPr>
        <w:tc>
          <w:tcPr>
            <w:tcW w:w="8807" w:type="dxa"/>
            <w:gridSpan w:val="4"/>
            <w:vAlign w:val="top"/>
          </w:tcPr>
          <w:p>
            <w:pPr>
              <w:spacing w:before="94" w:line="228" w:lineRule="auto"/>
              <w:ind w:left="35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矿山企业联系方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</w:t>
            </w: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6" w:line="231" w:lineRule="auto"/>
              <w:ind w:left="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spacing w:before="96" w:line="228" w:lineRule="auto"/>
              <w:ind w:left="4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1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7" w:type="dxa"/>
          <w:tblInd w:w="2" w:type="dxa"/>
          <w:tblLayout w:type="fixed"/>
        </w:tblPrEx>
        <w:trPr>
          <w:trHeight w:val="402"/>
        </w:trPr>
        <w:tc>
          <w:tcPr>
            <w:tcW w:w="1533" w:type="dxa"/>
            <w:vAlign w:val="top"/>
          </w:tcPr>
          <w:p>
            <w:pPr>
              <w:spacing w:before="97" w:line="233" w:lineRule="auto"/>
              <w:ind w:left="3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839" w:type="dxa"/>
            <w:vAlign w:val="top"/>
          </w:tcPr>
          <w:p>
            <w:pPr>
              <w:spacing w:before="98" w:line="225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峰市阿鲁科尔沁旗绍根镇</w:t>
            </w:r>
          </w:p>
        </w:tc>
        <w:tc>
          <w:tcPr>
            <w:tcW w:w="1499" w:type="dxa"/>
            <w:vAlign w:val="top"/>
          </w:tcPr>
          <w:p>
            <w:pPr>
              <w:spacing w:before="98" w:line="228" w:lineRule="auto"/>
              <w:ind w:left="5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邮编</w:t>
            </w:r>
          </w:p>
        </w:tc>
        <w:tc>
          <w:tcPr>
            <w:tcW w:w="1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7" w:type="dxa"/>
          <w:tblInd w:w="2" w:type="dxa"/>
          <w:tblLayout w:type="fixed"/>
        </w:tblPrEx>
        <w:trPr>
          <w:trHeight w:val="406"/>
        </w:trPr>
        <w:tc>
          <w:tcPr>
            <w:tcW w:w="1533" w:type="dxa"/>
            <w:vAlign w:val="top"/>
          </w:tcPr>
          <w:p>
            <w:pPr>
              <w:spacing w:before="96" w:line="229" w:lineRule="auto"/>
              <w:ind w:left="3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spacing w:before="66" w:line="274" w:lineRule="exact"/>
              <w:ind w:left="4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1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8"/>
          <w:type w:val="nextPage"/>
          <w:pgSz w:w="11907" w:h="16840"/>
          <w:pgMar w:top="1419" w:right="1410" w:bottom="868" w:left="1684" w:header="0" w:footer="707" w:gutter="0"/>
          <w:pgNumType w:start="7"/>
          <w:cols w:space="708"/>
          <w:titlePg w:val="0"/>
        </w:sectPr>
      </w:pPr>
    </w:p>
    <w:p>
      <w:pPr>
        <w:spacing w:before="71" w:line="225" w:lineRule="auto"/>
        <w:ind w:left="225"/>
        <w:outlineLvl w:val="0"/>
        <w:rPr>
          <w:rFonts w:ascii="SimSun" w:eastAsia="SimSun" w:hAnsi="SimSun" w:cs="SimSun"/>
          <w:sz w:val="35"/>
          <w:szCs w:val="35"/>
        </w:rPr>
      </w:pPr>
      <w:bookmarkStart w:id="1" w:name="_bookmark2"/>
      <w:bookmarkEnd w:id="1"/>
      <w:r>
        <w:rPr>
          <w:rFonts w:ascii="SimSun" w:eastAsia="SimSun" w:hAnsi="SimSun" w:cs="SimSun"/>
          <w:spacing w:val="1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528" w:lineRule="exact"/>
        <w:ind w:left="51"/>
        <w:rPr>
          <w:rFonts w:ascii="SimSun" w:eastAsia="SimSun" w:hAnsi="SimSun" w:cs="SimSun"/>
          <w:sz w:val="31"/>
          <w:szCs w:val="31"/>
        </w:rPr>
      </w:pPr>
      <w:bookmarkStart w:id="2" w:name="_bookmark3"/>
      <w:bookmarkEnd w:id="2"/>
      <w:r>
        <w:rPr>
          <w:rFonts w:ascii="SimSun" w:eastAsia="SimSun" w:hAnsi="SimSun" w:cs="SimSun"/>
          <w:spacing w:val="11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8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、方案编制概况</w:t>
      </w:r>
    </w:p>
    <w:p>
      <w:pPr>
        <w:spacing w:before="57" w:line="361" w:lineRule="auto"/>
        <w:ind w:left="43" w:right="81" w:firstLine="49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月，由内蒙古赤峰地质矿产勘查开发有限责任公司与赤峰</w:t>
      </w:r>
      <w:r>
        <w:rPr>
          <w:rFonts w:ascii="SimSun" w:eastAsia="SimSun" w:hAnsi="SimSun" w:cs="SimSun"/>
          <w:spacing w:val="2"/>
          <w:sz w:val="23"/>
          <w:szCs w:val="23"/>
        </w:rPr>
        <w:t>冠</w:t>
      </w:r>
      <w:r>
        <w:rPr>
          <w:rFonts w:ascii="SimSun" w:eastAsia="SimSun" w:hAnsi="SimSun" w:cs="SimSun"/>
          <w:sz w:val="23"/>
          <w:szCs w:val="23"/>
        </w:rPr>
        <w:t>诚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地</w:t>
      </w:r>
      <w:r>
        <w:rPr>
          <w:rFonts w:ascii="SimSun" w:eastAsia="SimSun" w:hAnsi="SimSun" w:cs="SimSun"/>
          <w:spacing w:val="7"/>
          <w:sz w:val="23"/>
          <w:szCs w:val="23"/>
        </w:rPr>
        <w:t>质勘查有限责任公司编写了《内蒙古自治区阿鲁科尔沁旗双胜镇龙头山建筑用</w:t>
      </w:r>
    </w:p>
    <w:p>
      <w:pPr>
        <w:spacing w:line="314" w:lineRule="exact"/>
        <w:ind w:left="4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position w:val="2"/>
          <w:sz w:val="23"/>
          <w:szCs w:val="23"/>
        </w:rPr>
        <w:t>凝灰岩矿开发与治理综合方案》(备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案文号：赤自然资综合评字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>[2020]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第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>004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号)。</w:t>
      </w:r>
    </w:p>
    <w:p>
      <w:pPr>
        <w:spacing w:before="187" w:line="376" w:lineRule="auto"/>
        <w:ind w:left="43" w:right="81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月，由阿鲁科尔沁旗巴彦高勒兴达碎石有限公司提交的《阿鲁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bookmarkStart w:id="3" w:name="_bookmark4"/>
      <w:bookmarkEnd w:id="3"/>
      <w:r>
        <w:rPr>
          <w:rFonts w:ascii="SimSun" w:eastAsia="SimSun" w:hAnsi="SimSun" w:cs="SimSun"/>
          <w:spacing w:val="12"/>
          <w:sz w:val="23"/>
          <w:szCs w:val="23"/>
        </w:rPr>
        <w:t>科尔沁旗双</w:t>
      </w:r>
      <w:r>
        <w:rPr>
          <w:rFonts w:ascii="SimSun" w:eastAsia="SimSun" w:hAnsi="SimSun" w:cs="SimSun"/>
          <w:spacing w:val="6"/>
          <w:sz w:val="23"/>
          <w:szCs w:val="23"/>
        </w:rPr>
        <w:t>胜镇龙头山建筑用凝灰岩矿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年度矿山地质环境治理计划书》。</w:t>
      </w:r>
    </w:p>
    <w:p>
      <w:pPr>
        <w:spacing w:before="2" w:line="375" w:lineRule="auto"/>
        <w:ind w:left="44" w:firstLine="47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月，由阿鲁科尔沁旗巴彦高勒兴达碎石有限公司提交的</w:t>
      </w:r>
      <w:r>
        <w:rPr>
          <w:rFonts w:ascii="SimSun" w:eastAsia="SimSun" w:hAnsi="SimSun" w:cs="SimSun"/>
          <w:spacing w:val="3"/>
          <w:sz w:val="23"/>
          <w:szCs w:val="23"/>
        </w:rPr>
        <w:t>《</w:t>
      </w:r>
      <w:r>
        <w:rPr>
          <w:rFonts w:ascii="SimSun" w:eastAsia="SimSun" w:hAnsi="SimSun" w:cs="SimSun"/>
          <w:sz w:val="23"/>
          <w:szCs w:val="23"/>
        </w:rPr>
        <w:t>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鲁科尔沁旗双胜镇龙头山建筑用凝灰岩矿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年度矿山地质环境治理计划书》</w:t>
      </w:r>
      <w:r>
        <w:rPr>
          <w:rFonts w:ascii="SimSun" w:eastAsia="SimSun" w:hAnsi="SimSun" w:cs="SimSun"/>
          <w:spacing w:val="2"/>
          <w:sz w:val="23"/>
          <w:szCs w:val="23"/>
        </w:rPr>
        <w:t>。</w:t>
      </w:r>
    </w:p>
    <w:p>
      <w:pPr>
        <w:spacing w:line="382" w:lineRule="auto"/>
        <w:ind w:left="43" w:right="81" w:firstLine="47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月，由阿鲁科尔沁旗巴彦高勒兴达碎石有限公司提交的《阿鲁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科尔沁旗</w:t>
      </w:r>
      <w:r>
        <w:rPr>
          <w:rFonts w:ascii="SimSun" w:eastAsia="SimSun" w:hAnsi="SimSun" w:cs="SimSun"/>
          <w:spacing w:val="8"/>
          <w:sz w:val="23"/>
          <w:szCs w:val="23"/>
        </w:rPr>
        <w:t>双</w:t>
      </w:r>
      <w:r>
        <w:rPr>
          <w:rFonts w:ascii="SimSun" w:eastAsia="SimSun" w:hAnsi="SimSun" w:cs="SimSun"/>
          <w:spacing w:val="6"/>
          <w:sz w:val="23"/>
          <w:szCs w:val="23"/>
        </w:rPr>
        <w:t>胜镇龙头山建筑用凝灰岩矿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年度矿山地质环境治理计划》。</w:t>
      </w:r>
    </w:p>
    <w:p>
      <w:pPr>
        <w:spacing w:before="24" w:line="420" w:lineRule="exact"/>
        <w:ind w:left="5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5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、治理方案规划的近期治理工程内容及执行情况</w:t>
      </w:r>
    </w:p>
    <w:p>
      <w:pPr>
        <w:spacing w:before="164" w:line="468" w:lineRule="exact"/>
        <w:ind w:left="54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4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23"/>
          <w:szCs w:val="23"/>
        </w:rPr>
        <w:t>月，由内蒙古赤峰地质矿产勘查开发有限责任公司与赤峰</w:t>
      </w:r>
      <w:r>
        <w:rPr>
          <w:rFonts w:ascii="SimSun" w:eastAsia="SimSun" w:hAnsi="SimSun" w:cs="SimSun"/>
          <w:spacing w:val="2"/>
          <w:position w:val="17"/>
          <w:sz w:val="23"/>
          <w:szCs w:val="23"/>
        </w:rPr>
        <w:t>冠</w:t>
      </w:r>
      <w:r>
        <w:rPr>
          <w:rFonts w:ascii="SimSun" w:eastAsia="SimSun" w:hAnsi="SimSun" w:cs="SimSun"/>
          <w:position w:val="17"/>
          <w:sz w:val="23"/>
          <w:szCs w:val="23"/>
        </w:rPr>
        <w:t>诚</w:t>
      </w:r>
    </w:p>
    <w:p>
      <w:pPr>
        <w:spacing w:before="1" w:line="224" w:lineRule="auto"/>
        <w:ind w:left="4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地</w:t>
      </w:r>
      <w:r>
        <w:rPr>
          <w:rFonts w:ascii="SimSun" w:eastAsia="SimSun" w:hAnsi="SimSun" w:cs="SimSun"/>
          <w:spacing w:val="7"/>
          <w:sz w:val="23"/>
          <w:szCs w:val="23"/>
        </w:rPr>
        <w:t>质勘查有限责任公司编写了《内蒙古自治区阿鲁科尔沁旗双胜镇龙头山建筑用</w:t>
      </w:r>
    </w:p>
    <w:p>
      <w:pPr>
        <w:spacing w:before="153" w:line="315" w:lineRule="exact"/>
        <w:ind w:left="4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position w:val="2"/>
          <w:sz w:val="23"/>
          <w:szCs w:val="23"/>
        </w:rPr>
        <w:t>凝灰岩矿开发与治理综合方案》(备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案文号：赤自然资综合评字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>[2020]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第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>004</w:t>
      </w:r>
      <w:r>
        <w:rPr>
          <w:rFonts w:ascii="Times New Roman" w:eastAsia="Times New Roman" w:hAnsi="Times New Roman" w:cs="Times New Roman"/>
          <w:spacing w:val="2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position w:val="2"/>
          <w:sz w:val="23"/>
          <w:szCs w:val="23"/>
        </w:rPr>
        <w:t>号)。</w:t>
      </w:r>
    </w:p>
    <w:p>
      <w:pPr>
        <w:spacing w:before="109" w:line="229" w:lineRule="auto"/>
        <w:ind w:left="60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规</w:t>
      </w: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划治理的单元</w:t>
      </w:r>
    </w:p>
    <w:p>
      <w:pPr>
        <w:spacing w:before="184" w:line="374" w:lineRule="auto"/>
        <w:ind w:left="42" w:right="81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矿山</w:t>
      </w:r>
      <w:r>
        <w:rPr>
          <w:rFonts w:ascii="SimSun" w:eastAsia="SimSun" w:hAnsi="SimSun" w:cs="SimSun"/>
          <w:spacing w:val="14"/>
          <w:sz w:val="23"/>
          <w:szCs w:val="23"/>
        </w:rPr>
        <w:t>地</w:t>
      </w:r>
      <w:r>
        <w:rPr>
          <w:rFonts w:ascii="SimSun" w:eastAsia="SimSun" w:hAnsi="SimSun" w:cs="SimSun"/>
          <w:spacing w:val="9"/>
          <w:sz w:val="23"/>
          <w:szCs w:val="23"/>
        </w:rPr>
        <w:t>质环境治理区为近期治理期内矿业活动破坏且在后期不会继续利用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的</w:t>
      </w:r>
      <w:r>
        <w:rPr>
          <w:rFonts w:ascii="SimSun" w:eastAsia="SimSun" w:hAnsi="SimSun" w:cs="SimSun"/>
          <w:spacing w:val="7"/>
          <w:sz w:val="23"/>
          <w:szCs w:val="23"/>
        </w:rPr>
        <w:t>范围，现状及预测中形成的场地为露天采场、碎石加工场、表土存储场、排渣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场</w:t>
      </w:r>
      <w:r>
        <w:rPr>
          <w:rFonts w:ascii="SimSun" w:eastAsia="SimSun" w:hAnsi="SimSun" w:cs="SimSun"/>
          <w:spacing w:val="7"/>
          <w:sz w:val="23"/>
          <w:szCs w:val="23"/>
        </w:rPr>
        <w:t>、办公生活区。</w:t>
      </w:r>
    </w:p>
    <w:p>
      <w:pPr>
        <w:spacing w:before="3" w:line="374" w:lineRule="auto"/>
        <w:ind w:left="42" w:right="81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根</w:t>
      </w:r>
      <w:r>
        <w:rPr>
          <w:rFonts w:ascii="SimSun" w:eastAsia="SimSun" w:hAnsi="SimSun" w:cs="SimSun"/>
          <w:spacing w:val="13"/>
          <w:sz w:val="23"/>
          <w:szCs w:val="23"/>
        </w:rPr>
        <w:t>据</w:t>
      </w:r>
      <w:r>
        <w:rPr>
          <w:rFonts w:ascii="SimSun" w:eastAsia="SimSun" w:hAnsi="SimSun" w:cs="SimSun"/>
          <w:spacing w:val="7"/>
          <w:sz w:val="23"/>
          <w:szCs w:val="23"/>
        </w:rPr>
        <w:t>现场调查及开发利用方案，前期探矿工作中所开挖的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16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条探槽均位于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矿</w:t>
      </w:r>
      <w:r>
        <w:rPr>
          <w:rFonts w:ascii="SimSun" w:eastAsia="SimSun" w:hAnsi="SimSun" w:cs="SimSun"/>
          <w:spacing w:val="7"/>
          <w:sz w:val="23"/>
          <w:szCs w:val="23"/>
        </w:rPr>
        <w:t>山未来开采形成的露天采场内，且随着露天采场内表土及强风化层的剥离工作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的</w:t>
      </w:r>
      <w:r>
        <w:rPr>
          <w:rFonts w:ascii="SimSun" w:eastAsia="SimSun" w:hAnsi="SimSun" w:cs="SimSun"/>
          <w:spacing w:val="7"/>
          <w:sz w:val="23"/>
          <w:szCs w:val="23"/>
        </w:rPr>
        <w:t>进行，各探槽工程单元将整合于露天采场内，因此，本方案不对其设计近期治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理</w:t>
      </w:r>
      <w:r>
        <w:rPr>
          <w:rFonts w:ascii="SimSun" w:eastAsia="SimSun" w:hAnsi="SimSun" w:cs="SimSun"/>
          <w:spacing w:val="5"/>
          <w:sz w:val="23"/>
          <w:szCs w:val="23"/>
        </w:rPr>
        <w:t>工程。</w:t>
      </w:r>
    </w:p>
    <w:p>
      <w:pPr>
        <w:spacing w:line="468" w:lineRule="exact"/>
        <w:ind w:left="52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position w:val="17"/>
          <w:sz w:val="23"/>
          <w:szCs w:val="23"/>
        </w:rPr>
        <w:t>近期治理区包括矿山后期开采工作所形成的露天采场</w:t>
      </w:r>
      <w:r>
        <w:rPr>
          <w:rFonts w:ascii="SimSun" w:eastAsia="SimSun" w:hAnsi="SimSun" w:cs="SimSun"/>
          <w:spacing w:val="1"/>
          <w:position w:val="17"/>
          <w:sz w:val="23"/>
          <w:szCs w:val="23"/>
        </w:rPr>
        <w:t>，治理区范围见表</w:t>
      </w:r>
      <w:r>
        <w:rPr>
          <w:rFonts w:ascii="SimSun" w:eastAsia="SimSun" w:hAnsi="SimSun" w:cs="SimSun"/>
          <w:spacing w:val="1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7"/>
          <w:sz w:val="23"/>
          <w:szCs w:val="23"/>
        </w:rPr>
        <w:t>2-</w:t>
      </w:r>
      <w:r>
        <w:rPr>
          <w:rFonts w:ascii="Times New Roman" w:eastAsia="Times New Roman" w:hAnsi="Times New Roman" w:cs="Times New Roman"/>
          <w:spacing w:val="1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7"/>
          <w:sz w:val="23"/>
          <w:szCs w:val="23"/>
        </w:rPr>
        <w:t>1</w:t>
      </w:r>
      <w:r>
        <w:rPr>
          <w:rFonts w:ascii="SimSun" w:eastAsia="SimSun" w:hAnsi="SimSun" w:cs="SimSun"/>
          <w:spacing w:val="1"/>
          <w:position w:val="17"/>
          <w:sz w:val="23"/>
          <w:szCs w:val="23"/>
        </w:rPr>
        <w:t>。</w:t>
      </w:r>
    </w:p>
    <w:p>
      <w:pPr>
        <w:spacing w:before="1" w:line="229" w:lineRule="auto"/>
        <w:ind w:left="25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4"/>
          <w:sz w:val="23"/>
          <w:szCs w:val="23"/>
        </w:rPr>
        <w:t>表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4"/>
          <w:sz w:val="23"/>
          <w:szCs w:val="23"/>
        </w:rPr>
        <w:t>2-1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4"/>
          <w:sz w:val="23"/>
          <w:szCs w:val="23"/>
        </w:rPr>
        <w:t>近期治理区拐点坐标</w:t>
      </w:r>
      <w:r>
        <w:rPr>
          <w:rFonts w:ascii="SimHei" w:eastAsia="SimHei" w:hAnsi="SimHei" w:cs="SimHei"/>
          <w:spacing w:val="2"/>
          <w:sz w:val="23"/>
          <w:szCs w:val="23"/>
        </w:rPr>
        <w:t>表</w:t>
      </w:r>
    </w:p>
    <w:p>
      <w:pPr>
        <w:spacing w:line="145" w:lineRule="exact"/>
        <w:sectPr>
          <w:footerReference w:type="default" r:id="rId9"/>
          <w:pgSz w:w="11906" w:h="16839"/>
          <w:pgMar w:top="1419" w:right="1718" w:bottom="1151" w:left="1766" w:header="0" w:footer="991" w:gutter="0"/>
          <w:pgNumType w:start="8"/>
          <w:cols w:space="708"/>
        </w:sectPr>
      </w:pPr>
    </w:p>
    <w:tbl>
      <w:tblPr>
        <w:tblStyle w:val="TableNormal2"/>
        <w:tblW w:w="83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911"/>
        <w:gridCol w:w="739"/>
        <w:gridCol w:w="1214"/>
        <w:gridCol w:w="1326"/>
        <w:gridCol w:w="693"/>
        <w:gridCol w:w="1245"/>
        <w:gridCol w:w="1370"/>
      </w:tblGrid>
      <w:tr>
        <w:tblPrEx>
          <w:tblW w:w="836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"/>
        </w:trPr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before="37" w:line="238" w:lineRule="auto"/>
              <w:ind w:left="124" w:right="117" w:firstLine="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复垦责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任范围</w:t>
            </w:r>
          </w:p>
        </w:tc>
        <w:tc>
          <w:tcPr>
            <w:tcW w:w="911" w:type="dxa"/>
            <w:vMerge w:val="restart"/>
            <w:tcBorders>
              <w:bottom w:val="nil"/>
            </w:tcBorders>
            <w:vAlign w:val="top"/>
          </w:tcPr>
          <w:p>
            <w:pPr>
              <w:spacing w:before="37" w:line="238" w:lineRule="auto"/>
              <w:ind w:left="142" w:right="149" w:firstLine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面积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)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before="37" w:line="271" w:lineRule="exact"/>
              <w:ind w:left="1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4"/>
                <w:sz w:val="20"/>
                <w:szCs w:val="20"/>
              </w:rPr>
              <w:t>拐点</w:t>
            </w:r>
          </w:p>
          <w:p>
            <w:pPr>
              <w:spacing w:line="225" w:lineRule="auto"/>
              <w:ind w:left="1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号</w:t>
            </w:r>
          </w:p>
        </w:tc>
        <w:tc>
          <w:tcPr>
            <w:tcW w:w="2540" w:type="dxa"/>
            <w:gridSpan w:val="2"/>
            <w:vAlign w:val="top"/>
          </w:tcPr>
          <w:p>
            <w:pPr>
              <w:spacing w:before="37" w:line="225" w:lineRule="auto"/>
              <w:ind w:left="3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  <w:tc>
          <w:tcPr>
            <w:tcW w:w="693" w:type="dxa"/>
            <w:vMerge w:val="restart"/>
            <w:tcBorders>
              <w:bottom w:val="nil"/>
            </w:tcBorders>
            <w:vAlign w:val="top"/>
          </w:tcPr>
          <w:p>
            <w:pPr>
              <w:spacing w:before="37" w:line="238" w:lineRule="auto"/>
              <w:ind w:left="143" w:righ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拐点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号</w:t>
            </w:r>
          </w:p>
        </w:tc>
        <w:tc>
          <w:tcPr>
            <w:tcW w:w="2615" w:type="dxa"/>
            <w:gridSpan w:val="2"/>
            <w:vAlign w:val="top"/>
          </w:tcPr>
          <w:p>
            <w:pPr>
              <w:spacing w:before="37" w:line="225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67"/>
        </w:trPr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65" w:line="192" w:lineRule="auto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26" w:type="dxa"/>
            <w:vAlign w:val="top"/>
          </w:tcPr>
          <w:p>
            <w:pPr>
              <w:spacing w:before="65" w:line="192" w:lineRule="auto"/>
              <w:ind w:left="5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6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spacing w:before="65" w:line="192" w:lineRule="auto"/>
              <w:ind w:left="5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70" w:type="dxa"/>
            <w:vAlign w:val="top"/>
          </w:tcPr>
          <w:p>
            <w:pPr>
              <w:spacing w:before="65" w:line="192" w:lineRule="auto"/>
              <w:ind w:left="6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25"/>
        </w:trPr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before="256" w:line="274" w:lineRule="exact"/>
              <w:ind w:left="2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4"/>
                <w:sz w:val="20"/>
                <w:szCs w:val="20"/>
              </w:rPr>
              <w:t>露天</w:t>
            </w:r>
          </w:p>
          <w:p>
            <w:pPr>
              <w:spacing w:line="227" w:lineRule="auto"/>
              <w:ind w:left="2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采场</w:t>
            </w:r>
          </w:p>
        </w:tc>
        <w:tc>
          <w:tcPr>
            <w:tcW w:w="911" w:type="dxa"/>
            <w:vMerge w:val="restart"/>
            <w:tcBorders>
              <w:bottom w:val="nil"/>
            </w:tcBorders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3500</w:t>
            </w:r>
          </w:p>
        </w:tc>
        <w:tc>
          <w:tcPr>
            <w:tcW w:w="739" w:type="dxa"/>
            <w:vAlign w:val="top"/>
          </w:tcPr>
          <w:p>
            <w:pPr>
              <w:spacing w:before="52" w:line="180" w:lineRule="auto"/>
              <w:ind w:left="3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vAlign w:val="top"/>
          </w:tcPr>
          <w:p>
            <w:pPr>
              <w:spacing w:before="52" w:line="180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838222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85</w:t>
            </w:r>
          </w:p>
        </w:tc>
        <w:tc>
          <w:tcPr>
            <w:tcW w:w="1326" w:type="dxa"/>
            <w:vAlign w:val="top"/>
          </w:tcPr>
          <w:p>
            <w:pPr>
              <w:spacing w:before="52" w:line="180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481363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</w:t>
            </w:r>
          </w:p>
        </w:tc>
        <w:tc>
          <w:tcPr>
            <w:tcW w:w="693" w:type="dxa"/>
            <w:vAlign w:val="top"/>
          </w:tcPr>
          <w:p>
            <w:pPr>
              <w:spacing w:before="55" w:line="177" w:lineRule="auto"/>
              <w:ind w:lef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5" w:type="dxa"/>
            <w:vAlign w:val="top"/>
          </w:tcPr>
          <w:p>
            <w:pPr>
              <w:spacing w:before="52" w:line="180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838024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73</w:t>
            </w:r>
          </w:p>
        </w:tc>
        <w:tc>
          <w:tcPr>
            <w:tcW w:w="1370" w:type="dxa"/>
            <w:vAlign w:val="top"/>
          </w:tcPr>
          <w:p>
            <w:pPr>
              <w:spacing w:before="52" w:line="180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481480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98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66"/>
        </w:trPr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spacing w:before="74" w:line="195" w:lineRule="auto"/>
              <w:ind w:left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vAlign w:val="top"/>
          </w:tcPr>
          <w:p>
            <w:pPr>
              <w:spacing w:before="74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838328.46</w:t>
            </w:r>
          </w:p>
        </w:tc>
        <w:tc>
          <w:tcPr>
            <w:tcW w:w="1326" w:type="dxa"/>
            <w:vAlign w:val="top"/>
          </w:tcPr>
          <w:p>
            <w:pPr>
              <w:spacing w:before="74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481539.99</w:t>
            </w:r>
          </w:p>
        </w:tc>
        <w:tc>
          <w:tcPr>
            <w:tcW w:w="693" w:type="dxa"/>
            <w:vAlign w:val="top"/>
          </w:tcPr>
          <w:p>
            <w:pPr>
              <w:spacing w:before="74" w:line="195" w:lineRule="auto"/>
              <w:ind w:left="3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5" w:type="dxa"/>
            <w:vAlign w:val="top"/>
          </w:tcPr>
          <w:p>
            <w:pPr>
              <w:spacing w:before="74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838017.37</w:t>
            </w:r>
          </w:p>
        </w:tc>
        <w:tc>
          <w:tcPr>
            <w:tcW w:w="1370" w:type="dxa"/>
            <w:vAlign w:val="top"/>
          </w:tcPr>
          <w:p>
            <w:pPr>
              <w:spacing w:before="74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481382.55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45"/>
        </w:trPr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spacing w:before="55" w:line="195" w:lineRule="auto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  <w:vAlign w:val="top"/>
          </w:tcPr>
          <w:p>
            <w:pPr>
              <w:spacing w:before="55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838322.94</w:t>
            </w:r>
          </w:p>
        </w:tc>
        <w:tc>
          <w:tcPr>
            <w:tcW w:w="1326" w:type="dxa"/>
            <w:vAlign w:val="top"/>
          </w:tcPr>
          <w:p>
            <w:pPr>
              <w:spacing w:before="55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481729.50</w:t>
            </w:r>
          </w:p>
        </w:tc>
        <w:tc>
          <w:tcPr>
            <w:tcW w:w="693" w:type="dxa"/>
            <w:vAlign w:val="top"/>
          </w:tcPr>
          <w:p>
            <w:pPr>
              <w:spacing w:before="58" w:line="192" w:lineRule="auto"/>
              <w:ind w:left="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45" w:type="dxa"/>
            <w:vAlign w:val="top"/>
          </w:tcPr>
          <w:p>
            <w:pPr>
              <w:spacing w:before="55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838086.23</w:t>
            </w:r>
          </w:p>
        </w:tc>
        <w:tc>
          <w:tcPr>
            <w:tcW w:w="1370" w:type="dxa"/>
            <w:vAlign w:val="top"/>
          </w:tcPr>
          <w:p>
            <w:pPr>
              <w:spacing w:before="55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481342.52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49"/>
        </w:trPr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spacing w:before="57" w:line="195" w:lineRule="auto"/>
              <w:ind w:left="3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14" w:type="dxa"/>
            <w:vAlign w:val="top"/>
          </w:tcPr>
          <w:p>
            <w:pPr>
              <w:spacing w:before="57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4838231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26" w:type="dxa"/>
            <w:vAlign w:val="top"/>
          </w:tcPr>
          <w:p>
            <w:pPr>
              <w:spacing w:before="57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481782.86</w:t>
            </w:r>
          </w:p>
        </w:tc>
        <w:tc>
          <w:tcPr>
            <w:tcW w:w="693" w:type="dxa"/>
            <w:vAlign w:val="top"/>
          </w:tcPr>
          <w:p>
            <w:pPr>
              <w:spacing w:before="57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45" w:type="dxa"/>
            <w:vAlign w:val="top"/>
          </w:tcPr>
          <w:p>
            <w:pPr>
              <w:spacing w:before="57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838167.95</w:t>
            </w:r>
          </w:p>
        </w:tc>
        <w:tc>
          <w:tcPr>
            <w:tcW w:w="1370" w:type="dxa"/>
            <w:vAlign w:val="top"/>
          </w:tcPr>
          <w:p>
            <w:pPr>
              <w:spacing w:before="57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481386.55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0"/>
          <w:type w:val="nextPage"/>
          <w:pgSz w:w="11906" w:h="16839"/>
          <w:pgMar w:top="1419" w:right="1718" w:bottom="1151" w:left="1766" w:header="0" w:footer="991" w:gutter="0"/>
          <w:pgNumType w:start="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3"/>
        <w:tblW w:w="83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911"/>
        <w:gridCol w:w="739"/>
        <w:gridCol w:w="1214"/>
        <w:gridCol w:w="1326"/>
        <w:gridCol w:w="693"/>
        <w:gridCol w:w="1245"/>
        <w:gridCol w:w="1370"/>
      </w:tblGrid>
      <w:tr>
        <w:tblPrEx>
          <w:tblW w:w="836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50"/>
        </w:trPr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before="37" w:line="238" w:lineRule="auto"/>
              <w:ind w:left="227" w:right="117" w:hanging="1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表土存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储场</w:t>
            </w:r>
          </w:p>
        </w:tc>
        <w:tc>
          <w:tcPr>
            <w:tcW w:w="911" w:type="dxa"/>
            <w:vMerge w:val="restart"/>
            <w:tcBorders>
              <w:bottom w:val="nil"/>
            </w:tcBorders>
            <w:vAlign w:val="top"/>
          </w:tcPr>
          <w:p>
            <w:pPr>
              <w:spacing w:before="207" w:line="195" w:lineRule="auto"/>
              <w:ind w:left="2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112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34</w:t>
            </w:r>
          </w:p>
        </w:tc>
        <w:tc>
          <w:tcPr>
            <w:tcW w:w="739" w:type="dxa"/>
            <w:vAlign w:val="top"/>
          </w:tcPr>
          <w:p>
            <w:pPr>
              <w:spacing w:before="56" w:line="195" w:lineRule="auto"/>
              <w:ind w:left="3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vAlign w:val="top"/>
          </w:tcPr>
          <w:p>
            <w:pPr>
              <w:spacing w:before="56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838319.50</w:t>
            </w:r>
          </w:p>
        </w:tc>
        <w:tc>
          <w:tcPr>
            <w:tcW w:w="1326" w:type="dxa"/>
            <w:vAlign w:val="top"/>
          </w:tcPr>
          <w:p>
            <w:pPr>
              <w:spacing w:before="56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481814.55</w:t>
            </w:r>
          </w:p>
        </w:tc>
        <w:tc>
          <w:tcPr>
            <w:tcW w:w="693" w:type="dxa"/>
            <w:vAlign w:val="top"/>
          </w:tcPr>
          <w:p>
            <w:pPr>
              <w:spacing w:before="56" w:line="195" w:lineRule="auto"/>
              <w:ind w:left="3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5" w:type="dxa"/>
            <w:vAlign w:val="top"/>
          </w:tcPr>
          <w:p>
            <w:pPr>
              <w:spacing w:before="56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4838450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70" w:type="dxa"/>
            <w:vAlign w:val="top"/>
          </w:tcPr>
          <w:p>
            <w:pPr>
              <w:spacing w:before="56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0481741.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98"/>
        </w:trPr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spacing w:before="77" w:line="195" w:lineRule="auto"/>
              <w:ind w:left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vAlign w:val="top"/>
          </w:tcPr>
          <w:p>
            <w:pPr>
              <w:spacing w:before="77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838422.20</w:t>
            </w:r>
          </w:p>
        </w:tc>
        <w:tc>
          <w:tcPr>
            <w:tcW w:w="1326" w:type="dxa"/>
            <w:vAlign w:val="top"/>
          </w:tcPr>
          <w:p>
            <w:pPr>
              <w:spacing w:before="77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481842.81</w:t>
            </w:r>
          </w:p>
        </w:tc>
        <w:tc>
          <w:tcPr>
            <w:tcW w:w="693" w:type="dxa"/>
            <w:vAlign w:val="top"/>
          </w:tcPr>
          <w:p>
            <w:pPr>
              <w:spacing w:before="77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45" w:type="dxa"/>
            <w:vAlign w:val="top"/>
          </w:tcPr>
          <w:p>
            <w:pPr>
              <w:spacing w:before="77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838347.48</w:t>
            </w:r>
          </w:p>
        </w:tc>
        <w:tc>
          <w:tcPr>
            <w:tcW w:w="1370" w:type="dxa"/>
            <w:vAlign w:val="top"/>
          </w:tcPr>
          <w:p>
            <w:pPr>
              <w:spacing w:before="77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481712.87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25"/>
        </w:trPr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before="141" w:line="229" w:lineRule="auto"/>
              <w:ind w:left="1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排渣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场</w:t>
            </w:r>
          </w:p>
        </w:tc>
        <w:tc>
          <w:tcPr>
            <w:tcW w:w="911" w:type="dxa"/>
            <w:vMerge w:val="restart"/>
            <w:tcBorders>
              <w:bottom w:val="nil"/>
            </w:tcBorders>
            <w:vAlign w:val="top"/>
          </w:tcPr>
          <w:p>
            <w:pPr>
              <w:spacing w:before="177" w:line="195" w:lineRule="auto"/>
              <w:ind w:lef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3052</w:t>
            </w:r>
          </w:p>
        </w:tc>
        <w:tc>
          <w:tcPr>
            <w:tcW w:w="739" w:type="dxa"/>
            <w:vAlign w:val="top"/>
          </w:tcPr>
          <w:p>
            <w:pPr>
              <w:spacing w:before="53" w:line="179" w:lineRule="auto"/>
              <w:ind w:left="3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vAlign w:val="top"/>
          </w:tcPr>
          <w:p>
            <w:pPr>
              <w:spacing w:before="53" w:line="179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838234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84</w:t>
            </w:r>
          </w:p>
        </w:tc>
        <w:tc>
          <w:tcPr>
            <w:tcW w:w="1326" w:type="dxa"/>
            <w:vAlign w:val="top"/>
          </w:tcPr>
          <w:p>
            <w:pPr>
              <w:spacing w:before="53" w:line="179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481830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08</w:t>
            </w:r>
          </w:p>
        </w:tc>
        <w:tc>
          <w:tcPr>
            <w:tcW w:w="693" w:type="dxa"/>
            <w:vAlign w:val="top"/>
          </w:tcPr>
          <w:p>
            <w:pPr>
              <w:spacing w:before="53" w:line="179" w:lineRule="auto"/>
              <w:ind w:left="3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5" w:type="dxa"/>
            <w:vAlign w:val="top"/>
          </w:tcPr>
          <w:p>
            <w:pPr>
              <w:spacing w:before="53" w:line="179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838271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80</w:t>
            </w:r>
          </w:p>
        </w:tc>
        <w:tc>
          <w:tcPr>
            <w:tcW w:w="1370" w:type="dxa"/>
            <w:vAlign w:val="top"/>
          </w:tcPr>
          <w:p>
            <w:pPr>
              <w:spacing w:before="53" w:line="179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481899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19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66"/>
        </w:trPr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spacing w:before="74" w:line="195" w:lineRule="auto"/>
              <w:ind w:left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vAlign w:val="top"/>
          </w:tcPr>
          <w:p>
            <w:pPr>
              <w:spacing w:before="75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838285.59</w:t>
            </w:r>
          </w:p>
        </w:tc>
        <w:tc>
          <w:tcPr>
            <w:tcW w:w="1326" w:type="dxa"/>
            <w:vAlign w:val="top"/>
          </w:tcPr>
          <w:p>
            <w:pPr>
              <w:spacing w:before="75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481842.41</w:t>
            </w:r>
          </w:p>
        </w:tc>
        <w:tc>
          <w:tcPr>
            <w:tcW w:w="693" w:type="dxa"/>
            <w:vAlign w:val="top"/>
          </w:tcPr>
          <w:p>
            <w:pPr>
              <w:spacing w:before="74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45" w:type="dxa"/>
            <w:vAlign w:val="top"/>
          </w:tcPr>
          <w:p>
            <w:pPr>
              <w:spacing w:before="75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838221.05</w:t>
            </w:r>
          </w:p>
        </w:tc>
        <w:tc>
          <w:tcPr>
            <w:tcW w:w="1370" w:type="dxa"/>
            <w:vAlign w:val="top"/>
          </w:tcPr>
          <w:p>
            <w:pPr>
              <w:spacing w:before="75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481886.86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333"/>
        </w:trPr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before="65" w:line="253" w:lineRule="auto"/>
              <w:ind w:left="230" w:right="117" w:hanging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碎石加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工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场</w:t>
            </w:r>
          </w:p>
        </w:tc>
        <w:tc>
          <w:tcPr>
            <w:tcW w:w="911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195" w:lineRule="auto"/>
              <w:ind w:lef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3006</w:t>
            </w:r>
          </w:p>
        </w:tc>
        <w:tc>
          <w:tcPr>
            <w:tcW w:w="739" w:type="dxa"/>
            <w:vAlign w:val="top"/>
          </w:tcPr>
          <w:p>
            <w:pPr>
              <w:spacing w:before="99" w:line="195" w:lineRule="auto"/>
              <w:ind w:left="3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vAlign w:val="top"/>
          </w:tcPr>
          <w:p>
            <w:pPr>
              <w:spacing w:before="99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4838504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26" w:type="dxa"/>
            <w:vAlign w:val="top"/>
          </w:tcPr>
          <w:p>
            <w:pPr>
              <w:spacing w:before="98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481969.81</w:t>
            </w:r>
          </w:p>
        </w:tc>
        <w:tc>
          <w:tcPr>
            <w:tcW w:w="693" w:type="dxa"/>
            <w:vAlign w:val="top"/>
          </w:tcPr>
          <w:p>
            <w:pPr>
              <w:spacing w:before="98" w:line="195" w:lineRule="auto"/>
              <w:ind w:left="3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5" w:type="dxa"/>
            <w:vAlign w:val="top"/>
          </w:tcPr>
          <w:p>
            <w:pPr>
              <w:spacing w:before="98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4838549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70" w:type="dxa"/>
            <w:vAlign w:val="top"/>
          </w:tcPr>
          <w:p>
            <w:pPr>
              <w:spacing w:before="99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482033.77</w:t>
            </w:r>
          </w:p>
        </w:tc>
      </w:tr>
      <w:tr>
        <w:tblPrEx>
          <w:tblW w:w="8367" w:type="dxa"/>
          <w:tblInd w:w="2" w:type="dxa"/>
          <w:tblLayout w:type="fixed"/>
        </w:tblPrEx>
        <w:trPr>
          <w:trHeight w:val="276"/>
        </w:trPr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spacing w:before="68" w:line="195" w:lineRule="auto"/>
              <w:ind w:left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vAlign w:val="top"/>
          </w:tcPr>
          <w:p>
            <w:pPr>
              <w:spacing w:before="68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838491.06</w:t>
            </w:r>
          </w:p>
        </w:tc>
        <w:tc>
          <w:tcPr>
            <w:tcW w:w="1326" w:type="dxa"/>
            <w:vAlign w:val="top"/>
          </w:tcPr>
          <w:p>
            <w:pPr>
              <w:spacing w:before="68" w:line="195" w:lineRule="auto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482018.02</w:t>
            </w:r>
          </w:p>
        </w:tc>
        <w:tc>
          <w:tcPr>
            <w:tcW w:w="693" w:type="dxa"/>
            <w:vAlign w:val="top"/>
          </w:tcPr>
          <w:p>
            <w:pPr>
              <w:spacing w:before="68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45" w:type="dxa"/>
            <w:vAlign w:val="top"/>
          </w:tcPr>
          <w:p>
            <w:pPr>
              <w:spacing w:before="68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838562.22</w:t>
            </w:r>
          </w:p>
        </w:tc>
        <w:tc>
          <w:tcPr>
            <w:tcW w:w="1370" w:type="dxa"/>
            <w:vAlign w:val="top"/>
          </w:tcPr>
          <w:p>
            <w:pPr>
              <w:spacing w:before="68" w:line="195" w:lineRule="auto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481985.56</w:t>
            </w:r>
          </w:p>
        </w:tc>
      </w:tr>
    </w:tbl>
    <w:p>
      <w:pPr>
        <w:spacing w:before="191" w:line="229" w:lineRule="auto"/>
        <w:ind w:left="53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各</w:t>
      </w: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单元设计治理工程措施</w:t>
      </w:r>
    </w:p>
    <w:p>
      <w:pPr>
        <w:spacing w:before="181" w:line="227" w:lineRule="auto"/>
        <w:ind w:left="53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本方案设计在建设初期治理措施主要为</w:t>
      </w:r>
      <w:r>
        <w:rPr>
          <w:rFonts w:ascii="SimSun" w:eastAsia="SimSun" w:hAnsi="SimSun" w:cs="SimSun"/>
          <w:spacing w:val="6"/>
          <w:sz w:val="23"/>
          <w:szCs w:val="23"/>
        </w:rPr>
        <w:t>：</w:t>
      </w:r>
    </w:p>
    <w:p>
      <w:pPr>
        <w:spacing w:before="187" w:line="374" w:lineRule="auto"/>
        <w:ind w:left="42" w:right="44" w:firstLine="49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1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对露天采场终采境界外围设立网围栏、警示牌，对露天采场、碎石加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工</w:t>
      </w:r>
      <w:r>
        <w:rPr>
          <w:rFonts w:ascii="SimSun" w:eastAsia="SimSun" w:hAnsi="SimSun" w:cs="SimSun"/>
          <w:spacing w:val="7"/>
          <w:sz w:val="23"/>
          <w:szCs w:val="23"/>
        </w:rPr>
        <w:t>厂、办公生活区进行表土剥离，并将露天采场内在开采过程中所产生的危岩体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及</w:t>
      </w:r>
      <w:r>
        <w:rPr>
          <w:rFonts w:ascii="SimSun" w:eastAsia="SimSun" w:hAnsi="SimSun" w:cs="SimSun"/>
          <w:spacing w:val="8"/>
          <w:sz w:val="23"/>
          <w:szCs w:val="23"/>
        </w:rPr>
        <w:t>时进行清除、将办公生活区的建筑物，碎石加工场的建筑物，排渣场的废石，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石</w:t>
      </w:r>
      <w:r>
        <w:rPr>
          <w:rFonts w:ascii="SimSun" w:eastAsia="SimSun" w:hAnsi="SimSun" w:cs="SimSun"/>
          <w:spacing w:val="7"/>
          <w:sz w:val="23"/>
          <w:szCs w:val="23"/>
        </w:rPr>
        <w:t>方回填到露天采场底部，将表土存储场的表土清运到露天采场底部和边坡，进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行</w:t>
      </w:r>
      <w:r>
        <w:rPr>
          <w:rFonts w:ascii="SimSun" w:eastAsia="SimSun" w:hAnsi="SimSun" w:cs="SimSun"/>
          <w:spacing w:val="7"/>
          <w:sz w:val="23"/>
          <w:szCs w:val="23"/>
        </w:rPr>
        <w:t>覆土及整形；</w:t>
      </w:r>
    </w:p>
    <w:p>
      <w:pPr>
        <w:spacing w:before="1" w:line="228" w:lineRule="auto"/>
        <w:ind w:left="53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2</w:t>
      </w:r>
      <w:r>
        <w:rPr>
          <w:rFonts w:ascii="SimSun" w:eastAsia="SimSun" w:hAnsi="SimSun" w:cs="SimSun"/>
          <w:spacing w:val="13"/>
          <w:sz w:val="23"/>
          <w:szCs w:val="23"/>
        </w:rPr>
        <w:t>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排渣场进行废渣清运、翻耕、植被恢复；</w:t>
      </w:r>
    </w:p>
    <w:p>
      <w:pPr>
        <w:spacing w:before="183" w:line="228" w:lineRule="auto"/>
        <w:ind w:left="53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3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将表土存储场的表土清运到各个场地，清运后进行翻耕，恢复旱地；</w:t>
      </w:r>
    </w:p>
    <w:p>
      <w:pPr>
        <w:spacing w:before="180" w:line="376" w:lineRule="auto"/>
        <w:ind w:left="43" w:right="107" w:firstLine="49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4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对露天采场及边坡进行地质灾害监测，对矿山地质环境影响范围及土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地</w:t>
      </w:r>
      <w:r>
        <w:rPr>
          <w:rFonts w:ascii="SimSun" w:eastAsia="SimSun" w:hAnsi="SimSun" w:cs="SimSun"/>
          <w:spacing w:val="9"/>
          <w:sz w:val="23"/>
          <w:szCs w:val="23"/>
        </w:rPr>
        <w:t>复垦责任区进行地形地貌景观及土地资源监测；</w:t>
      </w:r>
    </w:p>
    <w:p>
      <w:pPr>
        <w:spacing w:line="228" w:lineRule="auto"/>
        <w:ind w:left="53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5</w:t>
      </w:r>
      <w:r>
        <w:rPr>
          <w:rFonts w:ascii="SimSun" w:eastAsia="SimSun" w:hAnsi="SimSun" w:cs="SimSun"/>
          <w:spacing w:val="15"/>
          <w:sz w:val="23"/>
          <w:szCs w:val="23"/>
        </w:rPr>
        <w:t>)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</w:rPr>
        <w:t>对复垦植被进行管护</w:t>
      </w:r>
      <w:r>
        <w:rPr>
          <w:rFonts w:ascii="SimSun" w:eastAsia="SimSun" w:hAnsi="SimSun" w:cs="SimSun"/>
          <w:spacing w:val="14"/>
          <w:sz w:val="23"/>
          <w:szCs w:val="23"/>
        </w:rPr>
        <w:t>。</w:t>
      </w:r>
    </w:p>
    <w:p>
      <w:pPr>
        <w:spacing w:before="181" w:line="229" w:lineRule="auto"/>
        <w:ind w:left="52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治理工程</w:t>
      </w:r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量</w:t>
      </w:r>
    </w:p>
    <w:p>
      <w:pPr>
        <w:spacing w:before="184" w:line="374" w:lineRule="auto"/>
        <w:ind w:left="42" w:right="81" w:firstLine="48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按照轻重缓急、分阶段实施的原则，总体治理工作部署将本项目近期地质</w:t>
      </w:r>
      <w:r>
        <w:rPr>
          <w:rFonts w:ascii="SimSun" w:eastAsia="SimSun" w:hAnsi="SimSun" w:cs="SimSun"/>
          <w:spacing w:val="1"/>
          <w:sz w:val="23"/>
          <w:szCs w:val="23"/>
        </w:rPr>
        <w:t>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境</w:t>
      </w:r>
      <w:r>
        <w:rPr>
          <w:rFonts w:ascii="SimSun" w:eastAsia="SimSun" w:hAnsi="SimSun" w:cs="SimSun"/>
          <w:spacing w:val="5"/>
          <w:sz w:val="23"/>
          <w:szCs w:val="23"/>
        </w:rPr>
        <w:t>问题和地质灾害治理阶段划分为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年，根据现场调查及实际情况，近期治理的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场</w:t>
      </w:r>
      <w:r>
        <w:rPr>
          <w:rFonts w:ascii="SimSun" w:eastAsia="SimSun" w:hAnsi="SimSun" w:cs="SimSun"/>
          <w:spacing w:val="8"/>
          <w:sz w:val="23"/>
          <w:szCs w:val="23"/>
        </w:rPr>
        <w:t>地主要为露天采场。</w:t>
      </w:r>
    </w:p>
    <w:p>
      <w:pPr>
        <w:spacing w:before="1" w:line="227" w:lineRule="auto"/>
        <w:ind w:left="53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>1</w:t>
      </w:r>
      <w:r>
        <w:rPr>
          <w:rFonts w:ascii="SimSun" w:eastAsia="SimSun" w:hAnsi="SimSun" w:cs="SimSun"/>
          <w:spacing w:val="20"/>
          <w:sz w:val="23"/>
          <w:szCs w:val="23"/>
        </w:rPr>
        <w:t>)</w:t>
      </w:r>
      <w:r>
        <w:rPr>
          <w:rFonts w:ascii="SimSun" w:eastAsia="SimSun" w:hAnsi="SimSun" w:cs="SimSun"/>
          <w:spacing w:val="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露天采</w:t>
      </w:r>
      <w:r>
        <w:rPr>
          <w:rFonts w:ascii="SimSun" w:eastAsia="SimSun" w:hAnsi="SimSun" w:cs="SimSun"/>
          <w:spacing w:val="19"/>
          <w:sz w:val="23"/>
          <w:szCs w:val="23"/>
        </w:rPr>
        <w:t>场</w:t>
      </w:r>
    </w:p>
    <w:p>
      <w:pPr>
        <w:spacing w:before="186" w:line="374" w:lineRule="auto"/>
        <w:ind w:left="43" w:right="81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①表土剥离：根据开发利用方案，矿山在生产前期，对露天采场地表的残</w:t>
      </w:r>
      <w:r>
        <w:rPr>
          <w:rFonts w:ascii="SimSun" w:eastAsia="SimSun" w:hAnsi="SimSun" w:cs="SimSun"/>
          <w:spacing w:val="3"/>
          <w:sz w:val="23"/>
          <w:szCs w:val="23"/>
        </w:rPr>
        <w:t>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积层表土、碎石</w:t>
      </w:r>
      <w:r>
        <w:rPr>
          <w:rFonts w:ascii="SimSun" w:eastAsia="SimSun" w:hAnsi="SimSun" w:cs="SimSun"/>
          <w:spacing w:val="5"/>
          <w:sz w:val="23"/>
          <w:szCs w:val="23"/>
        </w:rPr>
        <w:t>加</w:t>
      </w:r>
      <w:r>
        <w:rPr>
          <w:rFonts w:ascii="SimSun" w:eastAsia="SimSun" w:hAnsi="SimSun" w:cs="SimSun"/>
          <w:spacing w:val="4"/>
          <w:sz w:val="23"/>
          <w:szCs w:val="23"/>
        </w:rPr>
        <w:t>工场、办公生活区进行剥离，剥离量为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51282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position w:val="7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4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，剥离的表土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集</w:t>
      </w:r>
      <w:r>
        <w:rPr>
          <w:rFonts w:ascii="SimSun" w:eastAsia="SimSun" w:hAnsi="SimSun" w:cs="SimSun"/>
          <w:spacing w:val="8"/>
          <w:sz w:val="23"/>
          <w:szCs w:val="23"/>
        </w:rPr>
        <w:t>中堆放在表土存储场内。</w:t>
      </w:r>
    </w:p>
    <w:p>
      <w:pPr>
        <w:spacing w:line="375" w:lineRule="auto"/>
        <w:ind w:left="42" w:right="81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②网</w:t>
      </w:r>
      <w:r>
        <w:rPr>
          <w:rFonts w:ascii="SimSun" w:eastAsia="SimSun" w:hAnsi="SimSun" w:cs="SimSun"/>
          <w:spacing w:val="15"/>
          <w:sz w:val="23"/>
          <w:szCs w:val="23"/>
        </w:rPr>
        <w:t>围</w:t>
      </w:r>
      <w:r>
        <w:rPr>
          <w:rFonts w:ascii="SimSun" w:eastAsia="SimSun" w:hAnsi="SimSun" w:cs="SimSun"/>
          <w:spacing w:val="9"/>
          <w:sz w:val="23"/>
          <w:szCs w:val="23"/>
        </w:rPr>
        <w:t>栏：矿山进行开采工作之前，在预设的露天采场最终开采境界外围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处设置网围栏，防治人员、牲畜误入，本次共设置网围栏长度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1265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。露天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采</w:t>
      </w:r>
      <w:r>
        <w:rPr>
          <w:rFonts w:ascii="SimSun" w:eastAsia="SimSun" w:hAnsi="SimSun" w:cs="SimSun"/>
          <w:spacing w:val="5"/>
          <w:sz w:val="23"/>
          <w:szCs w:val="23"/>
        </w:rPr>
        <w:t>场外围设立网围栏拐点坐标见表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  <w:r>
        <w:rPr>
          <w:rFonts w:ascii="SimSun" w:eastAsia="SimSun" w:hAnsi="SimSun" w:cs="SimSun"/>
          <w:sz w:val="23"/>
          <w:szCs w:val="23"/>
        </w:rPr>
        <w:br/>
      </w:r>
      <w:r>
        <w:rPr>
          <w:rFonts w:ascii="SimSun" w:eastAsia="SimSun" w:hAnsi="SimSun" w:cs="SimSun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https://d.book118.com/925212013341011033</w:t>
        </w:r>
      </w:hyperlink>
    </w:p>
    <w:p>
      <w:pPr>
        <w:spacing w:line="375" w:lineRule="auto"/>
        <w:ind w:left="42" w:right="81" w:firstLine="479"/>
        <w:rPr>
          <w:rFonts w:ascii="SimSun" w:eastAsia="SimSun" w:hAnsi="SimSun" w:cs="SimSun"/>
          <w:sz w:val="23"/>
          <w:szCs w:val="23"/>
        </w:rPr>
      </w:pPr>
    </w:p>
    <w:sectPr>
      <w:footerReference w:type="default" r:id="rId12"/>
      <w:pgSz w:w="11906" w:h="16839"/>
      <w:pgMar w:top="1431" w:right="1718" w:bottom="1151" w:left="1766" w:header="0" w:footer="991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4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4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4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4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4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yperlink" Target="https://d.book118.com/925212013341011033" TargetMode="External" /><Relationship Id="rId12" Type="http://schemas.openxmlformats.org/officeDocument/2006/relationships/footer" Target="footer5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2023-04-01T12:51:30Z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2023-06-04T10:19:16Z</vt:filetime>
  </property>
  <property fmtid="{D5CDD505-2E9C-101B-9397-08002B2CF9AE}" pid="3" name="CRO">
    <vt:lpwstr>wqlLaW5nc29mdCBQREYgdG8gV1BTIDgw</vt:lpwstr>
  </property>
</Properties>
</file>