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360" w:lineRule="exact"/>
        <w:rPr>
          <w:rFonts w:eastAsia="仿宋"/>
          <w:sz w:val="28"/>
          <w:szCs w:val="28"/>
        </w:rPr>
      </w:pPr>
    </w:p>
    <w:p>
      <w:pPr>
        <w:snapToGrid w:val="0"/>
        <w:spacing w:line="360" w:lineRule="exact"/>
        <w:rPr>
          <w:b/>
        </w:rPr>
      </w:pPr>
      <w:r>
        <w:pict>
          <v:shapetype id="_x0000_t202" coordsize="21600,21600" o:spt="202" path="m,l,21600r21600,l21600,xe">
            <v:stroke joinstyle="miter"/>
            <v:path gradientshapeok="t" o:connecttype="rect"/>
          </v:shapetype>
          <v:shape id="WordArt 10" o:spid="_x0000_s1025" type="#_x0000_t202" style="width:87pt;height:23.7pt;margin-top:-18pt;margin-left:357pt;mso-height-relative:page;mso-width-relative:page;position:absolute;z-index:251660288" coordsize="21600,21600" adj="10800" filled="f" stroked="f">
            <v:stroke joinstyle="miter"/>
            <o:lock v:ext="edit" text="t"/>
            <v:textbox style="mso-fit-shape-to-text:t">
              <w:txbxContent>
                <w:p>
                  <w:pPr>
                    <w:pStyle w:val="NormalWeb"/>
                    <w:spacing w:before="0" w:beforeAutospacing="0" w:after="0" w:afterAutospacing="0"/>
                    <w:jc w:val="center"/>
                  </w:pPr>
                </w:p>
              </w:txbxContent>
            </v:textbox>
          </v:shape>
        </w:pict>
      </w:r>
      <w:r>
        <w:rPr>
          <w:rFonts w:hAnsi="宋体"/>
          <w:b/>
        </w:rPr>
        <w:t>国际标准分类号</w:t>
      </w:r>
      <w:r>
        <w:rPr>
          <w:b/>
        </w:rPr>
        <w:t>ICS</w:t>
      </w:r>
    </w:p>
    <w:p>
      <w:pPr>
        <w:tabs>
          <w:tab w:val="left" w:pos="7455"/>
        </w:tabs>
        <w:snapToGrid w:val="0"/>
        <w:spacing w:line="360" w:lineRule="exact"/>
        <w:rPr>
          <w:b/>
        </w:rPr>
      </w:pPr>
      <w:r>
        <w:rPr>
          <w:rFonts w:hAnsi="宋体"/>
          <w:b/>
        </w:rPr>
        <w:t>中国标准文献分类号</w:t>
      </w:r>
      <w:r>
        <w:rPr>
          <w:b/>
        </w:rPr>
        <w:t>CCS</w:t>
      </w:r>
    </w:p>
    <w:p>
      <w:pPr>
        <w:spacing w:before="317" w:beforeLines="100" w:after="158" w:afterLines="50"/>
        <w:jc w:val="left"/>
        <w:rPr>
          <w:rFonts w:eastAsia="黑体"/>
          <w:b/>
          <w:sz w:val="48"/>
          <w:szCs w:val="48"/>
        </w:rPr>
      </w:pPr>
      <w:r>
        <w:rPr>
          <w:rFonts w:eastAsia="黑体" w:hAnsi="黑体"/>
          <w:b/>
          <w:sz w:val="48"/>
          <w:szCs w:val="48"/>
        </w:rPr>
        <w:t>中国石油和化工勘察设计协会团体标准</w:t>
      </w:r>
    </w:p>
    <w:p>
      <w:pPr>
        <w:jc w:val="right"/>
        <w:rPr>
          <w:sz w:val="24"/>
        </w:rPr>
      </w:pPr>
    </w:p>
    <w:p>
      <w:pPr>
        <w:jc w:val="right"/>
        <w:rPr>
          <w:b/>
          <w:bCs/>
        </w:rPr>
      </w:pPr>
      <w:bookmarkStart w:id="0" w:name="_Hlk150261532"/>
      <w:r>
        <w:rPr>
          <w:b/>
          <w:bCs/>
        </w:rPr>
        <w:pict>
          <v:line id="直线 2" o:spid="_x0000_s1026" style="mso-height-relative:page;mso-width-relative:page;position:absolute;z-index:251658240" from="-11.4pt,30.45pt" to="461.8pt,30.45pt" coordsize="21600,21600"/>
        </w:pict>
      </w:r>
      <w:r>
        <w:rPr>
          <w:b/>
          <w:sz w:val="32"/>
          <w:szCs w:val="32"/>
        </w:rPr>
        <w:t>T/HGJ XXXXX-20YY</w:t>
      </w:r>
      <w:bookmarkEnd w:id="0"/>
    </w:p>
    <w:p/>
    <w:p/>
    <w:p/>
    <w:p/>
    <w:p/>
    <w:p>
      <w:pPr>
        <w:jc w:val="center"/>
        <w:rPr>
          <w:b/>
          <w:bCs/>
          <w:sz w:val="44"/>
          <w:szCs w:val="44"/>
        </w:rPr>
      </w:pPr>
      <w:r>
        <w:rPr>
          <w:b/>
          <w:bCs/>
          <w:sz w:val="44"/>
          <w:szCs w:val="44"/>
        </w:rPr>
        <w:t>橡胶工厂供热系统设计规范</w:t>
      </w:r>
    </w:p>
    <w:p>
      <w:pPr>
        <w:jc w:val="center"/>
        <w:rPr>
          <w:b/>
          <w:bCs/>
          <w:sz w:val="44"/>
          <w:szCs w:val="44"/>
        </w:rPr>
      </w:pPr>
    </w:p>
    <w:p>
      <w:pPr>
        <w:jc w:val="center"/>
      </w:pPr>
      <w:r>
        <w:rPr>
          <w:b/>
          <w:bCs/>
          <w:sz w:val="32"/>
          <w:szCs w:val="32"/>
        </w:rPr>
        <w:t>Code for design of heating system in rubber factory</w:t>
      </w:r>
    </w:p>
    <w:p>
      <w:pPr>
        <w:jc w:val="center"/>
        <w:rPr>
          <w:sz w:val="30"/>
          <w:szCs w:val="30"/>
        </w:rPr>
      </w:pPr>
    </w:p>
    <w:p>
      <w:pPr>
        <w:snapToGrid w:val="0"/>
        <w:spacing w:before="634" w:beforeLines="200" w:beforeAutospacing="1" w:after="634" w:afterLines="200" w:afterAutospacing="1"/>
        <w:jc w:val="center"/>
        <w:rPr>
          <w:color w:val="000000" w:themeColor="text1"/>
          <w:sz w:val="30"/>
          <w:szCs w:val="30"/>
        </w:rPr>
      </w:pPr>
      <w:r>
        <w:rPr>
          <w:rFonts w:hint="eastAsia"/>
          <w:color w:val="000000" w:themeColor="text1"/>
          <w:sz w:val="30"/>
          <w:szCs w:val="30"/>
        </w:rPr>
        <w:t>(征求</w:t>
      </w:r>
      <w:r>
        <w:rPr>
          <w:color w:val="000000" w:themeColor="text1"/>
          <w:sz w:val="30"/>
          <w:szCs w:val="30"/>
        </w:rPr>
        <w:t>意见稿</w:t>
      </w:r>
      <w:r>
        <w:rPr>
          <w:rFonts w:hint="eastAsia"/>
          <w:color w:val="000000" w:themeColor="text1"/>
          <w:sz w:val="30"/>
          <w:szCs w:val="30"/>
        </w:rPr>
        <w:t>)</w:t>
      </w:r>
    </w:p>
    <w:p>
      <w:pPr>
        <w:snapToGrid w:val="0"/>
        <w:spacing w:before="634" w:beforeLines="200" w:beforeAutospacing="1" w:after="634" w:afterLines="200" w:afterAutospacing="1"/>
        <w:jc w:val="center"/>
        <w:rPr>
          <w:sz w:val="30"/>
          <w:szCs w:val="30"/>
        </w:rPr>
      </w:pPr>
    </w:p>
    <w:p>
      <w:pPr>
        <w:snapToGrid w:val="0"/>
        <w:spacing w:before="634" w:beforeLines="200" w:beforeAutospacing="1" w:after="634" w:afterLines="200" w:afterAutospacing="1"/>
        <w:jc w:val="center"/>
        <w:rPr>
          <w:sz w:val="30"/>
          <w:szCs w:val="30"/>
        </w:rPr>
      </w:pPr>
    </w:p>
    <w:p>
      <w:pPr>
        <w:snapToGrid w:val="0"/>
        <w:spacing w:before="634" w:beforeLines="200" w:beforeAutospacing="1" w:after="634" w:afterLines="200" w:afterAutospacing="1"/>
        <w:jc w:val="center"/>
        <w:rPr>
          <w:sz w:val="30"/>
          <w:szCs w:val="30"/>
        </w:rPr>
      </w:pPr>
    </w:p>
    <w:p>
      <w:pPr>
        <w:snapToGrid w:val="0"/>
        <w:spacing w:before="634" w:beforeLines="200" w:beforeAutospacing="1" w:after="634" w:afterLines="200" w:afterAutospacing="1"/>
        <w:rPr>
          <w:sz w:val="30"/>
          <w:szCs w:val="30"/>
        </w:rPr>
      </w:pPr>
    </w:p>
    <w:p>
      <w:pPr>
        <w:snapToGrid w:val="0"/>
        <w:spacing w:before="634" w:beforeLines="200" w:beforeAutospacing="1" w:after="634" w:afterLines="200" w:afterAutospacing="1"/>
        <w:rPr>
          <w:sz w:val="30"/>
          <w:szCs w:val="30"/>
        </w:rPr>
      </w:pPr>
    </w:p>
    <w:p>
      <w:pPr>
        <w:snapToGrid w:val="0"/>
        <w:jc w:val="center"/>
        <w:rPr>
          <w:b/>
          <w:sz w:val="32"/>
          <w:szCs w:val="32"/>
        </w:rPr>
      </w:pPr>
      <w:bookmarkStart w:id="1" w:name="OLE_LINK11"/>
      <w:bookmarkStart w:id="2" w:name="OLE_LINK12"/>
      <w:r>
        <w:rPr>
          <w:b/>
          <w:sz w:val="32"/>
          <w:szCs w:val="32"/>
        </w:rPr>
        <w:t>20YY-MM-DD</w:t>
      </w:r>
      <w:r>
        <w:rPr>
          <w:rFonts w:eastAsia="黑体" w:hAnsi="黑体"/>
          <w:b/>
          <w:sz w:val="32"/>
          <w:szCs w:val="32"/>
        </w:rPr>
        <w:t>发布</w:t>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20YY-MM-DD</w:t>
      </w:r>
      <w:r>
        <w:rPr>
          <w:rFonts w:eastAsia="黑体" w:hAnsi="黑体"/>
          <w:b/>
          <w:sz w:val="32"/>
          <w:szCs w:val="32"/>
        </w:rPr>
        <w:t>实施</w:t>
      </w:r>
    </w:p>
    <w:p>
      <w:pPr>
        <w:snapToGrid w:val="0"/>
        <w:spacing w:before="317" w:beforeLines="100" w:after="317" w:afterLines="100"/>
        <w:jc w:val="center"/>
        <w:rPr>
          <w:b/>
          <w:sz w:val="32"/>
          <w:szCs w:val="32"/>
        </w:rPr>
      </w:pPr>
      <w:r>
        <w:pict>
          <v:line id="Line 4" o:spid="_x0000_s1027" style="flip:x y;mso-height-relative:page;mso-width-relative:page;position:absolute;z-index:251659264" from="0,10.8pt" to="451.5pt,10.8pt" coordsize="21600,21600"/>
        </w:pict>
      </w:r>
    </w:p>
    <w:p>
      <w:pPr>
        <w:snapToGrid w:val="0"/>
        <w:jc w:val="center"/>
        <w:rPr>
          <w:rFonts w:eastAsia="黑体"/>
          <w:b/>
          <w:sz w:val="32"/>
          <w:szCs w:val="32"/>
        </w:rPr>
      </w:pPr>
      <w:r>
        <w:rPr>
          <w:rFonts w:eastAsia="黑体" w:hAnsi="黑体"/>
          <w:b/>
          <w:sz w:val="32"/>
          <w:szCs w:val="32"/>
        </w:rPr>
        <w:t>中国石油和化工勘察设计协会发布</w:t>
      </w:r>
      <w:bookmarkEnd w:id="1"/>
      <w:bookmarkEnd w:id="2"/>
      <w:bookmarkStart w:id="3" w:name="_Toc9219"/>
    </w:p>
    <w:p>
      <w:pPr>
        <w:rPr>
          <w:rFonts w:eastAsia="黑体"/>
          <w:b/>
          <w:sz w:val="32"/>
          <w:szCs w:val="32"/>
        </w:rPr>
      </w:pPr>
      <w:r>
        <w:rPr>
          <w:rFonts w:eastAsia="黑体"/>
          <w:b/>
          <w:sz w:val="32"/>
          <w:szCs w:val="32"/>
        </w:rPr>
        <w:br w:type="page"/>
      </w:r>
    </w:p>
    <w:p>
      <w:pPr>
        <w:snapToGrid w:val="0"/>
        <w:jc w:val="center"/>
        <w:rPr>
          <w:rFonts w:eastAsia="黑体"/>
          <w:b/>
          <w:sz w:val="32"/>
          <w:szCs w:val="32"/>
        </w:rPr>
        <w:sectPr>
          <w:headerReference w:type="even" r:id="rId6"/>
          <w:headerReference w:type="default" r:id="rId7"/>
          <w:footerReference w:type="even" r:id="rId8"/>
          <w:pgSz w:w="11906" w:h="16838"/>
          <w:pgMar w:top="1417" w:right="1134" w:bottom="1134" w:left="1417" w:header="1417" w:footer="1134" w:gutter="0"/>
          <w:cols w:num="1" w:space="0"/>
          <w:docGrid w:type="lines" w:linePitch="317" w:charSpace="0"/>
        </w:sectPr>
      </w:pPr>
    </w:p>
    <w:bookmarkEnd w:id="3"/>
    <w:p>
      <w:pPr>
        <w:sectPr>
          <w:headerReference w:type="even" r:id="rId9"/>
          <w:headerReference w:type="default" r:id="rId10"/>
          <w:footerReference w:type="even" r:id="rId11"/>
          <w:footerReference w:type="default" r:id="rId12"/>
          <w:pgSz w:w="11906" w:h="16838"/>
          <w:pgMar w:top="1440" w:right="1800" w:bottom="1440" w:left="1800" w:header="1417" w:footer="1134" w:gutter="0"/>
          <w:pgNumType w:fmt="upperRoman" w:start="1"/>
          <w:cols w:num="1" w:space="0"/>
          <w:docGrid w:type="lines" w:linePitch="317" w:charSpace="0"/>
        </w:sectPr>
      </w:pPr>
    </w:p>
    <w:p>
      <w:pPr>
        <w:sectPr>
          <w:headerReference w:type="even" r:id="rId13"/>
          <w:headerReference w:type="default" r:id="rId14"/>
          <w:footerReference w:type="even" r:id="rId15"/>
          <w:footerReference w:type="default" r:id="rId16"/>
          <w:pgSz w:w="11906" w:h="16838"/>
          <w:pgMar w:top="1417" w:right="1134" w:bottom="1134" w:left="1417" w:header="1417" w:footer="1134" w:gutter="0"/>
          <w:pgNumType w:start="1"/>
          <w:cols w:num="1" w:space="0"/>
          <w:docGrid w:type="lines" w:linePitch="317" w:charSpace="0"/>
        </w:sectPr>
      </w:pPr>
    </w:p>
    <w:p>
      <w:pPr>
        <w:sectPr>
          <w:headerReference w:type="even" r:id="rId17"/>
          <w:headerReference w:type="default" r:id="rId18"/>
          <w:footerReference w:type="even" r:id="rId19"/>
          <w:footerReference w:type="default" r:id="rId20"/>
          <w:pgSz w:w="11906" w:h="16838"/>
          <w:pgMar w:top="1440" w:right="1800" w:bottom="1440" w:left="1800" w:header="1417" w:footer="1134" w:gutter="0"/>
          <w:pgNumType w:fmt="upperRoman" w:start="1"/>
          <w:cols w:num="1" w:space="0"/>
          <w:docGrid w:type="lines" w:linePitch="317" w:charSpace="0"/>
        </w:sectPr>
      </w:pPr>
    </w:p>
    <w:p>
      <w:pPr>
        <w:sectPr>
          <w:headerReference w:type="even" r:id="rId21"/>
          <w:headerReference w:type="default" r:id="rId22"/>
          <w:footerReference w:type="even" r:id="rId23"/>
          <w:footerReference w:type="default" r:id="rId24"/>
          <w:pgSz w:w="11906" w:h="16838"/>
          <w:pgMar w:top="1417" w:right="1134" w:bottom="1134" w:left="1417" w:header="1417" w:footer="1134" w:gutter="0"/>
          <w:pgNumType w:start="1"/>
          <w:cols w:num="1" w:space="0"/>
          <w:docGrid w:type="lines" w:linePitch="317" w:charSpace="0"/>
        </w:sectPr>
      </w:pPr>
    </w:p>
    <w:p>
      <w:pPr>
        <w:spacing w:line="360" w:lineRule="auto"/>
        <w:rPr>
          <w:rFonts w:eastAsia="黑体"/>
          <w:b/>
          <w:bCs/>
          <w:sz w:val="32"/>
          <w:szCs w:val="40"/>
        </w:rPr>
      </w:pPr>
      <w:bookmarkStart w:id="4" w:name="_Toc250978264"/>
      <w:bookmarkStart w:id="5" w:name="_Toc251834620"/>
      <w:bookmarkStart w:id="6" w:name="_Toc77013807"/>
      <w:bookmarkStart w:id="7" w:name="_Toc236472857"/>
    </w:p>
    <w:p>
      <w:pPr>
        <w:pStyle w:val="Heading1"/>
        <w:spacing w:line="360" w:lineRule="auto"/>
        <w:jc w:val="center"/>
        <w:rPr>
          <w:rFonts w:eastAsia="宋体"/>
          <w:b/>
          <w:bCs w:val="0"/>
          <w:sz w:val="32"/>
          <w:szCs w:val="32"/>
        </w:rPr>
      </w:pPr>
      <w:bookmarkStart w:id="8" w:name="_GoBack"/>
      <w:bookmarkEnd w:id="8"/>
      <w:bookmarkStart w:id="9" w:name="_Toc11429"/>
      <w:bookmarkStart w:id="10" w:name="_Toc29475"/>
      <w:bookmarkStart w:id="11" w:name="_Toc28016"/>
      <w:bookmarkStart w:id="12" w:name="_Toc155451824"/>
      <w:bookmarkStart w:id="13" w:name="_Toc155642928"/>
      <w:bookmarkStart w:id="14" w:name="_Toc155702111"/>
      <w:bookmarkStart w:id="15" w:name="_Toc150261138"/>
      <w:bookmarkStart w:id="16" w:name="_Toc150261415"/>
      <w:r>
        <w:rPr>
          <w:rFonts w:eastAsia="宋体"/>
          <w:b/>
          <w:bCs w:val="0"/>
          <w:sz w:val="32"/>
          <w:szCs w:val="32"/>
        </w:rPr>
        <w:t xml:space="preserve">1 </w:t>
      </w:r>
      <w:r>
        <w:rPr>
          <w:rFonts w:eastAsia="宋体" w:hAnsi="宋体"/>
          <w:b/>
          <w:bCs w:val="0"/>
          <w:sz w:val="32"/>
          <w:szCs w:val="32"/>
        </w:rPr>
        <w:t>总</w:t>
      </w:r>
      <w:r>
        <w:rPr>
          <w:rFonts w:eastAsia="宋体"/>
          <w:b/>
          <w:bCs w:val="0"/>
          <w:sz w:val="32"/>
          <w:szCs w:val="32"/>
        </w:rPr>
        <w:t xml:space="preserve">  </w:t>
      </w:r>
      <w:r>
        <w:rPr>
          <w:rFonts w:eastAsia="宋体" w:hAnsi="宋体"/>
          <w:b/>
          <w:bCs w:val="0"/>
          <w:sz w:val="32"/>
          <w:szCs w:val="32"/>
        </w:rPr>
        <w:t>则</w:t>
      </w:r>
      <w:bookmarkEnd w:id="9"/>
      <w:bookmarkEnd w:id="10"/>
      <w:bookmarkEnd w:id="11"/>
      <w:bookmarkEnd w:id="12"/>
      <w:bookmarkEnd w:id="13"/>
      <w:bookmarkEnd w:id="14"/>
    </w:p>
    <w:p>
      <w:pPr>
        <w:spacing w:line="300" w:lineRule="auto"/>
      </w:pPr>
    </w:p>
    <w:p>
      <w:pPr>
        <w:spacing w:line="300" w:lineRule="auto"/>
      </w:pPr>
      <w:r>
        <w:t>1.0.1  为提高橡胶工厂供热系统设计水平，保证系统安全可靠、运行灵活、技术先进、经济节能，结合橡胶工厂生产工艺用热的特点制定本规范。</w:t>
      </w:r>
    </w:p>
    <w:p>
      <w:pPr>
        <w:spacing w:line="300" w:lineRule="auto"/>
      </w:pPr>
      <w:r>
        <w:t>1.0.2  本规范适用于橡胶工厂新建、改建和扩建工程项目的供热系统设计。</w:t>
      </w:r>
    </w:p>
    <w:p>
      <w:pPr>
        <w:spacing w:line="300" w:lineRule="auto"/>
      </w:pPr>
      <w:r>
        <w:t>1.0.3  供热系统设计应根据橡胶工厂特点、规模和发展规划，做到远近期结合，在满足近期使用要求的同时，兼顾扩建改造的需要。</w:t>
      </w:r>
    </w:p>
    <w:p>
      <w:pPr>
        <w:spacing w:line="300" w:lineRule="auto"/>
      </w:pPr>
      <w:r>
        <w:t>1.0.4  供热系统设计，必须满足使用要求和供热系统的安全，同时还应为施工安装、操作管理、维修检测等提供便利条件。</w:t>
      </w:r>
    </w:p>
    <w:p>
      <w:pPr>
        <w:spacing w:line="300" w:lineRule="auto"/>
      </w:pPr>
      <w:r>
        <w:t>1.0.5  供热系统设计应采用经实践证明行之有效的新技术和新材料，提高经济效益、社会效益。</w:t>
      </w:r>
    </w:p>
    <w:p>
      <w:pPr>
        <w:spacing w:line="300" w:lineRule="auto"/>
      </w:pPr>
      <w:r>
        <w:t>1.0.6  橡胶工厂建设项目的供热系统设计除应符合本规范外，尚应符合国家现行有关标准的规定。</w:t>
      </w:r>
    </w:p>
    <w:p>
      <w:pPr>
        <w:spacing w:line="360" w:lineRule="auto"/>
      </w:pPr>
    </w:p>
    <w:bookmarkEnd w:id="15"/>
    <w:bookmarkEnd w:id="16"/>
    <w:p>
      <w:pPr>
        <w:spacing w:line="360" w:lineRule="auto"/>
        <w:ind w:firstLine="420" w:firstLineChars="200"/>
        <w:rPr>
          <w:szCs w:val="21"/>
        </w:rPr>
        <w:sectPr>
          <w:headerReference w:type="even" r:id="rId25"/>
          <w:headerReference w:type="default" r:id="rId26"/>
          <w:footerReference w:type="even" r:id="rId27"/>
          <w:footerReference w:type="default" r:id="rId28"/>
          <w:type w:val="nextPage"/>
          <w:pgSz w:w="11906" w:h="16838"/>
          <w:pgMar w:top="1440" w:right="1800" w:bottom="1440" w:left="1800" w:header="1417" w:footer="1134" w:gutter="0"/>
          <w:pgNumType w:fmt="upperRoman" w:start="2"/>
          <w:cols w:num="1" w:space="0"/>
          <w:titlePg w:val="0"/>
          <w:docGrid w:type="lines" w:linePitch="317" w:charSpace="0"/>
        </w:sectPr>
      </w:pPr>
    </w:p>
    <w:p>
      <w:pPr>
        <w:sectPr>
          <w:headerReference w:type="even" r:id="rId29"/>
          <w:headerReference w:type="default" r:id="rId30"/>
          <w:footerReference w:type="even" r:id="rId31"/>
          <w:footerReference w:type="default" r:id="rId32"/>
          <w:pgSz w:w="11906" w:h="16838"/>
          <w:pgMar w:top="1417" w:right="1134" w:bottom="1134" w:left="1417" w:header="1417" w:footer="1134" w:gutter="0"/>
          <w:pgNumType w:start="1"/>
          <w:cols w:num="1" w:space="0"/>
          <w:docGrid w:type="lines" w:linePitch="317" w:charSpace="0"/>
        </w:sectPr>
      </w:pPr>
    </w:p>
    <w:bookmarkEnd w:id="4"/>
    <w:bookmarkEnd w:id="5"/>
    <w:bookmarkEnd w:id="6"/>
    <w:bookmarkEnd w:id="7"/>
    <w:p>
      <w:pPr>
        <w:sectPr>
          <w:headerReference w:type="even" r:id="rId33"/>
          <w:headerReference w:type="default" r:id="rId34"/>
          <w:footerReference w:type="even" r:id="rId35"/>
          <w:footerReference w:type="default" r:id="rId36"/>
          <w:type w:val="nextPage"/>
          <w:pgSz w:w="11906" w:h="16838"/>
          <w:pgMar w:top="1417" w:right="1134" w:bottom="1134" w:left="1417" w:header="1417" w:footer="1134" w:gutter="0"/>
          <w:pgNumType w:start="2"/>
          <w:cols w:num="1" w:space="0"/>
          <w:titlePg w:val="0"/>
          <w:docGrid w:type="lines" w:linePitch="317" w:charSpace="0"/>
        </w:sectPr>
      </w:pPr>
    </w:p>
    <w:p>
      <w:pPr>
        <w:pStyle w:val="Heading1"/>
        <w:spacing w:line="360" w:lineRule="auto"/>
        <w:jc w:val="center"/>
        <w:rPr>
          <w:rFonts w:eastAsia="宋体"/>
          <w:b/>
          <w:bCs w:val="0"/>
          <w:sz w:val="32"/>
          <w:szCs w:val="32"/>
        </w:rPr>
      </w:pPr>
      <w:bookmarkStart w:id="17" w:name="_Toc236472858"/>
      <w:bookmarkStart w:id="18" w:name="_Toc251834621"/>
      <w:bookmarkStart w:id="19" w:name="_Toc77013808"/>
      <w:bookmarkStart w:id="20" w:name="_Toc250978265"/>
      <w:bookmarkStart w:id="21" w:name="_Toc155451825"/>
      <w:bookmarkStart w:id="22" w:name="_Toc150261142"/>
      <w:bookmarkStart w:id="23" w:name="_Toc150261419"/>
      <w:bookmarkStart w:id="24" w:name="_Toc14001"/>
      <w:bookmarkStart w:id="25" w:name="_Toc155702112"/>
      <w:bookmarkStart w:id="26" w:name="_Toc155642929"/>
      <w:r>
        <w:rPr>
          <w:rFonts w:eastAsia="宋体"/>
          <w:b/>
          <w:bCs w:val="0"/>
          <w:sz w:val="32"/>
          <w:szCs w:val="32"/>
        </w:rPr>
        <w:t xml:space="preserve">2 </w:t>
      </w:r>
      <w:r>
        <w:rPr>
          <w:rFonts w:eastAsia="宋体" w:hAnsi="宋体"/>
          <w:b/>
          <w:bCs w:val="0"/>
          <w:sz w:val="32"/>
          <w:szCs w:val="32"/>
        </w:rPr>
        <w:t>术语</w:t>
      </w:r>
      <w:bookmarkEnd w:id="17"/>
      <w:bookmarkEnd w:id="18"/>
      <w:bookmarkEnd w:id="19"/>
      <w:bookmarkEnd w:id="20"/>
      <w:bookmarkEnd w:id="21"/>
      <w:bookmarkEnd w:id="22"/>
      <w:bookmarkEnd w:id="23"/>
      <w:bookmarkEnd w:id="24"/>
      <w:bookmarkEnd w:id="25"/>
      <w:bookmarkEnd w:id="26"/>
    </w:p>
    <w:p>
      <w:pPr>
        <w:spacing w:line="300" w:lineRule="auto"/>
        <w:jc w:val="left"/>
        <w:rPr>
          <w:rFonts w:eastAsia="黑体"/>
          <w:szCs w:val="21"/>
        </w:rPr>
      </w:pPr>
    </w:p>
    <w:p>
      <w:pPr>
        <w:spacing w:line="300" w:lineRule="auto"/>
        <w:jc w:val="left"/>
        <w:rPr>
          <w:rFonts w:eastAsiaTheme="minorEastAsia"/>
          <w:szCs w:val="21"/>
        </w:rPr>
      </w:pPr>
      <w:r>
        <w:rPr>
          <w:rFonts w:eastAsiaTheme="minorEastAsia"/>
          <w:szCs w:val="21"/>
        </w:rPr>
        <w:t>2.0.1 供热系统</w:t>
      </w:r>
    </w:p>
    <w:p>
      <w:pPr>
        <w:spacing w:line="300" w:lineRule="auto"/>
        <w:ind w:firstLine="480"/>
        <w:jc w:val="left"/>
        <w:rPr>
          <w:rFonts w:eastAsiaTheme="minorEastAsia"/>
          <w:szCs w:val="21"/>
        </w:rPr>
      </w:pPr>
      <w:r>
        <w:rPr>
          <w:rFonts w:eastAsiaTheme="minorEastAsia"/>
          <w:szCs w:val="21"/>
        </w:rPr>
        <w:t>区域性热电联产的外供热源和锅炉房产生的蒸汽</w:t>
      </w:r>
      <w:r>
        <w:rPr>
          <w:rFonts w:eastAsiaTheme="minorEastAsia" w:hint="eastAsia"/>
          <w:szCs w:val="21"/>
        </w:rPr>
        <w:t>或</w:t>
      </w:r>
      <w:r>
        <w:rPr>
          <w:rFonts w:eastAsiaTheme="minorEastAsia"/>
          <w:szCs w:val="21"/>
        </w:rPr>
        <w:t>热水的设备及管道组成件的总称。</w:t>
      </w:r>
    </w:p>
    <w:p>
      <w:pPr>
        <w:spacing w:line="300" w:lineRule="auto"/>
        <w:jc w:val="left"/>
        <w:rPr>
          <w:rFonts w:eastAsiaTheme="minorEastAsia"/>
          <w:szCs w:val="21"/>
        </w:rPr>
      </w:pPr>
      <w:r>
        <w:rPr>
          <w:rFonts w:eastAsiaTheme="minorEastAsia" w:hint="eastAsia"/>
          <w:szCs w:val="21"/>
        </w:rPr>
        <w:t>2.0.2 热力站</w:t>
      </w:r>
    </w:p>
    <w:p>
      <w:pPr>
        <w:spacing w:line="300" w:lineRule="auto"/>
        <w:ind w:firstLine="480"/>
        <w:jc w:val="left"/>
        <w:rPr>
          <w:rFonts w:eastAsiaTheme="minorEastAsia"/>
          <w:szCs w:val="21"/>
        </w:rPr>
      </w:pPr>
      <w:r>
        <w:rPr>
          <w:rFonts w:eastAsiaTheme="minorEastAsia" w:hint="eastAsia"/>
          <w:szCs w:val="21"/>
        </w:rPr>
        <w:t>用于提供符合用热要求或回收余热的站房。</w:t>
      </w:r>
    </w:p>
    <w:p>
      <w:pPr>
        <w:spacing w:line="300" w:lineRule="auto"/>
        <w:jc w:val="left"/>
        <w:rPr>
          <w:rFonts w:eastAsiaTheme="minorEastAsia"/>
          <w:szCs w:val="21"/>
        </w:rPr>
      </w:pPr>
      <w:r>
        <w:rPr>
          <w:rFonts w:eastAsiaTheme="minorEastAsia"/>
          <w:szCs w:val="21"/>
        </w:rPr>
        <w:t>2.0.</w:t>
      </w:r>
      <w:r>
        <w:rPr>
          <w:rFonts w:eastAsiaTheme="minorEastAsia" w:hint="eastAsia"/>
          <w:szCs w:val="21"/>
        </w:rPr>
        <w:t xml:space="preserve">3 </w:t>
      </w:r>
      <w:r>
        <w:rPr>
          <w:rFonts w:eastAsiaTheme="minorEastAsia"/>
          <w:szCs w:val="21"/>
        </w:rPr>
        <w:t>动力站</w:t>
      </w:r>
    </w:p>
    <w:p>
      <w:pPr>
        <w:spacing w:line="300" w:lineRule="auto"/>
        <w:ind w:firstLine="480"/>
        <w:jc w:val="left"/>
        <w:rPr>
          <w:rFonts w:eastAsiaTheme="minorEastAsia"/>
          <w:szCs w:val="21"/>
        </w:rPr>
      </w:pPr>
      <w:r>
        <w:rPr>
          <w:rFonts w:eastAsiaTheme="minorEastAsia"/>
          <w:szCs w:val="21"/>
        </w:rPr>
        <w:t>由容器、换热器、水泵以及控制系统组成</w:t>
      </w:r>
      <w:r>
        <w:rPr>
          <w:rFonts w:eastAsiaTheme="minorEastAsia" w:hint="eastAsia"/>
          <w:szCs w:val="21"/>
        </w:rPr>
        <w:t>，</w:t>
      </w:r>
      <w:r>
        <w:rPr>
          <w:rFonts w:eastAsiaTheme="minorEastAsia"/>
          <w:szCs w:val="21"/>
        </w:rPr>
        <w:t>用于向硫化机提供热介质</w:t>
      </w:r>
      <w:r>
        <w:rPr>
          <w:rFonts w:eastAsiaTheme="minorEastAsia" w:hint="eastAsia"/>
          <w:szCs w:val="21"/>
        </w:rPr>
        <w:t>，</w:t>
      </w:r>
      <w:r>
        <w:rPr>
          <w:rFonts w:eastAsiaTheme="minorEastAsia"/>
          <w:szCs w:val="21"/>
        </w:rPr>
        <w:t>或回收热介质的站房。</w:t>
      </w:r>
    </w:p>
    <w:p>
      <w:pPr>
        <w:spacing w:line="300" w:lineRule="auto"/>
        <w:jc w:val="left"/>
        <w:rPr>
          <w:rFonts w:eastAsiaTheme="minorEastAsia"/>
          <w:szCs w:val="21"/>
        </w:rPr>
      </w:pPr>
      <w:r>
        <w:rPr>
          <w:rFonts w:eastAsiaTheme="minorEastAsia"/>
          <w:szCs w:val="21"/>
        </w:rPr>
        <w:t>2.0.</w:t>
      </w:r>
      <w:r>
        <w:rPr>
          <w:rFonts w:eastAsiaTheme="minorEastAsia" w:hint="eastAsia"/>
          <w:szCs w:val="21"/>
        </w:rPr>
        <w:t>4</w:t>
      </w:r>
      <w:r>
        <w:rPr>
          <w:rFonts w:eastAsiaTheme="minorEastAsia"/>
          <w:szCs w:val="21"/>
        </w:rPr>
        <w:t xml:space="preserve"> 闭式凝结水回收系统</w:t>
      </w:r>
    </w:p>
    <w:p>
      <w:pPr>
        <w:spacing w:line="300" w:lineRule="auto"/>
        <w:ind w:firstLine="480"/>
        <w:jc w:val="left"/>
        <w:rPr>
          <w:rFonts w:eastAsiaTheme="minorEastAsia"/>
          <w:szCs w:val="21"/>
        </w:rPr>
      </w:pPr>
      <w:r>
        <w:rPr>
          <w:rFonts w:eastAsiaTheme="minorEastAsia"/>
          <w:szCs w:val="21"/>
        </w:rPr>
        <w:t>凝结水与大气不直接接触的凝结水回收系统。</w:t>
      </w:r>
    </w:p>
    <w:p>
      <w:pPr>
        <w:spacing w:line="300" w:lineRule="auto"/>
        <w:jc w:val="left"/>
        <w:rPr>
          <w:rFonts w:eastAsiaTheme="minorEastAsia"/>
          <w:szCs w:val="21"/>
        </w:rPr>
      </w:pPr>
      <w:r>
        <w:rPr>
          <w:rFonts w:eastAsiaTheme="minorEastAsia"/>
          <w:szCs w:val="21"/>
        </w:rPr>
        <w:t>2.0.</w:t>
      </w:r>
      <w:r>
        <w:rPr>
          <w:rFonts w:eastAsiaTheme="minorEastAsia" w:hint="eastAsia"/>
          <w:szCs w:val="21"/>
        </w:rPr>
        <w:t>5</w:t>
      </w:r>
      <w:r>
        <w:rPr>
          <w:rFonts w:eastAsiaTheme="minorEastAsia"/>
          <w:szCs w:val="21"/>
        </w:rPr>
        <w:t xml:space="preserve"> 闪蒸汽</w:t>
      </w:r>
    </w:p>
    <w:p>
      <w:pPr>
        <w:spacing w:line="300" w:lineRule="auto"/>
        <w:ind w:firstLine="420"/>
        <w:rPr>
          <w:rFonts w:eastAsiaTheme="minorEastAsia"/>
          <w:szCs w:val="21"/>
        </w:rPr>
      </w:pPr>
      <w:r>
        <w:rPr>
          <w:rFonts w:eastAsiaTheme="minorEastAsia"/>
          <w:szCs w:val="21"/>
        </w:rPr>
        <w:t>一定压力下的蒸汽凝结水或压力热水被降压，部分水蒸发的蒸汽。</w:t>
      </w:r>
    </w:p>
    <w:p>
      <w:pPr>
        <w:spacing w:line="300" w:lineRule="auto"/>
        <w:rPr>
          <w:rFonts w:eastAsiaTheme="minorEastAsia"/>
          <w:szCs w:val="21"/>
        </w:rPr>
      </w:pPr>
      <w:r>
        <w:rPr>
          <w:rFonts w:eastAsiaTheme="minorEastAsia"/>
          <w:szCs w:val="21"/>
        </w:rPr>
        <w:t>2.0.</w:t>
      </w:r>
      <w:r>
        <w:rPr>
          <w:rFonts w:eastAsiaTheme="minorEastAsia" w:hint="eastAsia"/>
          <w:szCs w:val="21"/>
        </w:rPr>
        <w:t>6</w:t>
      </w:r>
      <w:r>
        <w:rPr>
          <w:rFonts w:eastAsiaTheme="minorEastAsia"/>
          <w:szCs w:val="21"/>
        </w:rPr>
        <w:t xml:space="preserve"> 内压蒸汽</w:t>
      </w:r>
    </w:p>
    <w:p>
      <w:pPr>
        <w:spacing w:line="300" w:lineRule="auto"/>
        <w:ind w:firstLine="420" w:firstLineChars="200"/>
        <w:rPr>
          <w:szCs w:val="21"/>
        </w:rPr>
      </w:pPr>
      <w:r>
        <w:rPr>
          <w:szCs w:val="21"/>
        </w:rPr>
        <w:t>向轮胎（胶囊）内部充入的蒸汽。</w:t>
      </w:r>
    </w:p>
    <w:p>
      <w:pPr>
        <w:spacing w:line="300" w:lineRule="auto"/>
        <w:rPr>
          <w:szCs w:val="21"/>
        </w:rPr>
      </w:pPr>
      <w:r>
        <w:rPr>
          <w:szCs w:val="21"/>
        </w:rPr>
        <w:t>2.0.</w:t>
      </w:r>
      <w:r>
        <w:rPr>
          <w:rFonts w:hint="eastAsia"/>
          <w:szCs w:val="21"/>
        </w:rPr>
        <w:t>7</w:t>
      </w:r>
      <w:r>
        <w:rPr>
          <w:szCs w:val="21"/>
        </w:rPr>
        <w:t xml:space="preserve"> 外压蒸汽</w:t>
      </w:r>
    </w:p>
    <w:p>
      <w:pPr>
        <w:spacing w:line="300" w:lineRule="auto"/>
        <w:ind w:firstLine="420" w:firstLineChars="200"/>
        <w:rPr>
          <w:szCs w:val="21"/>
        </w:rPr>
      </w:pPr>
      <w:r>
        <w:rPr>
          <w:szCs w:val="21"/>
        </w:rPr>
        <w:t>向硫化机热板或模具空腔内充入的蒸汽。</w:t>
      </w:r>
    </w:p>
    <w:p>
      <w:pPr>
        <w:spacing w:line="300" w:lineRule="auto"/>
        <w:rPr>
          <w:szCs w:val="21"/>
        </w:rPr>
      </w:pPr>
      <w:r>
        <w:rPr>
          <w:rFonts w:hint="eastAsia"/>
          <w:szCs w:val="21"/>
        </w:rPr>
        <w:t>2.0.8 热水一次网</w:t>
      </w:r>
    </w:p>
    <w:p>
      <w:pPr>
        <w:spacing w:line="300" w:lineRule="auto"/>
        <w:ind w:firstLine="420" w:firstLineChars="200"/>
        <w:rPr>
          <w:szCs w:val="21"/>
        </w:rPr>
      </w:pPr>
      <w:r>
        <w:rPr>
          <w:szCs w:val="21"/>
        </w:rPr>
        <w:t>是指集中</w:t>
      </w:r>
      <w:r>
        <w:rPr>
          <w:rFonts w:hint="eastAsia"/>
          <w:szCs w:val="21"/>
        </w:rPr>
        <w:t>制备热水</w:t>
      </w:r>
      <w:r>
        <w:rPr>
          <w:szCs w:val="21"/>
        </w:rPr>
        <w:t>，到各用热单位入户处（接口处）的阀门处为止的输送管道。</w:t>
      </w:r>
    </w:p>
    <w:p>
      <w:pPr>
        <w:spacing w:line="300" w:lineRule="auto"/>
        <w:rPr>
          <w:szCs w:val="21"/>
        </w:rPr>
      </w:pPr>
      <w:r>
        <w:rPr>
          <w:rFonts w:hint="eastAsia"/>
          <w:szCs w:val="21"/>
        </w:rPr>
        <w:t>2.0.9 热水二次网</w:t>
      </w:r>
    </w:p>
    <w:p>
      <w:pPr>
        <w:spacing w:line="300" w:lineRule="auto"/>
        <w:ind w:firstLine="420" w:firstLineChars="200"/>
        <w:rPr>
          <w:szCs w:val="21"/>
        </w:rPr>
      </w:pPr>
      <w:r>
        <w:rPr>
          <w:szCs w:val="21"/>
        </w:rPr>
        <w:t>各用热单位内部各个单体建筑物之间的管道</w:t>
      </w:r>
      <w:r>
        <w:rPr>
          <w:rFonts w:hint="eastAsia"/>
          <w:szCs w:val="21"/>
        </w:rPr>
        <w:t>。</w:t>
      </w:r>
    </w:p>
    <w:p>
      <w:pPr>
        <w:spacing w:line="300" w:lineRule="auto"/>
        <w:rPr>
          <w:szCs w:val="21"/>
        </w:rPr>
        <w:sectPr>
          <w:headerReference w:type="even" r:id="rId37"/>
          <w:headerReference w:type="default" r:id="rId38"/>
          <w:footerReference w:type="even" r:id="rId39"/>
          <w:footerReference w:type="default" r:id="rId40"/>
          <w:type w:val="nextPage"/>
          <w:pgSz w:w="11906" w:h="16838"/>
          <w:pgMar w:top="1417" w:right="1134" w:bottom="1134" w:left="1417" w:header="1417" w:footer="1134" w:gutter="0"/>
          <w:pgNumType w:start="3"/>
          <w:cols w:num="1" w:space="0"/>
          <w:titlePg w:val="0"/>
          <w:docGrid w:type="lines" w:linePitch="317" w:charSpace="0"/>
        </w:sectPr>
      </w:pPr>
    </w:p>
    <w:p>
      <w:pPr>
        <w:pStyle w:val="Heading1"/>
        <w:spacing w:line="360" w:lineRule="auto"/>
        <w:jc w:val="center"/>
        <w:rPr>
          <w:rFonts w:eastAsia="宋体"/>
          <w:b/>
          <w:bCs w:val="0"/>
          <w:sz w:val="32"/>
          <w:szCs w:val="32"/>
        </w:rPr>
      </w:pPr>
      <w:bookmarkStart w:id="27" w:name="_Toc155451826"/>
      <w:bookmarkStart w:id="28" w:name="_Toc155642930"/>
      <w:bookmarkStart w:id="29" w:name="_Toc155702113"/>
      <w:r>
        <w:rPr>
          <w:rFonts w:eastAsia="宋体"/>
          <w:b/>
          <w:bCs w:val="0"/>
          <w:sz w:val="32"/>
          <w:szCs w:val="32"/>
        </w:rPr>
        <w:t xml:space="preserve">3 </w:t>
      </w:r>
      <w:r>
        <w:rPr>
          <w:rFonts w:eastAsia="宋体" w:hAnsi="宋体"/>
          <w:b/>
          <w:bCs w:val="0"/>
          <w:sz w:val="32"/>
          <w:szCs w:val="32"/>
        </w:rPr>
        <w:t>基本规定</w:t>
      </w:r>
      <w:bookmarkEnd w:id="27"/>
      <w:bookmarkEnd w:id="28"/>
      <w:bookmarkEnd w:id="29"/>
    </w:p>
    <w:p>
      <w:pPr>
        <w:spacing w:line="300" w:lineRule="auto"/>
        <w:rPr>
          <w:szCs w:val="21"/>
        </w:rPr>
      </w:pPr>
    </w:p>
    <w:p>
      <w:pPr>
        <w:spacing w:line="300" w:lineRule="auto"/>
      </w:pPr>
      <w:r>
        <w:t>3.0.1 全厂供热系统应保证厂区各用户用热供应可靠、稳定、安全，满足企业工艺操作要求。</w:t>
      </w:r>
    </w:p>
    <w:p>
      <w:pPr>
        <w:spacing w:line="300" w:lineRule="auto"/>
        <w:rPr>
          <w:szCs w:val="21"/>
        </w:rPr>
      </w:pPr>
      <w:r>
        <w:rPr>
          <w:szCs w:val="21"/>
        </w:rPr>
        <w:t>3.0.2 供热系统设计</w:t>
      </w:r>
      <w:r>
        <w:rPr>
          <w:rFonts w:hint="eastAsia"/>
          <w:szCs w:val="21"/>
        </w:rPr>
        <w:t>应满足</w:t>
      </w:r>
      <w:r>
        <w:rPr>
          <w:szCs w:val="21"/>
        </w:rPr>
        <w:t>安全、节能、环保、控制灵活、便于生产管理、检修、介质计量等要求</w:t>
      </w:r>
      <w:r>
        <w:rPr>
          <w:rFonts w:hint="eastAsia"/>
          <w:szCs w:val="21"/>
        </w:rPr>
        <w:t>。</w:t>
      </w:r>
    </w:p>
    <w:p>
      <w:pPr>
        <w:spacing w:line="300" w:lineRule="auto"/>
        <w:rPr>
          <w:szCs w:val="21"/>
        </w:rPr>
      </w:pPr>
      <w:r>
        <w:rPr>
          <w:szCs w:val="21"/>
        </w:rPr>
        <w:t>3.0.3 供热系统设计参数应根据工艺生产负荷和建筑热负荷确定。</w:t>
      </w:r>
    </w:p>
    <w:p>
      <w:pPr>
        <w:spacing w:line="300" w:lineRule="auto"/>
        <w:rPr>
          <w:szCs w:val="21"/>
        </w:rPr>
      </w:pPr>
      <w:r>
        <w:rPr>
          <w:szCs w:val="21"/>
        </w:rPr>
        <w:t>3.0.</w:t>
      </w:r>
      <w:r>
        <w:rPr>
          <w:rFonts w:hint="eastAsia"/>
          <w:szCs w:val="21"/>
        </w:rPr>
        <w:t>4</w:t>
      </w:r>
      <w:r>
        <w:rPr>
          <w:szCs w:val="21"/>
        </w:rPr>
        <w:t xml:space="preserve"> 建筑物舒适性采暖</w:t>
      </w:r>
      <w:r>
        <w:rPr>
          <w:rFonts w:hint="eastAsia"/>
          <w:szCs w:val="21"/>
        </w:rPr>
        <w:t>宜</w:t>
      </w:r>
      <w:r>
        <w:rPr>
          <w:szCs w:val="21"/>
        </w:rPr>
        <w:t>采用热水方式，高大空间采暖以空调为主，暖气片为辅。</w:t>
      </w:r>
    </w:p>
    <w:p>
      <w:pPr>
        <w:spacing w:line="300" w:lineRule="auto"/>
        <w:rPr>
          <w:szCs w:val="21"/>
        </w:rPr>
      </w:pPr>
      <w:r>
        <w:rPr>
          <w:szCs w:val="21"/>
        </w:rPr>
        <w:t>3.0.</w:t>
      </w:r>
      <w:r>
        <w:rPr>
          <w:rFonts w:hint="eastAsia"/>
          <w:szCs w:val="21"/>
        </w:rPr>
        <w:t>5</w:t>
      </w:r>
      <w:r>
        <w:rPr>
          <w:szCs w:val="21"/>
        </w:rPr>
        <w:t xml:space="preserve"> 余热利用应根据工厂供热系统的经济、合理需求，确定工艺装置中的余热利用方式及途径。</w:t>
      </w:r>
    </w:p>
    <w:p>
      <w:pPr>
        <w:spacing w:line="300" w:lineRule="auto"/>
        <w:rPr>
          <w:szCs w:val="21"/>
        </w:rPr>
      </w:pPr>
      <w:r>
        <w:rPr>
          <w:szCs w:val="21"/>
        </w:rPr>
        <w:t>3.0.</w:t>
      </w:r>
      <w:r>
        <w:rPr>
          <w:rFonts w:hint="eastAsia"/>
          <w:szCs w:val="21"/>
        </w:rPr>
        <w:t xml:space="preserve">6 </w:t>
      </w:r>
      <w:r>
        <w:rPr>
          <w:szCs w:val="21"/>
        </w:rPr>
        <w:t>蒸汽凝结水的回收和利用方式应根据工厂蒸汽系统和用热需求确定。</w:t>
      </w:r>
    </w:p>
    <w:p>
      <w:pPr>
        <w:spacing w:line="300" w:lineRule="auto"/>
        <w:rPr>
          <w:szCs w:val="21"/>
        </w:rPr>
      </w:pPr>
      <w:r>
        <w:rPr>
          <w:szCs w:val="21"/>
        </w:rPr>
        <w:t>3.0.</w:t>
      </w:r>
      <w:r>
        <w:rPr>
          <w:rFonts w:hint="eastAsia"/>
          <w:szCs w:val="21"/>
        </w:rPr>
        <w:t>7</w:t>
      </w:r>
      <w:r>
        <w:rPr>
          <w:szCs w:val="21"/>
        </w:rPr>
        <w:t xml:space="preserve"> 供热系统所有设备应采用高效率低能耗产品。</w:t>
      </w:r>
    </w:p>
    <w:p>
      <w:pPr>
        <w:spacing w:line="300" w:lineRule="auto"/>
        <w:rPr>
          <w:szCs w:val="21"/>
        </w:rPr>
      </w:pPr>
      <w:r>
        <w:rPr>
          <w:rFonts w:hint="eastAsia"/>
          <w:szCs w:val="21"/>
        </w:rPr>
        <w:t>3.0.8 供热系统设计应充分合理利用厂址资源条件，统筹规划本期和远期工程。</w:t>
      </w:r>
    </w:p>
    <w:p>
      <w:pPr>
        <w:spacing w:line="300" w:lineRule="auto"/>
        <w:rPr>
          <w:szCs w:val="21"/>
        </w:rPr>
        <w:sectPr>
          <w:headerReference w:type="even" r:id="rId41"/>
          <w:headerReference w:type="default" r:id="rId42"/>
          <w:footerReference w:type="even" r:id="rId43"/>
          <w:footerReference w:type="default" r:id="rId44"/>
          <w:type w:val="nextPage"/>
          <w:pgSz w:w="11906" w:h="16838"/>
          <w:pgMar w:top="1417" w:right="1134" w:bottom="1134" w:left="1417" w:header="1417" w:footer="1134" w:gutter="0"/>
          <w:pgNumType w:start="4"/>
          <w:cols w:num="1" w:space="0"/>
          <w:titlePg w:val="0"/>
          <w:docGrid w:type="lines" w:linePitch="317" w:charSpace="0"/>
        </w:sectPr>
      </w:pPr>
    </w:p>
    <w:p>
      <w:pPr>
        <w:pStyle w:val="Heading1"/>
        <w:spacing w:line="360" w:lineRule="auto"/>
        <w:jc w:val="center"/>
        <w:rPr>
          <w:rFonts w:eastAsia="宋体"/>
          <w:b/>
          <w:bCs w:val="0"/>
          <w:sz w:val="32"/>
          <w:szCs w:val="32"/>
        </w:rPr>
      </w:pPr>
      <w:bookmarkStart w:id="30" w:name="_Toc155702114"/>
      <w:bookmarkStart w:id="31" w:name="_Toc155642931"/>
      <w:r>
        <w:rPr>
          <w:rFonts w:eastAsia="宋体"/>
          <w:b/>
          <w:bCs w:val="0"/>
          <w:sz w:val="32"/>
          <w:szCs w:val="32"/>
        </w:rPr>
        <w:t xml:space="preserve">4 </w:t>
      </w:r>
      <w:r>
        <w:rPr>
          <w:rFonts w:eastAsia="宋体" w:hAnsi="宋体"/>
          <w:b/>
          <w:bCs w:val="0"/>
          <w:sz w:val="32"/>
          <w:szCs w:val="32"/>
        </w:rPr>
        <w:t>系统设计</w:t>
      </w:r>
      <w:bookmarkEnd w:id="30"/>
      <w:bookmarkEnd w:id="31"/>
    </w:p>
    <w:p>
      <w:pPr>
        <w:spacing w:line="300" w:lineRule="auto"/>
        <w:jc w:val="left"/>
        <w:rPr>
          <w:szCs w:val="21"/>
        </w:rPr>
      </w:pPr>
    </w:p>
    <w:p>
      <w:pPr>
        <w:pStyle w:val="Heading2"/>
        <w:jc w:val="center"/>
        <w:rPr>
          <w:rFonts w:ascii="Times New Roman" w:hAnsi="Times New Roman" w:eastAsiaTheme="minorEastAsia"/>
          <w:szCs w:val="21"/>
        </w:rPr>
      </w:pPr>
      <w:bookmarkStart w:id="32" w:name="_Toc155702115"/>
      <w:r>
        <w:rPr>
          <w:rFonts w:ascii="Times New Roman" w:hAnsi="Times New Roman" w:eastAsiaTheme="minorEastAsia"/>
          <w:szCs w:val="21"/>
        </w:rPr>
        <w:t xml:space="preserve">4.1 </w:t>
      </w:r>
      <w:r>
        <w:rPr>
          <w:rFonts w:ascii="Times New Roman" w:eastAsiaTheme="minorEastAsia" w:hAnsiTheme="minorEastAsia"/>
          <w:szCs w:val="21"/>
        </w:rPr>
        <w:t>供热系统组成</w:t>
      </w:r>
      <w:bookmarkEnd w:id="32"/>
    </w:p>
    <w:p>
      <w:pPr>
        <w:spacing w:line="300" w:lineRule="auto"/>
        <w:jc w:val="left"/>
        <w:rPr>
          <w:rFonts w:eastAsiaTheme="minorEastAsia"/>
          <w:szCs w:val="21"/>
        </w:rPr>
      </w:pPr>
      <w:r>
        <w:rPr>
          <w:rFonts w:eastAsiaTheme="minorEastAsia"/>
          <w:szCs w:val="21"/>
        </w:rPr>
        <w:t xml:space="preserve">4.1.1 </w:t>
      </w:r>
      <w:r>
        <w:rPr>
          <w:rFonts w:eastAsiaTheme="minorEastAsia" w:hAnsiTheme="minorEastAsia"/>
          <w:szCs w:val="21"/>
        </w:rPr>
        <w:t>供热系统应包括热源、供热分配和用户、供热管网、凝结水回收系统。</w:t>
      </w:r>
    </w:p>
    <w:p>
      <w:pPr>
        <w:jc w:val="left"/>
        <w:rPr>
          <w:rFonts w:eastAsiaTheme="minorEastAsia"/>
          <w:szCs w:val="21"/>
        </w:rPr>
      </w:pPr>
      <w:r>
        <w:rPr>
          <w:rFonts w:eastAsiaTheme="minorEastAsia"/>
          <w:szCs w:val="21"/>
        </w:rPr>
        <w:t xml:space="preserve">4.1.2 </w:t>
      </w:r>
      <w:r>
        <w:rPr>
          <w:rFonts w:eastAsiaTheme="minorEastAsia" w:hAnsiTheme="minorEastAsia"/>
          <w:szCs w:val="21"/>
        </w:rPr>
        <w:t>热源应包括下列内容：</w:t>
      </w:r>
    </w:p>
    <w:p>
      <w:pPr>
        <w:ind w:firstLine="420" w:firstLineChars="200"/>
        <w:jc w:val="left"/>
        <w:rPr>
          <w:rFonts w:eastAsiaTheme="minorEastAsia"/>
          <w:szCs w:val="21"/>
        </w:rPr>
      </w:pPr>
      <w:r>
        <w:rPr>
          <w:rFonts w:eastAsiaTheme="minorEastAsia"/>
          <w:szCs w:val="21"/>
        </w:rPr>
        <w:t xml:space="preserve">1 </w:t>
      </w:r>
      <w:r>
        <w:rPr>
          <w:rFonts w:eastAsiaTheme="minorEastAsia" w:hAnsiTheme="minorEastAsia"/>
          <w:szCs w:val="21"/>
        </w:rPr>
        <w:t>外购热源。</w:t>
      </w:r>
    </w:p>
    <w:p>
      <w:pPr>
        <w:ind w:firstLine="420" w:firstLineChars="200"/>
        <w:jc w:val="left"/>
        <w:rPr>
          <w:rFonts w:eastAsiaTheme="minorEastAsia"/>
          <w:szCs w:val="21"/>
        </w:rPr>
      </w:pPr>
      <w:r>
        <w:rPr>
          <w:rFonts w:eastAsiaTheme="minorEastAsia"/>
          <w:szCs w:val="21"/>
        </w:rPr>
        <w:t xml:space="preserve">2 </w:t>
      </w:r>
      <w:r>
        <w:rPr>
          <w:rFonts w:eastAsiaTheme="minorEastAsia" w:hAnsiTheme="minorEastAsia"/>
          <w:szCs w:val="21"/>
        </w:rPr>
        <w:t>工厂自备热源。</w:t>
      </w:r>
    </w:p>
    <w:p>
      <w:pPr>
        <w:jc w:val="left"/>
        <w:rPr>
          <w:rFonts w:eastAsiaTheme="minorEastAsia"/>
          <w:szCs w:val="21"/>
        </w:rPr>
      </w:pPr>
      <w:r>
        <w:rPr>
          <w:rFonts w:eastAsiaTheme="minorEastAsia"/>
          <w:szCs w:val="21"/>
        </w:rPr>
        <w:t xml:space="preserve">4.1.3 </w:t>
      </w:r>
      <w:r>
        <w:rPr>
          <w:rFonts w:eastAsiaTheme="minorEastAsia" w:hAnsiTheme="minorEastAsia"/>
          <w:szCs w:val="21"/>
        </w:rPr>
        <w:t>供热分配和用户</w:t>
      </w:r>
      <w:r>
        <w:rPr>
          <w:rFonts w:eastAsiaTheme="minorEastAsia" w:hAnsiTheme="minorEastAsia" w:hint="eastAsia"/>
          <w:szCs w:val="21"/>
        </w:rPr>
        <w:t>一般</w:t>
      </w:r>
      <w:r>
        <w:rPr>
          <w:rFonts w:eastAsiaTheme="minorEastAsia" w:hAnsiTheme="minorEastAsia"/>
          <w:szCs w:val="21"/>
        </w:rPr>
        <w:t>包括下列内容：</w:t>
      </w:r>
    </w:p>
    <w:p>
      <w:pPr>
        <w:ind w:firstLine="420" w:firstLineChars="200"/>
        <w:jc w:val="left"/>
        <w:rPr>
          <w:rFonts w:eastAsiaTheme="minorEastAsia"/>
          <w:szCs w:val="21"/>
        </w:rPr>
      </w:pPr>
      <w:r>
        <w:rPr>
          <w:rFonts w:eastAsiaTheme="minorEastAsia"/>
          <w:szCs w:val="21"/>
        </w:rPr>
        <w:t xml:space="preserve">1  </w:t>
      </w:r>
      <w:r>
        <w:rPr>
          <w:rFonts w:eastAsiaTheme="minorEastAsia" w:hAnsiTheme="minorEastAsia"/>
          <w:szCs w:val="21"/>
        </w:rPr>
        <w:t>蒸汽减温减压装置。</w:t>
      </w:r>
    </w:p>
    <w:p>
      <w:pPr>
        <w:ind w:firstLine="420" w:firstLineChars="200"/>
        <w:jc w:val="left"/>
        <w:rPr>
          <w:rFonts w:eastAsiaTheme="minorEastAsia"/>
          <w:szCs w:val="21"/>
        </w:rPr>
      </w:pPr>
      <w:r>
        <w:rPr>
          <w:rFonts w:eastAsiaTheme="minorEastAsia"/>
          <w:szCs w:val="21"/>
        </w:rPr>
        <w:t xml:space="preserve">2  </w:t>
      </w:r>
      <w:r>
        <w:rPr>
          <w:rFonts w:eastAsiaTheme="minorEastAsia" w:hAnsiTheme="minorEastAsia"/>
          <w:szCs w:val="21"/>
        </w:rPr>
        <w:t>蒸汽蓄热器。</w:t>
      </w:r>
    </w:p>
    <w:p>
      <w:pPr>
        <w:ind w:firstLine="420" w:firstLineChars="200"/>
        <w:jc w:val="left"/>
        <w:rPr>
          <w:rFonts w:eastAsiaTheme="minorEastAsia"/>
          <w:szCs w:val="21"/>
        </w:rPr>
      </w:pPr>
      <w:r>
        <w:rPr>
          <w:rFonts w:eastAsiaTheme="minorEastAsia"/>
          <w:szCs w:val="21"/>
        </w:rPr>
        <w:t xml:space="preserve">3  </w:t>
      </w:r>
      <w:r>
        <w:rPr>
          <w:rFonts w:eastAsiaTheme="minorEastAsia" w:hAnsiTheme="minorEastAsia"/>
          <w:szCs w:val="21"/>
        </w:rPr>
        <w:t>高压分汽缸。</w:t>
      </w:r>
    </w:p>
    <w:p>
      <w:pPr>
        <w:ind w:firstLine="420" w:firstLineChars="200"/>
        <w:jc w:val="left"/>
        <w:rPr>
          <w:rFonts w:eastAsiaTheme="minorEastAsia"/>
          <w:szCs w:val="21"/>
        </w:rPr>
      </w:pPr>
      <w:r>
        <w:rPr>
          <w:rFonts w:eastAsiaTheme="minorEastAsia"/>
          <w:szCs w:val="21"/>
        </w:rPr>
        <w:t xml:space="preserve">4  </w:t>
      </w:r>
      <w:r>
        <w:rPr>
          <w:rFonts w:eastAsiaTheme="minorEastAsia" w:hAnsiTheme="minorEastAsia"/>
          <w:szCs w:val="21"/>
        </w:rPr>
        <w:t>低压分汽缸。</w:t>
      </w:r>
    </w:p>
    <w:p>
      <w:pPr>
        <w:ind w:firstLine="420" w:firstLineChars="200"/>
        <w:jc w:val="left"/>
        <w:rPr>
          <w:rFonts w:eastAsiaTheme="minorEastAsia"/>
          <w:szCs w:val="21"/>
        </w:rPr>
      </w:pPr>
      <w:r>
        <w:rPr>
          <w:rFonts w:eastAsiaTheme="minorEastAsia"/>
          <w:szCs w:val="21"/>
        </w:rPr>
        <w:t xml:space="preserve">5  </w:t>
      </w:r>
      <w:r>
        <w:rPr>
          <w:rFonts w:eastAsiaTheme="minorEastAsia" w:hAnsiTheme="minorEastAsia"/>
          <w:szCs w:val="21"/>
        </w:rPr>
        <w:t>除氧器。</w:t>
      </w:r>
    </w:p>
    <w:p>
      <w:pPr>
        <w:ind w:firstLine="420" w:firstLineChars="200"/>
        <w:jc w:val="left"/>
        <w:rPr>
          <w:rFonts w:eastAsiaTheme="minorEastAsia"/>
          <w:szCs w:val="21"/>
        </w:rPr>
      </w:pPr>
      <w:r>
        <w:rPr>
          <w:rFonts w:eastAsiaTheme="minorEastAsia"/>
          <w:szCs w:val="21"/>
        </w:rPr>
        <w:t xml:space="preserve">6  </w:t>
      </w:r>
      <w:r>
        <w:rPr>
          <w:rFonts w:eastAsiaTheme="minorEastAsia" w:hAnsiTheme="minorEastAsia"/>
          <w:szCs w:val="21"/>
        </w:rPr>
        <w:t>烘胶房。</w:t>
      </w:r>
    </w:p>
    <w:p>
      <w:pPr>
        <w:ind w:firstLine="420" w:firstLineChars="200"/>
        <w:jc w:val="left"/>
        <w:rPr>
          <w:rFonts w:eastAsiaTheme="minorEastAsia"/>
          <w:szCs w:val="21"/>
        </w:rPr>
      </w:pPr>
      <w:r>
        <w:rPr>
          <w:rFonts w:eastAsiaTheme="minorEastAsia"/>
          <w:szCs w:val="21"/>
        </w:rPr>
        <w:t xml:space="preserve">7  </w:t>
      </w:r>
      <w:r>
        <w:rPr>
          <w:rFonts w:eastAsiaTheme="minorEastAsia" w:hAnsiTheme="minorEastAsia"/>
          <w:szCs w:val="21"/>
        </w:rPr>
        <w:t>锭子间。</w:t>
      </w:r>
    </w:p>
    <w:p>
      <w:pPr>
        <w:ind w:firstLine="420" w:firstLineChars="200"/>
        <w:jc w:val="left"/>
        <w:rPr>
          <w:rFonts w:eastAsiaTheme="minorEastAsia"/>
          <w:szCs w:val="21"/>
        </w:rPr>
      </w:pPr>
      <w:r>
        <w:rPr>
          <w:rFonts w:eastAsiaTheme="minorEastAsia"/>
          <w:szCs w:val="21"/>
        </w:rPr>
        <w:t xml:space="preserve">8  </w:t>
      </w:r>
      <w:r>
        <w:rPr>
          <w:rFonts w:eastAsiaTheme="minorEastAsia" w:hAnsiTheme="minorEastAsia"/>
          <w:szCs w:val="21"/>
        </w:rPr>
        <w:t>工艺油罐区。</w:t>
      </w:r>
    </w:p>
    <w:p>
      <w:pPr>
        <w:ind w:firstLine="420" w:firstLineChars="200"/>
        <w:jc w:val="left"/>
        <w:rPr>
          <w:rFonts w:eastAsiaTheme="minorEastAsia"/>
          <w:szCs w:val="21"/>
        </w:rPr>
      </w:pPr>
      <w:r>
        <w:rPr>
          <w:rFonts w:eastAsiaTheme="minorEastAsia"/>
          <w:szCs w:val="21"/>
        </w:rPr>
        <w:t xml:space="preserve">9  </w:t>
      </w:r>
      <w:r>
        <w:rPr>
          <w:rFonts w:eastAsiaTheme="minorEastAsia" w:hAnsiTheme="minorEastAsia"/>
          <w:szCs w:val="21"/>
        </w:rPr>
        <w:t>工艺油伴热管道。</w:t>
      </w:r>
    </w:p>
    <w:p>
      <w:pPr>
        <w:ind w:firstLine="420" w:firstLineChars="200"/>
        <w:jc w:val="left"/>
        <w:rPr>
          <w:rFonts w:eastAsiaTheme="minorEastAsia"/>
          <w:szCs w:val="21"/>
        </w:rPr>
      </w:pPr>
      <w:r>
        <w:rPr>
          <w:rFonts w:eastAsiaTheme="minorEastAsia"/>
          <w:szCs w:val="21"/>
        </w:rPr>
        <w:t xml:space="preserve">10  </w:t>
      </w:r>
      <w:r>
        <w:rPr>
          <w:rFonts w:eastAsiaTheme="minorEastAsia" w:hAnsiTheme="minorEastAsia"/>
          <w:szCs w:val="21"/>
        </w:rPr>
        <w:t>硫化机。</w:t>
      </w:r>
    </w:p>
    <w:p>
      <w:pPr>
        <w:ind w:firstLine="420" w:firstLineChars="200"/>
        <w:jc w:val="left"/>
        <w:rPr>
          <w:rFonts w:eastAsiaTheme="minorEastAsia"/>
          <w:szCs w:val="21"/>
        </w:rPr>
      </w:pPr>
      <w:r>
        <w:rPr>
          <w:rFonts w:eastAsiaTheme="minorEastAsia"/>
          <w:szCs w:val="21"/>
        </w:rPr>
        <w:t xml:space="preserve">11  </w:t>
      </w:r>
      <w:r>
        <w:rPr>
          <w:rFonts w:eastAsiaTheme="minorEastAsia" w:hAnsiTheme="minorEastAsia"/>
          <w:szCs w:val="21"/>
        </w:rPr>
        <w:t>热力站。</w:t>
      </w:r>
    </w:p>
    <w:p>
      <w:pPr>
        <w:ind w:firstLine="420" w:firstLineChars="200"/>
        <w:jc w:val="left"/>
        <w:rPr>
          <w:rFonts w:eastAsiaTheme="minorEastAsia"/>
          <w:szCs w:val="21"/>
        </w:rPr>
      </w:pPr>
      <w:r>
        <w:rPr>
          <w:rFonts w:eastAsiaTheme="minorEastAsia"/>
          <w:szCs w:val="21"/>
        </w:rPr>
        <w:t xml:space="preserve">11  </w:t>
      </w:r>
      <w:r>
        <w:rPr>
          <w:rFonts w:eastAsiaTheme="minorEastAsia" w:hAnsiTheme="minorEastAsia"/>
          <w:szCs w:val="21"/>
        </w:rPr>
        <w:t>动力站。</w:t>
      </w:r>
    </w:p>
    <w:p>
      <w:pPr>
        <w:ind w:firstLine="420" w:firstLineChars="200"/>
        <w:jc w:val="left"/>
        <w:rPr>
          <w:rFonts w:eastAsiaTheme="minorEastAsia"/>
          <w:szCs w:val="21"/>
        </w:rPr>
      </w:pPr>
      <w:r>
        <w:rPr>
          <w:rFonts w:eastAsiaTheme="minorEastAsia"/>
          <w:szCs w:val="21"/>
        </w:rPr>
        <w:t xml:space="preserve">12  </w:t>
      </w:r>
      <w:r>
        <w:rPr>
          <w:rFonts w:eastAsiaTheme="minorEastAsia" w:hAnsiTheme="minorEastAsia"/>
          <w:szCs w:val="21"/>
        </w:rPr>
        <w:t>换热器。</w:t>
      </w:r>
    </w:p>
    <w:p>
      <w:pPr>
        <w:ind w:firstLine="420" w:firstLineChars="200"/>
        <w:jc w:val="left"/>
        <w:rPr>
          <w:rFonts w:eastAsiaTheme="minorEastAsia"/>
          <w:szCs w:val="21"/>
        </w:rPr>
      </w:pPr>
      <w:r>
        <w:rPr>
          <w:rFonts w:eastAsiaTheme="minorEastAsia"/>
          <w:szCs w:val="21"/>
        </w:rPr>
        <w:t xml:space="preserve">13  </w:t>
      </w:r>
      <w:r>
        <w:rPr>
          <w:rFonts w:eastAsiaTheme="minorEastAsia" w:hAnsiTheme="minorEastAsia"/>
          <w:szCs w:val="21"/>
        </w:rPr>
        <w:t>溴化锂制冷机。</w:t>
      </w:r>
    </w:p>
    <w:p>
      <w:pPr>
        <w:ind w:firstLine="420" w:firstLineChars="200"/>
        <w:jc w:val="left"/>
        <w:rPr>
          <w:rFonts w:eastAsiaTheme="minorEastAsia" w:hAnsiTheme="minorEastAsia"/>
          <w:szCs w:val="21"/>
        </w:rPr>
      </w:pPr>
      <w:r>
        <w:rPr>
          <w:rFonts w:eastAsiaTheme="minorEastAsia"/>
          <w:szCs w:val="21"/>
        </w:rPr>
        <w:t xml:space="preserve">14  </w:t>
      </w:r>
      <w:r>
        <w:rPr>
          <w:rFonts w:eastAsiaTheme="minorEastAsia" w:hAnsiTheme="minorEastAsia"/>
          <w:szCs w:val="21"/>
        </w:rPr>
        <w:t>暖气片。</w:t>
      </w:r>
    </w:p>
    <w:p>
      <w:pPr>
        <w:ind w:firstLine="420" w:firstLineChars="200"/>
        <w:jc w:val="left"/>
        <w:rPr>
          <w:rFonts w:eastAsiaTheme="minorEastAsia"/>
          <w:szCs w:val="21"/>
        </w:rPr>
      </w:pPr>
      <w:r>
        <w:rPr>
          <w:rFonts w:eastAsiaTheme="minorEastAsia" w:hAnsiTheme="minorEastAsia" w:hint="eastAsia"/>
          <w:szCs w:val="21"/>
        </w:rPr>
        <w:t>15  食堂用蒸汽的设备。</w:t>
      </w:r>
    </w:p>
    <w:p>
      <w:pPr>
        <w:ind w:firstLine="420" w:firstLineChars="200"/>
        <w:jc w:val="left"/>
        <w:rPr>
          <w:rFonts w:eastAsiaTheme="minorEastAsia"/>
          <w:szCs w:val="21"/>
        </w:rPr>
      </w:pPr>
      <w:r>
        <w:rPr>
          <w:rFonts w:eastAsiaTheme="minorEastAsia"/>
          <w:szCs w:val="21"/>
        </w:rPr>
        <w:t>1</w:t>
      </w:r>
      <w:r>
        <w:rPr>
          <w:rFonts w:eastAsiaTheme="minorEastAsia" w:hint="eastAsia"/>
          <w:szCs w:val="21"/>
        </w:rPr>
        <w:t>6</w:t>
      </w:r>
      <w:r>
        <w:rPr>
          <w:rFonts w:eastAsiaTheme="minorEastAsia"/>
          <w:szCs w:val="21"/>
        </w:rPr>
        <w:t xml:space="preserve">  </w:t>
      </w:r>
      <w:r>
        <w:rPr>
          <w:rFonts w:eastAsiaTheme="minorEastAsia" w:hAnsiTheme="minorEastAsia"/>
          <w:szCs w:val="21"/>
        </w:rPr>
        <w:t>管网损失。</w:t>
      </w:r>
    </w:p>
    <w:p>
      <w:pPr>
        <w:pStyle w:val="Heading2"/>
        <w:jc w:val="center"/>
        <w:rPr>
          <w:rFonts w:ascii="Times New Roman" w:hAnsi="Times New Roman" w:eastAsiaTheme="minorEastAsia" w:hint="eastAsia"/>
          <w:szCs w:val="21"/>
        </w:rPr>
      </w:pPr>
      <w:bookmarkStart w:id="33" w:name="_Toc155702116"/>
    </w:p>
    <w:p>
      <w:pPr>
        <w:pStyle w:val="Heading2"/>
        <w:jc w:val="center"/>
        <w:rPr>
          <w:rFonts w:ascii="Times New Roman" w:eastAsiaTheme="minorEastAsia" w:hAnsiTheme="minorEastAsia"/>
          <w:szCs w:val="21"/>
        </w:rPr>
      </w:pPr>
      <w:r>
        <w:rPr>
          <w:rFonts w:ascii="Times New Roman" w:hAnsi="Times New Roman" w:eastAsiaTheme="minorEastAsia"/>
          <w:szCs w:val="21"/>
        </w:rPr>
        <w:t xml:space="preserve">4.2 </w:t>
      </w:r>
      <w:r>
        <w:rPr>
          <w:rFonts w:ascii="Times New Roman" w:eastAsiaTheme="minorEastAsia" w:hAnsiTheme="minorEastAsia"/>
          <w:szCs w:val="21"/>
        </w:rPr>
        <w:t>供热系统规划</w:t>
      </w:r>
      <w:bookmarkEnd w:id="33"/>
    </w:p>
    <w:p/>
    <w:p>
      <w:pPr>
        <w:spacing w:line="300" w:lineRule="auto"/>
        <w:rPr>
          <w:rFonts w:eastAsiaTheme="minorEastAsia" w:hAnsiTheme="minorEastAsia"/>
          <w:szCs w:val="21"/>
        </w:rPr>
      </w:pPr>
      <w:r>
        <w:rPr>
          <w:rFonts w:eastAsiaTheme="minorEastAsia" w:hAnsiTheme="minorEastAsia" w:hint="eastAsia"/>
          <w:szCs w:val="21"/>
        </w:rPr>
        <w:t>4.2.1供热系统的设计范围应包括下列内容：</w:t>
      </w:r>
    </w:p>
    <w:p>
      <w:pPr>
        <w:spacing w:line="300" w:lineRule="auto"/>
        <w:ind w:firstLine="420" w:firstLineChars="200"/>
        <w:rPr>
          <w:rFonts w:eastAsiaTheme="minorEastAsia" w:hAnsiTheme="minorEastAsia"/>
          <w:szCs w:val="21"/>
        </w:rPr>
      </w:pPr>
      <w:r>
        <w:rPr>
          <w:rFonts w:eastAsiaTheme="minorEastAsia" w:hAnsiTheme="minorEastAsia" w:hint="eastAsia"/>
          <w:szCs w:val="21"/>
        </w:rPr>
        <w:t>1 蒸汽系统为区域性热电联产供热进入厂区第一道关断阀或自备锅炉房蒸汽管道出口至蒸汽用户入口关断阀范围内的蒸汽管道、阀门及附件。</w:t>
      </w:r>
    </w:p>
    <w:p>
      <w:pPr>
        <w:spacing w:line="300" w:lineRule="auto"/>
        <w:ind w:firstLine="420" w:firstLineChars="200"/>
        <w:rPr>
          <w:rFonts w:eastAsiaTheme="minorEastAsia" w:hAnsiTheme="minorEastAsia"/>
          <w:szCs w:val="21"/>
        </w:rPr>
      </w:pPr>
      <w:r>
        <w:rPr>
          <w:rFonts w:eastAsiaTheme="minorEastAsia" w:hAnsiTheme="minorEastAsia" w:hint="eastAsia"/>
          <w:szCs w:val="21"/>
        </w:rPr>
        <w:t>2 供暖系统为热力站或动力站热水管道出口至热水供暖用户入口关断阀范围内的热水管道、阀门及附件。</w:t>
      </w:r>
    </w:p>
    <w:p>
      <w:pPr>
        <w:spacing w:line="300" w:lineRule="auto"/>
        <w:ind w:firstLine="420" w:firstLineChars="200"/>
        <w:rPr>
          <w:rFonts w:eastAsiaTheme="minorEastAsia" w:hAnsiTheme="minorEastAsia"/>
          <w:szCs w:val="21"/>
        </w:rPr>
      </w:pPr>
      <w:r>
        <w:rPr>
          <w:rFonts w:eastAsiaTheme="minorEastAsia" w:hAnsiTheme="minorEastAsia" w:hint="eastAsia"/>
          <w:szCs w:val="21"/>
        </w:rPr>
        <w:t>3 余热回收利用系统为各用热用户余热回收管道出口至余热利用各用户入口关断阀范围内的凝结水或热水管道、阀门及附件。</w:t>
      </w:r>
    </w:p>
    <w:p>
      <w:pPr>
        <w:spacing w:line="300" w:lineRule="auto"/>
        <w:rPr>
          <w:szCs w:val="21"/>
        </w:rPr>
      </w:pPr>
      <w:r>
        <w:rPr>
          <w:szCs w:val="21"/>
        </w:rPr>
        <w:t>4.2.</w:t>
      </w:r>
      <w:r>
        <w:rPr>
          <w:rFonts w:hint="eastAsia"/>
          <w:szCs w:val="21"/>
        </w:rPr>
        <w:t>2</w:t>
      </w:r>
      <w:r>
        <w:rPr>
          <w:szCs w:val="21"/>
        </w:rPr>
        <w:t xml:space="preserve"> 供热系统应根据工艺生产热介质负荷、参数等设计条件，贯彻执行能量梯级利用的原则，结合橡胶产品生产各种工况的要求，并兼顾动力设备参数经技术经济比较后确定系统的参数、等级。</w:t>
      </w:r>
    </w:p>
    <w:p>
      <w:pPr>
        <w:spacing w:line="300" w:lineRule="auto"/>
        <w:rPr>
          <w:szCs w:val="21"/>
        </w:rPr>
        <w:sectPr>
          <w:headerReference w:type="even" r:id="rId45"/>
          <w:headerReference w:type="default" r:id="rId46"/>
          <w:footerReference w:type="even" r:id="rId47"/>
          <w:footerReference w:type="default" r:id="rId48"/>
          <w:type w:val="nextPage"/>
          <w:pgSz w:w="11906" w:h="16838"/>
          <w:pgMar w:top="1417" w:right="1134" w:bottom="1134" w:left="1417" w:header="1417" w:footer="1134" w:gutter="0"/>
          <w:pgNumType w:start="5"/>
          <w:cols w:num="1" w:space="0"/>
          <w:titlePg w:val="0"/>
          <w:docGrid w:type="lines" w:linePitch="317" w:charSpace="0"/>
        </w:sectPr>
      </w:pPr>
      <w:r>
        <w:rPr>
          <w:szCs w:val="21"/>
        </w:rPr>
        <w:t>4.2.</w:t>
      </w:r>
      <w:r>
        <w:rPr>
          <w:rFonts w:hint="eastAsia"/>
          <w:szCs w:val="21"/>
        </w:rPr>
        <w:t>3</w:t>
      </w:r>
      <w:r>
        <w:rPr>
          <w:szCs w:val="21"/>
        </w:rPr>
        <w:t xml:space="preserve"> 根据橡胶工厂用热需求，确定余热回收和利用方式。</w:t>
      </w:r>
    </w:p>
    <w:p>
      <w:pPr>
        <w:spacing w:line="300" w:lineRule="auto"/>
        <w:rPr>
          <w:szCs w:val="21"/>
        </w:rPr>
      </w:pPr>
      <w:r>
        <w:rPr>
          <w:szCs w:val="21"/>
        </w:rPr>
        <w:t>4.2.</w:t>
      </w:r>
      <w:r>
        <w:rPr>
          <w:rFonts w:hint="eastAsia"/>
          <w:szCs w:val="21"/>
        </w:rPr>
        <w:t>4</w:t>
      </w:r>
      <w:r>
        <w:rPr>
          <w:szCs w:val="21"/>
        </w:rPr>
        <w:t xml:space="preserve"> 根据全厂蒸汽平衡计算，选择、确定供热系统中所需采用的热源的容量。</w:t>
      </w:r>
    </w:p>
    <w:p>
      <w:pPr>
        <w:spacing w:line="300" w:lineRule="auto"/>
        <w:rPr>
          <w:rFonts w:eastAsiaTheme="minorEastAsia"/>
        </w:rPr>
      </w:pPr>
      <w:r>
        <w:rPr>
          <w:rFonts w:eastAsiaTheme="minorEastAsia"/>
        </w:rPr>
        <w:t>4.2.</w:t>
      </w:r>
      <w:r>
        <w:rPr>
          <w:rFonts w:eastAsiaTheme="minorEastAsia" w:hint="eastAsia"/>
        </w:rPr>
        <w:t>5</w:t>
      </w:r>
      <w:r>
        <w:rPr>
          <w:rFonts w:eastAsiaTheme="minorEastAsia"/>
        </w:rPr>
        <w:t xml:space="preserve"> 蒸汽管线宜采用树枝状系统；对于有特殊要求的可采设置用专管道。</w:t>
      </w:r>
    </w:p>
    <w:p>
      <w:pPr>
        <w:spacing w:line="300" w:lineRule="auto"/>
        <w:rPr>
          <w:szCs w:val="21"/>
        </w:rPr>
      </w:pPr>
      <w:r>
        <w:rPr>
          <w:szCs w:val="21"/>
        </w:rPr>
        <w:t>4.2.</w:t>
      </w:r>
      <w:r>
        <w:rPr>
          <w:rFonts w:hint="eastAsia"/>
          <w:szCs w:val="21"/>
        </w:rPr>
        <w:t>6</w:t>
      </w:r>
      <w:r>
        <w:rPr>
          <w:szCs w:val="21"/>
        </w:rPr>
        <w:t xml:space="preserve"> 根据全厂总平面布置，规划全厂供热管网走向。</w:t>
      </w:r>
    </w:p>
    <w:p>
      <w:pPr>
        <w:spacing w:line="300" w:lineRule="auto"/>
        <w:jc w:val="left"/>
        <w:rPr>
          <w:szCs w:val="21"/>
        </w:rPr>
        <w:sectPr>
          <w:headerReference w:type="even" r:id="rId49"/>
          <w:headerReference w:type="default" r:id="rId50"/>
          <w:footerReference w:type="even" r:id="rId51"/>
          <w:footerReference w:type="default" r:id="rId52"/>
          <w:type w:val="nextPage"/>
          <w:pgSz w:w="11906" w:h="16838"/>
          <w:pgMar w:top="1417" w:right="1134" w:bottom="1134" w:left="1417" w:header="1417" w:footer="1134" w:gutter="0"/>
          <w:pgNumType w:start="6"/>
          <w:cols w:num="1" w:space="0"/>
          <w:titlePg w:val="0"/>
          <w:docGrid w:type="lines" w:linePitch="317" w:charSpace="0"/>
        </w:sectPr>
      </w:pPr>
    </w:p>
    <w:p>
      <w:pPr>
        <w:pStyle w:val="Heading1"/>
        <w:spacing w:line="360" w:lineRule="auto"/>
        <w:jc w:val="center"/>
        <w:rPr>
          <w:rFonts w:eastAsia="宋体"/>
          <w:b/>
          <w:bCs w:val="0"/>
          <w:sz w:val="32"/>
          <w:szCs w:val="32"/>
        </w:rPr>
      </w:pPr>
      <w:bookmarkStart w:id="34" w:name="_Toc155451827"/>
      <w:bookmarkStart w:id="35" w:name="_Toc155702117"/>
      <w:bookmarkStart w:id="36" w:name="_Toc155642932"/>
      <w:r>
        <w:rPr>
          <w:rFonts w:eastAsia="宋体"/>
          <w:b/>
          <w:bCs w:val="0"/>
          <w:sz w:val="32"/>
          <w:szCs w:val="32"/>
        </w:rPr>
        <w:t xml:space="preserve">5 </w:t>
      </w:r>
      <w:r>
        <w:rPr>
          <w:rFonts w:eastAsia="宋体" w:hAnsi="宋体"/>
          <w:b/>
          <w:bCs w:val="0"/>
          <w:sz w:val="32"/>
          <w:szCs w:val="32"/>
        </w:rPr>
        <w:t>热源</w:t>
      </w:r>
      <w:bookmarkEnd w:id="34"/>
      <w:bookmarkEnd w:id="35"/>
      <w:bookmarkEnd w:id="36"/>
    </w:p>
    <w:p>
      <w:pPr>
        <w:spacing w:line="360" w:lineRule="auto"/>
        <w:rPr>
          <w:rFonts w:eastAsiaTheme="minorEastAsia"/>
        </w:rPr>
      </w:pPr>
    </w:p>
    <w:p>
      <w:pPr>
        <w:spacing w:line="300" w:lineRule="auto"/>
      </w:pPr>
      <w:r>
        <w:rPr>
          <w:rFonts w:eastAsia="黑体"/>
        </w:rPr>
        <w:t xml:space="preserve">5.0.1 </w:t>
      </w:r>
      <w:r>
        <w:t>橡胶工厂供热热源宜为区域性热电联产供热。</w:t>
      </w:r>
      <w:r>
        <w:rPr>
          <w:rFonts w:hint="eastAsia"/>
        </w:rPr>
        <w:t>无区域性热电厂的外接蒸汽热源时</w:t>
      </w:r>
      <w:r>
        <w:t>，应以自备可再生能源锅炉、燃气（燃油）锅炉供热。</w:t>
      </w:r>
    </w:p>
    <w:p>
      <w:pPr>
        <w:spacing w:line="300" w:lineRule="auto"/>
      </w:pPr>
      <w:r>
        <w:t>5.0</w:t>
      </w:r>
      <w:r>
        <w:rPr>
          <w:rFonts w:hint="eastAsia"/>
        </w:rPr>
        <w:t xml:space="preserve">.2 </w:t>
      </w:r>
      <w:r>
        <w:t>当橡胶工厂采用区域性热电联产供热系统为热源时，送入厂区供热管网的蒸汽宜为过热蒸汽且过热度宜不小于15℃。</w:t>
      </w:r>
    </w:p>
    <w:p>
      <w:pPr>
        <w:spacing w:line="300" w:lineRule="auto"/>
      </w:pPr>
      <w:r>
        <w:t>5.0.</w:t>
      </w:r>
      <w:r>
        <w:rPr>
          <w:rFonts w:hint="eastAsia"/>
        </w:rPr>
        <w:t>3</w:t>
      </w:r>
      <w:r>
        <w:t xml:space="preserve"> 当热源为自备锅炉房并独立供热时，锅炉房应布置在用户集中区域附近。</w:t>
      </w:r>
    </w:p>
    <w:p>
      <w:pPr>
        <w:spacing w:line="300" w:lineRule="auto"/>
      </w:pPr>
      <w:r>
        <w:t>5.0.</w:t>
      </w:r>
      <w:r>
        <w:rPr>
          <w:rFonts w:hint="eastAsia"/>
        </w:rPr>
        <w:t>4</w:t>
      </w:r>
      <w:r>
        <w:t xml:space="preserve"> 当橡胶工厂采用自备锅炉为热源时</w:t>
      </w:r>
      <w:r>
        <w:rPr>
          <w:rFonts w:hint="eastAsia"/>
        </w:rPr>
        <w:t>，</w:t>
      </w:r>
      <w:r>
        <w:t>锅炉的台数和容量选择，在一台容量最大的锅炉停用时，其余锅炉总容量应符合下列要求：</w:t>
      </w:r>
    </w:p>
    <w:p>
      <w:pPr>
        <w:spacing w:line="300" w:lineRule="auto"/>
        <w:ind w:firstLine="420" w:firstLineChars="200"/>
      </w:pPr>
      <w:r>
        <w:t>1  橡胶工艺连续生产所需的生产用汽量。</w:t>
      </w:r>
    </w:p>
    <w:p>
      <w:pPr>
        <w:spacing w:line="300" w:lineRule="auto"/>
        <w:ind w:firstLine="420" w:firstLineChars="200"/>
      </w:pPr>
      <w:r>
        <w:t>2  冬季采暖和生活用热量的60%~75%（严寒地区取上限）。</w:t>
      </w:r>
    </w:p>
    <w:p>
      <w:pPr>
        <w:spacing w:line="300" w:lineRule="auto"/>
        <w:rPr>
          <w:rFonts w:eastAsia="黑体"/>
        </w:rPr>
      </w:pPr>
      <w:r>
        <w:rPr>
          <w:rFonts w:eastAsia="黑体"/>
        </w:rPr>
        <w:t>5.0.</w:t>
      </w:r>
      <w:r>
        <w:rPr>
          <w:rFonts w:eastAsia="黑体" w:hint="eastAsia"/>
        </w:rPr>
        <w:t>5</w:t>
      </w:r>
      <w:r>
        <w:rPr>
          <w:rFonts w:eastAsia="黑体"/>
        </w:rPr>
        <w:t xml:space="preserve"> </w:t>
      </w:r>
      <w:r>
        <w:t>当热源为自备锅炉房并独立供热时，蒸汽宜为饱和蒸汽。</w:t>
      </w:r>
    </w:p>
    <w:p>
      <w:pPr>
        <w:spacing w:line="300" w:lineRule="auto"/>
      </w:pPr>
      <w:r>
        <w:rPr>
          <w:rFonts w:eastAsia="黑体"/>
        </w:rPr>
        <w:t>5.0.</w:t>
      </w:r>
      <w:r>
        <w:rPr>
          <w:rFonts w:eastAsia="黑体" w:hint="eastAsia"/>
        </w:rPr>
        <w:t>6</w:t>
      </w:r>
      <w:r>
        <w:t xml:space="preserve"> 热源应按照工艺参数、设备运行状态、能源数据进行采集监测，实现工艺参数、设备运行状态的调控功能，工艺参数、设备运行的联锁保护，工艺参数超限、设备故障报警功能。</w:t>
      </w:r>
    </w:p>
    <w:p>
      <w:pPr>
        <w:spacing w:line="300" w:lineRule="auto"/>
        <w:rPr>
          <w:rFonts w:eastAsiaTheme="minorEastAsia"/>
          <w:bCs/>
        </w:rPr>
      </w:pPr>
      <w:r>
        <w:rPr>
          <w:rFonts w:eastAsiaTheme="minorEastAsia"/>
        </w:rPr>
        <w:t>5.0.</w:t>
      </w:r>
      <w:r>
        <w:rPr>
          <w:rFonts w:eastAsiaTheme="minorEastAsia" w:hint="eastAsia"/>
        </w:rPr>
        <w:t>7</w:t>
      </w:r>
      <w:r>
        <w:rPr>
          <w:rFonts w:eastAsiaTheme="minorEastAsia"/>
        </w:rPr>
        <w:t xml:space="preserve"> 锅炉房设备布置应符合《锅炉房设计标准》</w:t>
      </w:r>
      <w:r>
        <w:rPr>
          <w:rFonts w:eastAsiaTheme="minorEastAsia"/>
          <w:bCs/>
        </w:rPr>
        <w:t>GB50041的相关规定。</w:t>
      </w:r>
    </w:p>
    <w:p>
      <w:pPr>
        <w:rPr>
          <w:rFonts w:eastAsiaTheme="minorEastAsia"/>
        </w:rPr>
      </w:pPr>
      <w:r>
        <w:rPr>
          <w:rFonts w:eastAsiaTheme="minorEastAsia" w:hint="eastAsia"/>
        </w:rPr>
        <w:t>5.0.8 对于工厂内建筑供暖，其热源应符合《工业建筑供暖通风与空气调节设计规范》</w:t>
      </w:r>
      <w:r>
        <w:rPr>
          <w:rFonts w:eastAsiaTheme="minorEastAsia"/>
          <w:bCs/>
        </w:rPr>
        <w:t>GB500</w:t>
      </w:r>
      <w:r>
        <w:rPr>
          <w:rFonts w:eastAsiaTheme="minorEastAsia" w:hint="eastAsia"/>
          <w:bCs/>
        </w:rPr>
        <w:t>19</w:t>
      </w:r>
      <w:r>
        <w:rPr>
          <w:rFonts w:eastAsiaTheme="minorEastAsia"/>
          <w:bCs/>
        </w:rPr>
        <w:t>的相关规定。</w:t>
      </w:r>
    </w:p>
    <w:p>
      <w:pPr>
        <w:rPr>
          <w:rFonts w:eastAsiaTheme="minorEastAsia" w:hint="eastAsia"/>
        </w:rPr>
      </w:pPr>
    </w:p>
    <w:p>
      <w:pPr>
        <w:rPr>
          <w:rFonts w:eastAsiaTheme="minorEastAsia"/>
        </w:rPr>
        <w:sectPr>
          <w:headerReference w:type="even" r:id="rId53"/>
          <w:headerReference w:type="default" r:id="rId54"/>
          <w:footerReference w:type="even" r:id="rId55"/>
          <w:footerReference w:type="default" r:id="rId56"/>
          <w:type w:val="nextPage"/>
          <w:pgSz w:w="11906" w:h="16838"/>
          <w:pgMar w:top="1417" w:right="1134" w:bottom="1134" w:left="1417" w:header="1417" w:footer="1134" w:gutter="0"/>
          <w:pgNumType w:start="7"/>
          <w:cols w:num="1" w:space="0"/>
          <w:titlePg w:val="0"/>
          <w:docGrid w:type="lines" w:linePitch="317" w:charSpace="0"/>
        </w:sectPr>
      </w:pPr>
    </w:p>
    <w:p>
      <w:pPr>
        <w:pStyle w:val="Heading1"/>
        <w:spacing w:line="360" w:lineRule="auto"/>
        <w:jc w:val="center"/>
        <w:rPr>
          <w:rFonts w:eastAsia="宋体"/>
          <w:b/>
          <w:bCs w:val="0"/>
          <w:sz w:val="32"/>
          <w:szCs w:val="32"/>
        </w:rPr>
      </w:pPr>
      <w:bookmarkStart w:id="37" w:name="_Toc150261145"/>
      <w:bookmarkStart w:id="38" w:name="_Toc150261422"/>
      <w:bookmarkStart w:id="39" w:name="_Toc155702118"/>
      <w:bookmarkStart w:id="40" w:name="_Toc155642933"/>
      <w:bookmarkStart w:id="41" w:name="_Toc155451828"/>
      <w:r>
        <w:rPr>
          <w:rFonts w:eastAsia="宋体"/>
          <w:b/>
          <w:bCs w:val="0"/>
          <w:sz w:val="32"/>
          <w:szCs w:val="32"/>
        </w:rPr>
        <w:t xml:space="preserve">6 </w:t>
      </w:r>
      <w:bookmarkEnd w:id="37"/>
      <w:bookmarkEnd w:id="38"/>
      <w:r>
        <w:rPr>
          <w:rFonts w:eastAsia="宋体" w:hAnsi="宋体"/>
          <w:b/>
          <w:bCs w:val="0"/>
          <w:sz w:val="32"/>
          <w:szCs w:val="32"/>
        </w:rPr>
        <w:t>供热分配和用户</w:t>
      </w:r>
      <w:bookmarkEnd w:id="39"/>
      <w:bookmarkEnd w:id="40"/>
      <w:bookmarkEnd w:id="41"/>
    </w:p>
    <w:p>
      <w:pPr>
        <w:spacing w:line="300" w:lineRule="auto"/>
      </w:pPr>
    </w:p>
    <w:p>
      <w:pPr>
        <w:spacing w:line="300" w:lineRule="auto"/>
        <w:jc w:val="center"/>
        <w:outlineLvl w:val="1"/>
      </w:pPr>
      <w:bookmarkStart w:id="42" w:name="_Toc155642934"/>
      <w:bookmarkStart w:id="43" w:name="_Toc155702119"/>
      <w:r>
        <w:t>6.1 供热分配站房布置原则</w:t>
      </w:r>
      <w:bookmarkEnd w:id="42"/>
      <w:bookmarkEnd w:id="43"/>
    </w:p>
    <w:p>
      <w:pPr>
        <w:spacing w:line="300" w:lineRule="auto"/>
      </w:pPr>
      <w:r>
        <w:t>6.1.1 热力站</w:t>
      </w:r>
      <w:r>
        <w:rPr>
          <w:rFonts w:hint="eastAsia"/>
        </w:rPr>
        <w:t>和</w:t>
      </w:r>
      <w:r>
        <w:t>动力站</w:t>
      </w:r>
      <w:r>
        <w:rPr>
          <w:rFonts w:hint="eastAsia"/>
        </w:rPr>
        <w:t>宜</w:t>
      </w:r>
      <w:r>
        <w:t>靠近</w:t>
      </w:r>
      <w:r>
        <w:rPr>
          <w:rFonts w:hint="eastAsia"/>
        </w:rPr>
        <w:t>用热</w:t>
      </w:r>
      <w:r>
        <w:t>负荷较大的车间。</w:t>
      </w:r>
    </w:p>
    <w:p>
      <w:pPr>
        <w:spacing w:line="300" w:lineRule="auto"/>
      </w:pPr>
      <w:r>
        <w:rPr>
          <w:rFonts w:eastAsia="黑体"/>
        </w:rPr>
        <w:t xml:space="preserve">6.1.2 </w:t>
      </w:r>
      <w:r>
        <w:t>动力站宜根据生产用汽负荷设置蒸汽蓄能装置。</w:t>
      </w:r>
    </w:p>
    <w:p>
      <w:pPr>
        <w:spacing w:line="300" w:lineRule="auto"/>
      </w:pPr>
      <w:r>
        <w:t xml:space="preserve">6.1.3 </w:t>
      </w:r>
      <w:r>
        <w:rPr>
          <w:rFonts w:hint="eastAsia"/>
        </w:rPr>
        <w:t>若</w:t>
      </w:r>
      <w:r>
        <w:t>橡胶工厂采用区域性热电联产供热系统为热源，应根据蒸汽</w:t>
      </w:r>
      <w:r>
        <w:rPr>
          <w:rFonts w:hint="eastAsia"/>
        </w:rPr>
        <w:t>具体</w:t>
      </w:r>
      <w:r>
        <w:t>参数</w:t>
      </w:r>
      <w:r>
        <w:rPr>
          <w:rFonts w:hint="eastAsia"/>
        </w:rPr>
        <w:t>，确定</w:t>
      </w:r>
      <w:r>
        <w:t>热力站内</w:t>
      </w:r>
      <w:r>
        <w:rPr>
          <w:rFonts w:hint="eastAsia"/>
        </w:rPr>
        <w:t>的</w:t>
      </w:r>
      <w:r>
        <w:t>蒸汽减温和减压装置。</w:t>
      </w:r>
    </w:p>
    <w:p>
      <w:pPr>
        <w:spacing w:line="300" w:lineRule="auto"/>
      </w:pPr>
    </w:p>
    <w:p>
      <w:pPr>
        <w:spacing w:line="300" w:lineRule="auto"/>
        <w:jc w:val="center"/>
        <w:outlineLvl w:val="1"/>
      </w:pPr>
      <w:bookmarkStart w:id="44" w:name="_Toc155642935"/>
      <w:bookmarkStart w:id="45" w:name="_Toc155702120"/>
      <w:r>
        <w:t>6.2 系统设计原则</w:t>
      </w:r>
      <w:bookmarkEnd w:id="44"/>
      <w:bookmarkEnd w:id="45"/>
    </w:p>
    <w:p>
      <w:pPr>
        <w:spacing w:line="300" w:lineRule="auto"/>
      </w:pPr>
      <w:r>
        <w:t>6.2.1 蒸汽管网宜高压输送，低压使用。</w:t>
      </w:r>
    </w:p>
    <w:p>
      <w:pPr>
        <w:spacing w:line="300" w:lineRule="auto"/>
      </w:pPr>
      <w:r>
        <w:t>6.2.2 当用汽参数相差不大，蒸汽干管宜采用单管系统，当用汽有特殊要求或用汽参数相差较大时，蒸汽干管宜采用双管或多管系统。</w:t>
      </w:r>
    </w:p>
    <w:p>
      <w:pPr>
        <w:spacing w:line="300" w:lineRule="auto"/>
      </w:pPr>
      <w:r>
        <w:t xml:space="preserve">6.2.3 </w:t>
      </w:r>
      <w:r>
        <w:rPr>
          <w:rFonts w:hint="eastAsia"/>
        </w:rPr>
        <w:t>热</w:t>
      </w:r>
      <w:r>
        <w:t>力站内的</w:t>
      </w:r>
      <w:r>
        <w:rPr>
          <w:szCs w:val="21"/>
        </w:rPr>
        <w:t>采暖热源系统宜设计为变流量系统，</w:t>
      </w:r>
      <w:r>
        <w:t>水泵应设变频控制，根据供水压力调节流量。</w:t>
      </w:r>
    </w:p>
    <w:p>
      <w:pPr>
        <w:spacing w:line="300" w:lineRule="auto"/>
      </w:pPr>
      <w:r>
        <w:t>6.2.4 蒸汽管网应成分枝状布置，用户就近取用。</w:t>
      </w:r>
    </w:p>
    <w:p>
      <w:pPr>
        <w:spacing w:line="300" w:lineRule="auto"/>
      </w:pPr>
      <w:r>
        <w:rPr>
          <w:rFonts w:hint="eastAsia"/>
        </w:rPr>
        <w:t>6.2.5蒸汽管网的设计应遵照相关设计规范及规定执行。供热系统的蒸汽管线接至各装置边界处，在装置内一侧均应设置切断阀、疏放水装置、流量表、压力和温度指示，并相应设置操作平台。</w:t>
      </w:r>
    </w:p>
    <w:p>
      <w:pPr>
        <w:spacing w:line="300" w:lineRule="auto"/>
      </w:pPr>
      <w:r>
        <w:t>6.2.</w:t>
      </w:r>
      <w:r>
        <w:rPr>
          <w:rFonts w:hint="eastAsia"/>
        </w:rPr>
        <w:t>6</w:t>
      </w:r>
      <w:r>
        <w:t xml:space="preserve"> 硫化车间蒸汽在管道中平均流速低于10m/s时，宜设置汽水分离器。</w:t>
      </w:r>
    </w:p>
    <w:p>
      <w:pPr>
        <w:spacing w:line="300" w:lineRule="auto"/>
      </w:pPr>
      <w:r>
        <w:t>6.2.</w:t>
      </w:r>
      <w:r>
        <w:rPr>
          <w:rFonts w:hint="eastAsia"/>
        </w:rPr>
        <w:t>7</w:t>
      </w:r>
      <w:r>
        <w:t xml:space="preserve"> 蒸汽管道沿程疏水宜回收利用。</w:t>
      </w:r>
    </w:p>
    <w:p>
      <w:pPr>
        <w:spacing w:line="300" w:lineRule="auto"/>
      </w:pPr>
      <w:r>
        <w:t>6.2.</w:t>
      </w:r>
      <w:r>
        <w:rPr>
          <w:rFonts w:hint="eastAsia"/>
        </w:rPr>
        <w:t>8</w:t>
      </w:r>
      <w:r>
        <w:t xml:space="preserve"> 蒸汽管道支座宜采取隔热措施。</w:t>
      </w:r>
    </w:p>
    <w:p>
      <w:pPr>
        <w:spacing w:line="300" w:lineRule="auto"/>
      </w:pPr>
      <w:r>
        <w:t>6.2.</w:t>
      </w:r>
      <w:r>
        <w:rPr>
          <w:rFonts w:hint="eastAsia"/>
        </w:rPr>
        <w:t xml:space="preserve">9 </w:t>
      </w:r>
      <w:r>
        <w:t>热水一次管网供回水温差不宜小于25℃，各分支管路设置平衡阀。</w:t>
      </w:r>
    </w:p>
    <w:p>
      <w:pPr>
        <w:spacing w:line="300" w:lineRule="auto"/>
      </w:pPr>
      <w:r>
        <w:t>6.2.</w:t>
      </w:r>
      <w:r>
        <w:rPr>
          <w:rFonts w:hint="eastAsia"/>
        </w:rPr>
        <w:t xml:space="preserve">10 </w:t>
      </w:r>
      <w:r>
        <w:t>热水二次管网应设置供水温度控制和回水温度监控系统。</w:t>
      </w:r>
    </w:p>
    <w:p>
      <w:pPr>
        <w:spacing w:line="300" w:lineRule="auto"/>
      </w:pPr>
      <w:r>
        <w:t>6.2.1</w:t>
      </w:r>
      <w:r>
        <w:rPr>
          <w:rFonts w:hint="eastAsia"/>
        </w:rPr>
        <w:t xml:space="preserve">1 </w:t>
      </w:r>
      <w:r>
        <w:t>当采暖管道冷热共用时，其保温设计应按照热管道执行。</w:t>
      </w:r>
    </w:p>
    <w:p>
      <w:pPr>
        <w:spacing w:line="300" w:lineRule="auto"/>
      </w:pPr>
      <w:r>
        <w:t>6.2.1</w:t>
      </w:r>
      <w:r>
        <w:rPr>
          <w:rFonts w:hint="eastAsia"/>
        </w:rPr>
        <w:t xml:space="preserve">2 </w:t>
      </w:r>
      <w:r>
        <w:t>供热管道、管路附件均应保温，保温结构应具有防水性能。保温厚度计算应符合国家标准</w:t>
      </w:r>
      <w:r>
        <w:rPr>
          <w:szCs w:val="21"/>
        </w:rPr>
        <w:t>《设备及管道绝热技术通则》</w:t>
      </w:r>
      <w:r>
        <w:t>GB/T4272的规定</w:t>
      </w:r>
    </w:p>
    <w:p>
      <w:pPr>
        <w:spacing w:line="300" w:lineRule="auto"/>
      </w:pPr>
    </w:p>
    <w:p>
      <w:pPr>
        <w:spacing w:line="300" w:lineRule="auto"/>
        <w:jc w:val="center"/>
        <w:outlineLvl w:val="1"/>
      </w:pPr>
      <w:bookmarkStart w:id="46" w:name="_Toc155702121"/>
      <w:bookmarkStart w:id="47" w:name="_Toc155642936"/>
      <w:r>
        <w:t>6.3 系统分配原则</w:t>
      </w:r>
      <w:bookmarkEnd w:id="46"/>
      <w:bookmarkEnd w:id="47"/>
    </w:p>
    <w:p>
      <w:pPr>
        <w:spacing w:line="300" w:lineRule="auto"/>
      </w:pPr>
      <w:r>
        <w:t>6.3.1 工厂蒸汽系统分配应按照全厂蒸汽平衡图进行分配和设计。</w:t>
      </w:r>
    </w:p>
    <w:p>
      <w:pPr>
        <w:spacing w:line="300" w:lineRule="auto"/>
      </w:pPr>
      <w:r>
        <w:t>6.3.2 蒸汽平衡图宜在落实各用户用汽（热）负荷、用汽参数、用汽方式、适用性质及热源厂商资料后进行。</w:t>
      </w:r>
    </w:p>
    <w:p>
      <w:pPr>
        <w:spacing w:line="300" w:lineRule="auto"/>
      </w:pPr>
      <w:r>
        <w:t>6.3.3 通往各用户的蒸汽管宜</w:t>
      </w:r>
      <w:r>
        <w:rPr>
          <w:rFonts w:hint="eastAsia"/>
        </w:rPr>
        <w:t>由</w:t>
      </w:r>
      <w:r>
        <w:t>分汽缸接出</w:t>
      </w:r>
      <w:r>
        <w:rPr>
          <w:rFonts w:hint="eastAsia"/>
        </w:rPr>
        <w:t>。</w:t>
      </w:r>
    </w:p>
    <w:p>
      <w:pPr>
        <w:spacing w:line="300" w:lineRule="auto"/>
      </w:pPr>
      <w:r>
        <w:t>6.3.4 在全厂各个等级的蒸汽之间，应有较好的调节手段。</w:t>
      </w:r>
    </w:p>
    <w:p>
      <w:pPr>
        <w:spacing w:line="300" w:lineRule="auto"/>
        <w:sectPr>
          <w:headerReference w:type="even" r:id="rId57"/>
          <w:headerReference w:type="default" r:id="rId58"/>
          <w:footerReference w:type="even" r:id="rId59"/>
          <w:footerReference w:type="default" r:id="rId60"/>
          <w:type w:val="nextPage"/>
          <w:pgSz w:w="11906" w:h="16838"/>
          <w:pgMar w:top="1417" w:right="1134" w:bottom="1134" w:left="1417" w:header="1417" w:footer="1134" w:gutter="0"/>
          <w:pgNumType w:start="8"/>
          <w:cols w:num="1" w:space="0"/>
          <w:titlePg w:val="0"/>
          <w:docGrid w:type="lines" w:linePitch="317" w:charSpace="0"/>
        </w:sectPr>
      </w:pPr>
      <w:r>
        <w:t>6.3.5 应保证系统循环效率高，运行成本合理，锅炉蒸发量宜在设计负荷的70%~90%运行，容易操作，运行可靠。</w:t>
      </w:r>
    </w:p>
    <w:p>
      <w:pPr>
        <w:spacing w:line="300" w:lineRule="auto"/>
      </w:pPr>
      <w:r>
        <w:t>6.3.6 蒸汽</w:t>
      </w:r>
      <w:r>
        <w:rPr>
          <w:rFonts w:hint="eastAsia"/>
        </w:rPr>
        <w:t>用</w:t>
      </w:r>
      <w:r>
        <w:t>量大的工艺</w:t>
      </w:r>
      <w:r>
        <w:rPr>
          <w:rFonts w:hint="eastAsia"/>
        </w:rPr>
        <w:t>设备</w:t>
      </w:r>
      <w:r>
        <w:t>停</w:t>
      </w:r>
      <w:r>
        <w:rPr>
          <w:rFonts w:hint="eastAsia"/>
        </w:rPr>
        <w:t>车</w:t>
      </w:r>
      <w:r>
        <w:t>时，系统能够保证装置继续运行、不停车。</w:t>
      </w:r>
    </w:p>
    <w:p>
      <w:pPr>
        <w:spacing w:line="300" w:lineRule="auto"/>
        <w:sectPr>
          <w:headerReference w:type="even" r:id="rId61"/>
          <w:headerReference w:type="default" r:id="rId62"/>
          <w:footerReference w:type="even" r:id="rId63"/>
          <w:footerReference w:type="default" r:id="rId64"/>
          <w:type w:val="nextPage"/>
          <w:pgSz w:w="11906" w:h="16838"/>
          <w:pgMar w:top="1417" w:right="1134" w:bottom="1134" w:left="1417" w:header="1417" w:footer="1134" w:gutter="0"/>
          <w:pgNumType w:start="9"/>
          <w:cols w:num="1" w:space="0"/>
          <w:titlePg w:val="0"/>
          <w:docGrid w:type="lines" w:linePitch="317" w:charSpace="0"/>
        </w:sectPr>
      </w:pPr>
    </w:p>
    <w:p>
      <w:pPr>
        <w:pStyle w:val="Heading1"/>
        <w:spacing w:line="360" w:lineRule="auto"/>
        <w:jc w:val="center"/>
        <w:rPr>
          <w:rFonts w:eastAsia="宋体"/>
          <w:b/>
          <w:bCs w:val="0"/>
          <w:sz w:val="32"/>
          <w:szCs w:val="32"/>
        </w:rPr>
      </w:pPr>
      <w:bookmarkStart w:id="48" w:name="_Toc155702122"/>
      <w:bookmarkStart w:id="49" w:name="_Toc155451829"/>
      <w:bookmarkStart w:id="50" w:name="_Toc155642937"/>
      <w:bookmarkStart w:id="51" w:name="_Toc150261146"/>
      <w:bookmarkStart w:id="52" w:name="_Toc150261423"/>
      <w:r>
        <w:rPr>
          <w:rFonts w:eastAsia="宋体"/>
          <w:b/>
          <w:bCs w:val="0"/>
          <w:sz w:val="32"/>
          <w:szCs w:val="32"/>
        </w:rPr>
        <w:t xml:space="preserve">7 </w:t>
      </w:r>
      <w:r>
        <w:rPr>
          <w:rFonts w:eastAsia="宋体" w:hAnsi="宋体"/>
          <w:b/>
          <w:bCs w:val="0"/>
          <w:sz w:val="32"/>
          <w:szCs w:val="32"/>
        </w:rPr>
        <w:t>供热管网</w:t>
      </w:r>
      <w:bookmarkEnd w:id="48"/>
      <w:bookmarkEnd w:id="49"/>
      <w:bookmarkEnd w:id="50"/>
      <w:bookmarkEnd w:id="51"/>
      <w:bookmarkEnd w:id="52"/>
    </w:p>
    <w:p>
      <w:pPr>
        <w:spacing w:line="300" w:lineRule="auto"/>
        <w:rPr>
          <w:rFonts w:eastAsia="黑体"/>
        </w:rPr>
      </w:pPr>
    </w:p>
    <w:p>
      <w:pPr>
        <w:spacing w:line="300" w:lineRule="auto"/>
        <w:jc w:val="center"/>
        <w:outlineLvl w:val="1"/>
        <w:rPr>
          <w:rFonts w:eastAsiaTheme="minorEastAsia"/>
          <w:szCs w:val="21"/>
        </w:rPr>
      </w:pPr>
      <w:bookmarkStart w:id="53" w:name="_Toc155642938"/>
      <w:bookmarkStart w:id="54" w:name="_Toc155702123"/>
      <w:r>
        <w:rPr>
          <w:rFonts w:eastAsiaTheme="minorEastAsia"/>
          <w:szCs w:val="21"/>
        </w:rPr>
        <w:t>7.1 管道敷设</w:t>
      </w:r>
      <w:bookmarkEnd w:id="53"/>
      <w:bookmarkEnd w:id="54"/>
    </w:p>
    <w:p>
      <w:pPr>
        <w:spacing w:line="300" w:lineRule="auto"/>
        <w:jc w:val="center"/>
        <w:outlineLvl w:val="1"/>
        <w:rPr>
          <w:rFonts w:eastAsiaTheme="minorEastAsia"/>
          <w:szCs w:val="21"/>
        </w:rPr>
      </w:pPr>
    </w:p>
    <w:p>
      <w:pPr>
        <w:spacing w:line="300" w:lineRule="auto"/>
        <w:rPr>
          <w:rFonts w:eastAsiaTheme="minorEastAsia"/>
          <w:szCs w:val="21"/>
        </w:rPr>
      </w:pPr>
      <w:r>
        <w:rPr>
          <w:rFonts w:eastAsiaTheme="minorEastAsia"/>
          <w:szCs w:val="21"/>
        </w:rPr>
        <w:t>7.1.1 供热管网的布置应根据热负荷分布、热源位置、工厂管网及构筑物、水文、地质条件等因素，经技术经济比较确定。</w:t>
      </w:r>
    </w:p>
    <w:p>
      <w:pPr>
        <w:spacing w:line="300" w:lineRule="auto"/>
        <w:rPr>
          <w:rFonts w:eastAsiaTheme="minorEastAsia"/>
          <w:szCs w:val="21"/>
        </w:rPr>
      </w:pPr>
      <w:r>
        <w:rPr>
          <w:rFonts w:eastAsiaTheme="minorEastAsia"/>
          <w:szCs w:val="21"/>
        </w:rPr>
        <w:t>7.1.2 锅炉房及各供热分配站房内管道应沿柱子和墙敷设，布置时宜遵循大管在内</w:t>
      </w:r>
      <w:r>
        <w:rPr>
          <w:rFonts w:eastAsiaTheme="minorEastAsia" w:hint="eastAsia"/>
          <w:szCs w:val="21"/>
        </w:rPr>
        <w:t>、</w:t>
      </w:r>
      <w:r>
        <w:rPr>
          <w:rFonts w:eastAsiaTheme="minorEastAsia"/>
          <w:szCs w:val="21"/>
        </w:rPr>
        <w:t>小管在外</w:t>
      </w:r>
      <w:r>
        <w:rPr>
          <w:rFonts w:eastAsiaTheme="minorEastAsia" w:hint="eastAsia"/>
          <w:szCs w:val="21"/>
        </w:rPr>
        <w:t>、</w:t>
      </w:r>
      <w:r>
        <w:rPr>
          <w:rFonts w:eastAsiaTheme="minorEastAsia"/>
          <w:szCs w:val="21"/>
        </w:rPr>
        <w:t>保温管道在内</w:t>
      </w:r>
      <w:r>
        <w:rPr>
          <w:rFonts w:eastAsiaTheme="minorEastAsia" w:hint="eastAsia"/>
          <w:szCs w:val="21"/>
        </w:rPr>
        <w:t>、</w:t>
      </w:r>
      <w:r>
        <w:rPr>
          <w:rFonts w:eastAsiaTheme="minorEastAsia"/>
          <w:szCs w:val="21"/>
        </w:rPr>
        <w:t>非保温管道在外的原则。</w:t>
      </w:r>
    </w:p>
    <w:p>
      <w:pPr>
        <w:spacing w:line="300" w:lineRule="auto"/>
        <w:rPr>
          <w:rFonts w:eastAsiaTheme="minorEastAsia"/>
          <w:szCs w:val="21"/>
        </w:rPr>
      </w:pPr>
      <w:r>
        <w:rPr>
          <w:rFonts w:eastAsiaTheme="minorEastAsia"/>
          <w:szCs w:val="21"/>
        </w:rPr>
        <w:t>7.1.3 厂区供热管道宜采用地上架空敷设，并应敷设在易于检修和维护的位置。</w:t>
      </w:r>
    </w:p>
    <w:p>
      <w:pPr>
        <w:spacing w:line="300" w:lineRule="auto"/>
        <w:rPr>
          <w:rFonts w:eastAsiaTheme="minorEastAsia"/>
          <w:szCs w:val="21"/>
        </w:rPr>
      </w:pPr>
      <w:r>
        <w:rPr>
          <w:rFonts w:eastAsiaTheme="minorEastAsia"/>
          <w:szCs w:val="21"/>
        </w:rPr>
        <w:t>7.1.4 厂区地上敷设的供热管道可与其他管道敷设在同一管架上，应便于检修，且不得架设在腐蚀性介质管道的下方。</w:t>
      </w:r>
    </w:p>
    <w:p>
      <w:pPr>
        <w:spacing w:line="300" w:lineRule="auto"/>
        <w:rPr>
          <w:rFonts w:eastAsiaTheme="minorEastAsia"/>
          <w:szCs w:val="21"/>
        </w:rPr>
      </w:pPr>
      <w:r>
        <w:rPr>
          <w:rFonts w:eastAsiaTheme="minorEastAsia"/>
          <w:szCs w:val="21"/>
        </w:rPr>
        <w:t>7.1.5 硫化车间供热管道宜采用通行地沟敷设，地沟内管道宜采用地沟两侧单排布置。</w:t>
      </w:r>
    </w:p>
    <w:p>
      <w:pPr>
        <w:spacing w:line="300" w:lineRule="auto"/>
        <w:rPr>
          <w:rFonts w:eastAsiaTheme="minorEastAsia"/>
          <w:szCs w:val="21"/>
        </w:rPr>
      </w:pPr>
      <w:r>
        <w:rPr>
          <w:rFonts w:eastAsiaTheme="minorEastAsia"/>
          <w:szCs w:val="21"/>
        </w:rPr>
        <w:t>7.1.6 蒸汽管道的布置应按下列要求：</w:t>
      </w:r>
    </w:p>
    <w:p>
      <w:pPr>
        <w:spacing w:line="300" w:lineRule="auto"/>
        <w:ind w:firstLine="420" w:firstLineChars="200"/>
        <w:rPr>
          <w:rFonts w:eastAsiaTheme="minorEastAsia"/>
          <w:szCs w:val="21"/>
        </w:rPr>
      </w:pPr>
      <w:r>
        <w:rPr>
          <w:rFonts w:eastAsiaTheme="minorEastAsia"/>
          <w:szCs w:val="21"/>
        </w:rPr>
        <w:t>1  蒸汽支管应从主管的顶部引出，当工艺要求支管上设置切断网时，切断阀应靠近主管的水平管段上；</w:t>
      </w:r>
    </w:p>
    <w:p>
      <w:pPr>
        <w:spacing w:line="300" w:lineRule="auto"/>
        <w:ind w:firstLine="420" w:firstLineChars="200"/>
        <w:rPr>
          <w:rFonts w:eastAsiaTheme="minorEastAsia"/>
          <w:szCs w:val="21"/>
        </w:rPr>
      </w:pPr>
      <w:r>
        <w:rPr>
          <w:rFonts w:eastAsiaTheme="minorEastAsia"/>
          <w:szCs w:val="21"/>
        </w:rPr>
        <w:t>2  支管不得从用汽要求很严格的蒸汽管道上接出；</w:t>
      </w:r>
    </w:p>
    <w:p>
      <w:pPr>
        <w:spacing w:line="300" w:lineRule="auto"/>
        <w:ind w:firstLine="420" w:firstLineChars="200"/>
        <w:rPr>
          <w:rFonts w:eastAsiaTheme="minorEastAsia"/>
          <w:szCs w:val="21"/>
        </w:rPr>
      </w:pPr>
      <w:r>
        <w:rPr>
          <w:rFonts w:eastAsiaTheme="minorEastAsia"/>
          <w:szCs w:val="21"/>
        </w:rPr>
        <w:t>3  蒸汽主管进入装置界区的切断阀上游和主管末端应设排液设施；</w:t>
      </w:r>
    </w:p>
    <w:p>
      <w:pPr>
        <w:spacing w:line="300" w:lineRule="auto"/>
        <w:ind w:firstLine="420" w:firstLineChars="200"/>
        <w:rPr>
          <w:rFonts w:eastAsiaTheme="minorEastAsia"/>
          <w:szCs w:val="21"/>
        </w:rPr>
      </w:pPr>
      <w:r>
        <w:rPr>
          <w:rFonts w:eastAsiaTheme="minorEastAsia"/>
          <w:szCs w:val="21"/>
        </w:rPr>
        <w:t>4  水平敷设的蒸汽主管上的排液设施的间隔宜符合饱和蒸汽不宜大于80m，过热蒸汽不宜大于160m要求；</w:t>
      </w:r>
    </w:p>
    <w:p>
      <w:pPr>
        <w:spacing w:line="300" w:lineRule="auto"/>
        <w:ind w:firstLine="420" w:firstLineChars="200"/>
        <w:rPr>
          <w:rFonts w:eastAsiaTheme="minorEastAsia"/>
          <w:szCs w:val="21"/>
        </w:rPr>
      </w:pPr>
      <w:r>
        <w:rPr>
          <w:rFonts w:eastAsiaTheme="minorEastAsia"/>
          <w:szCs w:val="21"/>
        </w:rPr>
        <w:t>5  蒸汽管道的低点应</w:t>
      </w:r>
      <w:r>
        <w:rPr>
          <w:rFonts w:eastAsiaTheme="minorEastAsia" w:hint="eastAsia"/>
          <w:szCs w:val="21"/>
        </w:rPr>
        <w:t>设集液包及蒸汽疏水阀组</w:t>
      </w:r>
      <w:r>
        <w:rPr>
          <w:rFonts w:eastAsiaTheme="minorEastAsia"/>
          <w:szCs w:val="21"/>
        </w:rPr>
        <w:t>；</w:t>
      </w:r>
    </w:p>
    <w:p>
      <w:pPr>
        <w:spacing w:line="300" w:lineRule="auto"/>
        <w:ind w:firstLine="420" w:firstLineChars="200"/>
        <w:rPr>
          <w:rFonts w:eastAsiaTheme="minorEastAsia"/>
          <w:szCs w:val="21"/>
        </w:rPr>
      </w:pPr>
      <w:r>
        <w:rPr>
          <w:rFonts w:eastAsiaTheme="minorEastAsia"/>
          <w:szCs w:val="21"/>
        </w:rPr>
        <w:t>6  在蒸汽和热水管道的方型补偿器上，不得引出支管。在靠近方型补偿器两侧的直管引出支管时，支管不应妨碍主管的位移；</w:t>
      </w:r>
    </w:p>
    <w:p>
      <w:pPr>
        <w:spacing w:line="300" w:lineRule="auto"/>
        <w:ind w:firstLine="420" w:firstLineChars="200"/>
        <w:rPr>
          <w:rFonts w:eastAsiaTheme="minorEastAsia"/>
          <w:szCs w:val="21"/>
        </w:rPr>
      </w:pPr>
      <w:r>
        <w:rPr>
          <w:rFonts w:eastAsiaTheme="minorEastAsia"/>
          <w:szCs w:val="21"/>
        </w:rPr>
        <w:t>7  连续排放或经常排放乏汽的管道排放口应远离操作区布置。</w:t>
      </w:r>
    </w:p>
    <w:p>
      <w:pPr>
        <w:spacing w:line="300" w:lineRule="auto"/>
        <w:rPr>
          <w:rFonts w:eastAsiaTheme="minorEastAsia"/>
          <w:szCs w:val="21"/>
        </w:rPr>
      </w:pPr>
      <w:r>
        <w:rPr>
          <w:rFonts w:eastAsiaTheme="minorEastAsia" w:hint="eastAsia"/>
          <w:szCs w:val="21"/>
        </w:rPr>
        <w:t>7.1.7 蒸汽减压阀后的放空管应引致室外安全位置。</w:t>
      </w:r>
    </w:p>
    <w:p>
      <w:pPr>
        <w:spacing w:line="300" w:lineRule="auto"/>
        <w:rPr>
          <w:rFonts w:eastAsiaTheme="minorEastAsia"/>
          <w:szCs w:val="21"/>
        </w:rPr>
      </w:pPr>
    </w:p>
    <w:p>
      <w:pPr>
        <w:spacing w:line="300" w:lineRule="auto"/>
        <w:jc w:val="center"/>
        <w:outlineLvl w:val="1"/>
        <w:rPr>
          <w:rFonts w:eastAsiaTheme="minorEastAsia"/>
          <w:szCs w:val="21"/>
        </w:rPr>
      </w:pPr>
      <w:bookmarkStart w:id="55" w:name="_Toc155702124"/>
      <w:bookmarkStart w:id="56" w:name="_Toc155642939"/>
      <w:r>
        <w:rPr>
          <w:rFonts w:eastAsiaTheme="minorEastAsia"/>
          <w:szCs w:val="21"/>
        </w:rPr>
        <w:t>7.2 管道材料选择</w:t>
      </w:r>
      <w:bookmarkEnd w:id="55"/>
      <w:bookmarkEnd w:id="56"/>
    </w:p>
    <w:p>
      <w:pPr>
        <w:spacing w:line="300" w:lineRule="auto"/>
        <w:jc w:val="center"/>
        <w:outlineLvl w:val="1"/>
        <w:rPr>
          <w:rFonts w:eastAsiaTheme="minorEastAsia"/>
          <w:szCs w:val="21"/>
        </w:rPr>
      </w:pPr>
    </w:p>
    <w:p>
      <w:pPr>
        <w:rPr>
          <w:rFonts w:eastAsiaTheme="minorEastAsia"/>
          <w:szCs w:val="21"/>
        </w:rPr>
      </w:pPr>
      <w:r>
        <w:rPr>
          <w:rFonts w:eastAsiaTheme="minorEastAsia"/>
          <w:szCs w:val="21"/>
        </w:rPr>
        <w:t>7.2.1</w:t>
      </w:r>
      <w:r>
        <w:rPr>
          <w:rFonts w:eastAsiaTheme="minorEastAsia" w:hint="eastAsia"/>
          <w:szCs w:val="21"/>
        </w:rPr>
        <w:t>蒸汽系统管道材料在压力1.0Mpa以下宜选GB/T8163中的20#无缝钢管；温度350℃以下宜选GB/T3087中的20#无缝钢管，350℃以上宜选GB/T5310中的15GrMoG无缝钢管</w:t>
      </w:r>
    </w:p>
    <w:p>
      <w:pPr>
        <w:spacing w:line="300" w:lineRule="auto"/>
        <w:rPr>
          <w:rFonts w:eastAsiaTheme="minorEastAsia"/>
          <w:szCs w:val="21"/>
        </w:rPr>
      </w:pPr>
      <w:r>
        <w:rPr>
          <w:rFonts w:eastAsiaTheme="minorEastAsia"/>
          <w:szCs w:val="21"/>
        </w:rPr>
        <w:t>7.2.2 热水系统管道材料宜选择20#无缝钢管，并应符合《输送流体用无缝钢管》GB</w:t>
      </w:r>
      <w:r>
        <w:rPr>
          <w:rFonts w:eastAsiaTheme="minorEastAsia" w:hint="eastAsia"/>
          <w:szCs w:val="21"/>
        </w:rPr>
        <w:t>/T</w:t>
      </w:r>
      <w:r>
        <w:rPr>
          <w:rFonts w:eastAsiaTheme="minorEastAsia"/>
          <w:szCs w:val="21"/>
        </w:rPr>
        <w:t>8163的规定</w:t>
      </w:r>
      <w:r>
        <w:rPr>
          <w:rFonts w:eastAsiaTheme="minorEastAsia" w:hint="eastAsia"/>
          <w:szCs w:val="21"/>
        </w:rPr>
        <w:t>。</w:t>
      </w:r>
    </w:p>
    <w:p>
      <w:pPr>
        <w:spacing w:line="300" w:lineRule="auto"/>
        <w:rPr>
          <w:rFonts w:eastAsiaTheme="minorEastAsia"/>
          <w:szCs w:val="21"/>
        </w:rPr>
      </w:pPr>
      <w:r>
        <w:rPr>
          <w:rFonts w:eastAsiaTheme="minorEastAsia"/>
          <w:szCs w:val="21"/>
        </w:rPr>
        <w:t>7.2.3 供热管道公称尺寸、外径和壁厚应符合《</w:t>
      </w:r>
      <w:r>
        <w:rPr>
          <w:rFonts w:eastAsiaTheme="minorEastAsia" w:hint="eastAsia"/>
          <w:szCs w:val="21"/>
        </w:rPr>
        <w:t>化工配管用无缝及焊接钢管尺寸选用系列》HG/T20553</w:t>
      </w:r>
      <w:r>
        <w:rPr>
          <w:rFonts w:eastAsiaTheme="minorEastAsia"/>
          <w:szCs w:val="21"/>
        </w:rPr>
        <w:t>的规定。</w:t>
      </w:r>
    </w:p>
    <w:p>
      <w:pPr>
        <w:spacing w:line="300" w:lineRule="auto"/>
        <w:rPr>
          <w:rFonts w:eastAsiaTheme="minorEastAsia"/>
          <w:szCs w:val="21"/>
        </w:rPr>
      </w:pPr>
      <w:r>
        <w:rPr>
          <w:rFonts w:eastAsiaTheme="minorEastAsia"/>
          <w:szCs w:val="21"/>
        </w:rPr>
        <w:t>7.2.4 管道连接形式宜采用下列几种类型：螺纹连接、法兰连接、对焊和承插焊连接。</w:t>
      </w:r>
    </w:p>
    <w:p>
      <w:pPr>
        <w:spacing w:line="300" w:lineRule="auto"/>
        <w:rPr>
          <w:rFonts w:eastAsiaTheme="minorEastAsia"/>
          <w:szCs w:val="21"/>
        </w:rPr>
        <w:sectPr>
          <w:headerReference w:type="even" r:id="rId65"/>
          <w:headerReference w:type="default" r:id="rId66"/>
          <w:footerReference w:type="even" r:id="rId67"/>
          <w:footerReference w:type="default" r:id="rId68"/>
          <w:type w:val="nextPage"/>
          <w:pgSz w:w="11906" w:h="16838"/>
          <w:pgMar w:top="1417" w:right="1134" w:bottom="1134" w:left="1417" w:header="1417" w:footer="1134" w:gutter="0"/>
          <w:pgNumType w:start="10"/>
          <w:cols w:num="1" w:space="0"/>
          <w:titlePg w:val="0"/>
          <w:docGrid w:type="lines" w:linePitch="317" w:charSpace="0"/>
        </w:sectPr>
      </w:pPr>
      <w:r>
        <w:rPr>
          <w:rFonts w:eastAsiaTheme="minorEastAsia"/>
          <w:szCs w:val="21"/>
        </w:rPr>
        <w:t>7.2.5</w:t>
      </w:r>
    </w:p>
    <w:p>
      <w:pPr>
        <w:spacing w:line="300" w:lineRule="auto"/>
        <w:rPr>
          <w:rFonts w:eastAsiaTheme="minorEastAsia"/>
          <w:szCs w:val="21"/>
        </w:rPr>
      </w:pPr>
      <w:r>
        <w:rPr>
          <w:rFonts w:eastAsiaTheme="minorEastAsia"/>
          <w:szCs w:val="21"/>
        </w:rPr>
        <w:t xml:space="preserve"> 所有连接到其他管线或总管，包括放空，放净以及仪表接口均为支管连接。支管连接应符合项目相应等级的支管连接表规定。</w:t>
      </w:r>
    </w:p>
    <w:p>
      <w:pPr>
        <w:spacing w:line="300" w:lineRule="auto"/>
        <w:rPr>
          <w:rFonts w:eastAsiaTheme="minorEastAsia"/>
          <w:szCs w:val="21"/>
        </w:rPr>
      </w:pPr>
      <w:r>
        <w:rPr>
          <w:rFonts w:eastAsiaTheme="minorEastAsia"/>
          <w:szCs w:val="21"/>
        </w:rPr>
        <w:t>7.2.6 水平管异径管</w:t>
      </w:r>
      <w:r>
        <w:rPr>
          <w:rFonts w:eastAsiaTheme="minorEastAsia" w:hint="eastAsia"/>
          <w:szCs w:val="21"/>
        </w:rPr>
        <w:t>应</w:t>
      </w:r>
      <w:r>
        <w:rPr>
          <w:rFonts w:eastAsiaTheme="minorEastAsia"/>
          <w:szCs w:val="21"/>
        </w:rPr>
        <w:t>采用底平偏心异径管，立管异径管宜采用同心异径管，并符合《钢制对焊管件类型与参数》GB/T12459的规定。</w:t>
      </w:r>
    </w:p>
    <w:p>
      <w:pPr>
        <w:spacing w:line="300" w:lineRule="auto"/>
        <w:rPr>
          <w:rFonts w:eastAsiaTheme="minorEastAsia"/>
          <w:szCs w:val="21"/>
        </w:rPr>
      </w:pPr>
      <w:r>
        <w:rPr>
          <w:rFonts w:eastAsiaTheme="minorEastAsia"/>
          <w:szCs w:val="21"/>
        </w:rPr>
        <w:t>7.2.7 无缝钢管当PN&lt;1.0MPa、DN≤50时可采用冷弯弯管，其它均采用R=1.5D热推无缝弯头，并符合《钢制对焊管件类型与参数》GB/T12459规定，弯头的材料应与所连接的管道相同。</w:t>
      </w:r>
    </w:p>
    <w:p>
      <w:pPr>
        <w:spacing w:line="300" w:lineRule="auto"/>
        <w:rPr>
          <w:rFonts w:eastAsiaTheme="minorEastAsia"/>
          <w:szCs w:val="21"/>
        </w:rPr>
      </w:pPr>
      <w:r>
        <w:rPr>
          <w:rFonts w:eastAsiaTheme="minorEastAsia"/>
          <w:szCs w:val="21"/>
        </w:rPr>
        <w:t xml:space="preserve">7.2.8 管道中的三通管应符合下列规定： </w:t>
      </w:r>
    </w:p>
    <w:p>
      <w:pPr>
        <w:spacing w:line="300" w:lineRule="auto"/>
        <w:ind w:firstLine="420" w:firstLineChars="200"/>
        <w:rPr>
          <w:rFonts w:eastAsiaTheme="minorEastAsia"/>
          <w:szCs w:val="21"/>
        </w:rPr>
      </w:pPr>
      <w:r>
        <w:rPr>
          <w:rFonts w:eastAsiaTheme="minorEastAsia"/>
          <w:szCs w:val="21"/>
        </w:rPr>
        <w:t>1  支管直径大于或等于主管直径的1/2时，应采用标准三通管，并应符合《钢制对焊管件类型与参数》GB/T12459规定；</w:t>
      </w:r>
    </w:p>
    <w:p>
      <w:pPr>
        <w:spacing w:line="300" w:lineRule="auto"/>
        <w:ind w:firstLine="420" w:firstLineChars="200"/>
        <w:rPr>
          <w:rFonts w:eastAsiaTheme="minorEastAsia"/>
          <w:szCs w:val="21"/>
        </w:rPr>
      </w:pPr>
      <w:r>
        <w:rPr>
          <w:rFonts w:eastAsiaTheme="minorEastAsia"/>
          <w:szCs w:val="21"/>
        </w:rPr>
        <w:t>2  当PN&lt;1.6MPa且支管直径小于主管直径的1/2时，可直接在干管上开孔连接三通；</w:t>
      </w:r>
    </w:p>
    <w:p>
      <w:pPr>
        <w:spacing w:line="300" w:lineRule="auto"/>
        <w:ind w:firstLine="420" w:firstLineChars="200"/>
        <w:rPr>
          <w:rFonts w:eastAsiaTheme="minorEastAsia"/>
          <w:szCs w:val="21"/>
        </w:rPr>
      </w:pPr>
      <w:r>
        <w:rPr>
          <w:rFonts w:eastAsiaTheme="minorEastAsia"/>
          <w:szCs w:val="21"/>
        </w:rPr>
        <w:t>3  当PN≥1.6MPa且支管直径小于主管直径的1/2时，应采用支管台的连接型式，按《锻制承插焊、螺纹和对焊支管座》GB/T19326选用；</w:t>
      </w:r>
    </w:p>
    <w:p>
      <w:pPr>
        <w:spacing w:line="300" w:lineRule="auto"/>
        <w:ind w:firstLine="420" w:firstLineChars="200"/>
        <w:rPr>
          <w:rFonts w:eastAsiaTheme="minorEastAsia"/>
          <w:szCs w:val="21"/>
        </w:rPr>
      </w:pPr>
      <w:r>
        <w:rPr>
          <w:rFonts w:eastAsiaTheme="minorEastAsia"/>
          <w:szCs w:val="21"/>
        </w:rPr>
        <w:t>4  所有三通及支管台的材料均与管道材料相同。</w:t>
      </w:r>
    </w:p>
    <w:p>
      <w:pPr>
        <w:spacing w:line="300" w:lineRule="auto"/>
        <w:rPr>
          <w:rFonts w:eastAsiaTheme="minorEastAsia"/>
          <w:szCs w:val="21"/>
        </w:rPr>
      </w:pPr>
      <w:r>
        <w:rPr>
          <w:rFonts w:eastAsiaTheme="minorEastAsia" w:hint="eastAsia"/>
          <w:szCs w:val="21"/>
        </w:rPr>
        <w:t>7.2.9金属管道法兰连接中法兰、垫片及紧固件的选用应符合《钢制法兰、垫片、紧固件》HG20592-20614（欧洲标准），管道外径为公制系列（B系列）的规定。</w:t>
      </w:r>
    </w:p>
    <w:p>
      <w:pPr>
        <w:spacing w:line="300" w:lineRule="auto"/>
        <w:rPr>
          <w:rFonts w:eastAsiaTheme="minorEastAsia"/>
          <w:szCs w:val="21"/>
        </w:rPr>
      </w:pPr>
      <w:r>
        <w:rPr>
          <w:rFonts w:eastAsiaTheme="minorEastAsia"/>
          <w:szCs w:val="21"/>
        </w:rPr>
        <w:t>7.2.</w:t>
      </w:r>
      <w:r>
        <w:rPr>
          <w:rFonts w:eastAsiaTheme="minorEastAsia" w:hint="eastAsia"/>
          <w:szCs w:val="21"/>
        </w:rPr>
        <w:t>10</w:t>
      </w:r>
      <w:r>
        <w:rPr>
          <w:rFonts w:eastAsiaTheme="minorEastAsia"/>
          <w:szCs w:val="21"/>
        </w:rPr>
        <w:t xml:space="preserve"> 阀门选型按设计参数及相应阀号的阀门数据选择。</w:t>
      </w:r>
    </w:p>
    <w:p>
      <w:pPr>
        <w:spacing w:line="300" w:lineRule="auto"/>
        <w:rPr>
          <w:rFonts w:eastAsiaTheme="minorEastAsia"/>
          <w:szCs w:val="21"/>
        </w:rPr>
      </w:pPr>
      <w:r>
        <w:rPr>
          <w:rFonts w:eastAsiaTheme="minorEastAsia"/>
          <w:szCs w:val="21"/>
        </w:rPr>
        <w:t>7.2.1</w:t>
      </w:r>
      <w:r>
        <w:rPr>
          <w:rFonts w:eastAsiaTheme="minorEastAsia" w:hint="eastAsia"/>
          <w:szCs w:val="21"/>
        </w:rPr>
        <w:t>1</w:t>
      </w:r>
      <w:r>
        <w:rPr>
          <w:rFonts w:eastAsiaTheme="minorEastAsia"/>
          <w:szCs w:val="21"/>
        </w:rPr>
        <w:t xml:space="preserve"> 用于液体介质的闸阀或空心球阀应有阀腔压力泄放的措施。</w:t>
      </w:r>
    </w:p>
    <w:p>
      <w:pPr>
        <w:spacing w:line="300" w:lineRule="auto"/>
        <w:rPr>
          <w:rFonts w:eastAsiaTheme="minorEastAsia"/>
          <w:szCs w:val="21"/>
        </w:rPr>
      </w:pPr>
      <w:r>
        <w:rPr>
          <w:rFonts w:eastAsiaTheme="minorEastAsia"/>
          <w:szCs w:val="21"/>
        </w:rPr>
        <w:t>7.2.1</w:t>
      </w:r>
      <w:r>
        <w:rPr>
          <w:rFonts w:eastAsiaTheme="minorEastAsia" w:hint="eastAsia"/>
          <w:szCs w:val="21"/>
        </w:rPr>
        <w:t>2</w:t>
      </w:r>
      <w:r>
        <w:rPr>
          <w:rFonts w:eastAsiaTheme="minorEastAsia"/>
          <w:szCs w:val="21"/>
        </w:rPr>
        <w:t xml:space="preserve"> 金属管道及管件的焊接宜采用焊条电弧焊，焊条牌号按《非合金钢及细晶粒钢焊条》GB/T5117选择。</w:t>
      </w:r>
    </w:p>
    <w:p>
      <w:pPr>
        <w:spacing w:line="300" w:lineRule="auto"/>
        <w:rPr>
          <w:rFonts w:eastAsiaTheme="minorEastAsia"/>
          <w:szCs w:val="21"/>
        </w:rPr>
      </w:pPr>
    </w:p>
    <w:p>
      <w:pPr>
        <w:spacing w:line="300" w:lineRule="auto"/>
        <w:jc w:val="center"/>
        <w:rPr>
          <w:rFonts w:eastAsiaTheme="minorEastAsia"/>
          <w:szCs w:val="21"/>
        </w:rPr>
      </w:pPr>
      <w:bookmarkStart w:id="57" w:name="_Toc155642940"/>
      <w:bookmarkStart w:id="58" w:name="_Toc155702125"/>
      <w:r>
        <w:rPr>
          <w:rFonts w:eastAsiaTheme="minorEastAsia"/>
          <w:szCs w:val="21"/>
        </w:rPr>
        <w:t>7.3 管道设计安全措施</w:t>
      </w:r>
      <w:bookmarkEnd w:id="57"/>
      <w:bookmarkEnd w:id="58"/>
    </w:p>
    <w:p>
      <w:pPr>
        <w:spacing w:line="300" w:lineRule="auto"/>
        <w:rPr>
          <w:rFonts w:eastAsiaTheme="minorEastAsia"/>
          <w:szCs w:val="21"/>
        </w:rPr>
      </w:pPr>
    </w:p>
    <w:p>
      <w:pPr>
        <w:spacing w:line="300" w:lineRule="auto"/>
        <w:rPr>
          <w:rFonts w:eastAsiaTheme="minorEastAsia"/>
          <w:szCs w:val="21"/>
        </w:rPr>
      </w:pPr>
      <w:r>
        <w:rPr>
          <w:rFonts w:eastAsiaTheme="minorEastAsia"/>
          <w:szCs w:val="21"/>
        </w:rPr>
        <w:t>7.3.1 管道焊缝的检测要求按《压力管道规范一工业管道一第5部分</w:t>
      </w:r>
      <w:r>
        <w:rPr>
          <w:rFonts w:eastAsiaTheme="minorEastAsia" w:hint="eastAsia"/>
          <w:szCs w:val="21"/>
        </w:rPr>
        <w:t>：</w:t>
      </w:r>
      <w:r>
        <w:rPr>
          <w:rFonts w:eastAsiaTheme="minorEastAsia"/>
          <w:szCs w:val="21"/>
        </w:rPr>
        <w:t>检验与试验》GB20801.5中的相关规定执行。管道焊缝的检查等级、方法及 比例应根据管道数据表中的规定的检查等级，按《压力管道规范一工业管道一第5部分:检验与试验》GB20801.5-表5-1中对应等级的要求进行检验。</w:t>
      </w:r>
    </w:p>
    <w:p>
      <w:pPr>
        <w:spacing w:line="300" w:lineRule="auto"/>
        <w:rPr>
          <w:rFonts w:eastAsiaTheme="minorEastAsia"/>
          <w:szCs w:val="21"/>
        </w:rPr>
      </w:pPr>
      <w:r>
        <w:rPr>
          <w:rFonts w:eastAsiaTheme="minorEastAsia"/>
          <w:szCs w:val="21"/>
        </w:rPr>
        <w:t>7.3.2 焊接接头的无损检测验收标准应符合《承压设备无损检测》NB/T47013的有关规定要求。</w:t>
      </w:r>
    </w:p>
    <w:p>
      <w:pPr>
        <w:spacing w:line="300" w:lineRule="auto"/>
        <w:rPr>
          <w:rFonts w:eastAsiaTheme="minorEastAsia"/>
          <w:szCs w:val="21"/>
        </w:rPr>
      </w:pPr>
      <w:r>
        <w:rPr>
          <w:rFonts w:eastAsiaTheme="minorEastAsia"/>
          <w:szCs w:val="21"/>
        </w:rPr>
        <w:t>7.3.3 水压试验的压力按项目管道数据表中的管道试验压力执行，蒸汽系统管道水压试验的有关技术要求按《压力管道规范一工业管道一第5部分:检验与试验》GB20801.5执行，热水管道系统按《工业金属管道工程施工规范》GB50235执行。</w:t>
      </w:r>
    </w:p>
    <w:p>
      <w:pPr>
        <w:spacing w:line="300" w:lineRule="auto"/>
        <w:rPr>
          <w:rFonts w:eastAsiaTheme="minorEastAsia"/>
          <w:szCs w:val="21"/>
        </w:rPr>
      </w:pPr>
      <w:r>
        <w:rPr>
          <w:rFonts w:eastAsiaTheme="minorEastAsia"/>
          <w:szCs w:val="21"/>
        </w:rPr>
        <w:t>7.3.4 在水压试验合格后，应对管道进行吹扫及清洗，管道吹扫及清洗的有关技术要求按《工业金属管道工程施工规范》GB50235执行</w:t>
      </w:r>
      <w:r>
        <w:rPr>
          <w:rFonts w:eastAsiaTheme="minorEastAsia" w:hint="eastAsia"/>
          <w:szCs w:val="21"/>
        </w:rPr>
        <w:t>，管道验收按《工业金属管道工程施工质量验收规范》GB50184执行</w:t>
      </w:r>
      <w:r>
        <w:rPr>
          <w:rFonts w:eastAsiaTheme="minorEastAsia"/>
          <w:szCs w:val="21"/>
        </w:rPr>
        <w:t>。</w:t>
      </w:r>
    </w:p>
    <w:p>
      <w:pPr>
        <w:spacing w:line="300" w:lineRule="auto"/>
        <w:rPr>
          <w:rFonts w:eastAsiaTheme="minorEastAsia"/>
          <w:szCs w:val="21"/>
        </w:rPr>
      </w:pPr>
      <w:r>
        <w:rPr>
          <w:rFonts w:eastAsiaTheme="minorEastAsia"/>
          <w:szCs w:val="21"/>
        </w:rPr>
        <w:t>7.3.5 供热系统应根据系统内主要设备或主要装置的压力调节要求，设计相应的压力控制系统。</w:t>
      </w:r>
    </w:p>
    <w:p>
      <w:pPr>
        <w:spacing w:line="300" w:lineRule="auto"/>
        <w:rPr>
          <w:rFonts w:eastAsiaTheme="minorEastAsia"/>
          <w:szCs w:val="21"/>
        </w:rPr>
      </w:pPr>
      <w:r>
        <w:rPr>
          <w:rFonts w:eastAsiaTheme="minorEastAsia"/>
          <w:szCs w:val="21"/>
        </w:rPr>
        <w:t>7.3.6 供热系统应根据系统内主要设备或主要装置的温度调节要求，设计相应的温度控制系统</w:t>
      </w:r>
      <w:r>
        <w:rPr>
          <w:rFonts w:eastAsiaTheme="minorEastAsia" w:hint="eastAsia"/>
          <w:szCs w:val="21"/>
        </w:rPr>
        <w:t>。</w:t>
      </w:r>
    </w:p>
    <w:p>
      <w:pPr>
        <w:spacing w:line="300" w:lineRule="auto"/>
        <w:rPr>
          <w:rFonts w:eastAsiaTheme="minorEastAsia"/>
          <w:szCs w:val="21"/>
        </w:rPr>
      </w:pPr>
      <w:r>
        <w:rPr>
          <w:rFonts w:eastAsiaTheme="minorEastAsia"/>
          <w:szCs w:val="21"/>
        </w:rPr>
        <w:t>7.3.7 供热管网中各压力等级的蒸汽上应设安全排放装置，蒸汽可经消音器排至大气。</w:t>
      </w:r>
    </w:p>
    <w:p>
      <w:pPr>
        <w:spacing w:line="300" w:lineRule="auto"/>
        <w:rPr>
          <w:rFonts w:eastAsiaTheme="minorEastAsia"/>
          <w:szCs w:val="21"/>
        </w:rPr>
      </w:pPr>
      <w:r>
        <w:rPr>
          <w:rFonts w:eastAsiaTheme="minorEastAsia"/>
          <w:szCs w:val="21"/>
        </w:rPr>
        <w:t>7.3.8 布置供热管道时，应考虑热膨胀的补偿问题，并应尽量利用管道的L形及Z形管段对热伸长作自然补偿，不足时则应安装各种</w:t>
      </w:r>
      <w:r>
        <w:rPr>
          <w:rFonts w:eastAsiaTheme="minorEastAsia" w:hint="eastAsia"/>
          <w:szCs w:val="21"/>
        </w:rPr>
        <w:t>补偿</w:t>
      </w:r>
      <w:r>
        <w:rPr>
          <w:rFonts w:eastAsiaTheme="minorEastAsia"/>
          <w:szCs w:val="21"/>
        </w:rPr>
        <w:t>器加以补偿。</w:t>
      </w:r>
      <w:r>
        <w:rPr>
          <w:rFonts w:eastAsiaTheme="minorEastAsia"/>
          <w:szCs w:val="21"/>
        </w:rPr>
        <w:br/>
      </w:r>
      <w:r>
        <w:rPr>
          <w:rFonts w:eastAsiaTheme="minorEastAsia"/>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9" w:history="1">
        <w:r>
          <w:rPr>
            <w:rFonts w:ascii="SimSun" w:eastAsia="SimSun" w:hAnsi="SimSun" w:cs="SimSun"/>
            <w:b/>
            <w:bCs/>
            <w:color w:val="0000EE"/>
            <w:kern w:val="0"/>
            <w:sz w:val="30"/>
            <w:szCs w:val="30"/>
            <w:u w:val="single" w:color="0000EE"/>
          </w:rPr>
          <w:t>https://d.book118.com/925231043034011124</w:t>
        </w:r>
      </w:hyperlink>
    </w:p>
    <w:p>
      <w:pPr>
        <w:spacing w:line="300" w:lineRule="auto"/>
        <w:rPr>
          <w:rFonts w:eastAsiaTheme="minorEastAsia"/>
          <w:szCs w:val="21"/>
        </w:rPr>
      </w:pPr>
    </w:p>
    <w:sectPr>
      <w:headerReference w:type="even" r:id="rId70"/>
      <w:headerReference w:type="default" r:id="rId71"/>
      <w:footerReference w:type="even" r:id="rId72"/>
      <w:footerReference w:type="default" r:id="rId73"/>
      <w:type w:val="nextPage"/>
      <w:pgSz w:w="11906" w:h="16838"/>
      <w:pgMar w:top="1417" w:right="1134" w:bottom="1134" w:left="1417" w:header="1417" w:footer="1134" w:gutter="0"/>
      <w:pgNumType w:start="11"/>
      <w:cols w:num="1" w:space="0"/>
      <w:titlePg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49079500"/>
      <w:richText/>
    </w:sdtPr>
    <w:sdtContent>
      <w:p>
        <w:pPr>
          <w:pStyle w:val="Footer"/>
          <w:jc w:val="right"/>
        </w:pPr>
        <w:r>
          <w:fldChar w:fldCharType="begin"/>
        </w:r>
        <w:r>
          <w:instrText>PAGE   \* MERGEFORMAT</w:instrText>
        </w:r>
        <w:r>
          <w:fldChar w:fldCharType="separate"/>
        </w:r>
        <w:r>
          <w:rPr>
            <w:lang w:val="zh-CN"/>
          </w:rPr>
          <w:t>8</w:t>
        </w:r>
        <w:r>
          <w:rPr>
            <w:lang w:val="zh-CN"/>
          </w:rPr>
          <w:fldChar w:fldCharType="end"/>
        </w:r>
      </w:p>
    </w:sdtContent>
  </w:sdt>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11110971"/>
      <w:richText/>
    </w:sdtPr>
    <w:sdtContent>
      <w:p>
        <w:pPr>
          <w:pStyle w:val="Footer"/>
          <w:jc w:val="right"/>
        </w:pPr>
        <w:r>
          <w:fldChar w:fldCharType="begin"/>
        </w:r>
        <w:r>
          <w:instrText>PAGE   \* MERGEFORMAT</w:instrText>
        </w:r>
        <w:r>
          <w:fldChar w:fldCharType="separate"/>
        </w:r>
        <w:r>
          <w:rPr>
            <w:lang w:val="zh-CN"/>
          </w:rPr>
          <w:t>8</w:t>
        </w:r>
        <w:r>
          <w:rPr>
            <w:lang w:val="zh-CN"/>
          </w:rPr>
          <w:fldChar w:fldCharType="end"/>
        </w:r>
      </w:p>
    </w:sdtContent>
  </w:sdt>
  <w:p>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I</w:t>
    </w:r>
    <w:r>
      <w:rPr>
        <w:lang w:val="zh-CN"/>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36512202"/>
      <w:richText/>
    </w:sdtPr>
    <w:sdtContent>
      <w:p>
        <w:pPr>
          <w:pStyle w:val="Footer"/>
          <w:jc w:val="right"/>
        </w:pPr>
        <w:r>
          <w:fldChar w:fldCharType="begin"/>
        </w:r>
        <w:r>
          <w:instrText>PAGE   \* MERGEFORMAT</w:instrText>
        </w:r>
        <w:r>
          <w:fldChar w:fldCharType="separate"/>
        </w:r>
        <w:r>
          <w:rPr>
            <w:lang w:val="zh-CN"/>
          </w:rPr>
          <w:t>8</w:t>
        </w:r>
        <w:r>
          <w:rPr>
            <w:lang w:val="zh-CN"/>
          </w:rPr>
          <w:fldChar w:fldCharType="end"/>
        </w:r>
      </w:p>
    </w:sdtContent>
  </w:sdt>
  <w:p>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1</w:t>
    </w:r>
    <w:r>
      <w:rPr>
        <w:lang w:val="zh-CN"/>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32884192"/>
      <w:richText/>
    </w:sdtPr>
    <w:sdtContent>
      <w:p>
        <w:pPr>
          <w:pStyle w:val="Footer"/>
          <w:jc w:val="right"/>
        </w:pPr>
        <w:r>
          <w:fldChar w:fldCharType="begin"/>
        </w:r>
        <w:r>
          <w:instrText>PAGE   \* MERGEFORMAT</w:instrText>
        </w:r>
        <w:r>
          <w:fldChar w:fldCharType="separate"/>
        </w:r>
        <w:r>
          <w:rPr>
            <w:lang w:val="zh-CN"/>
          </w:rPr>
          <w:t>8</w:t>
        </w:r>
        <w:r>
          <w:rPr>
            <w:lang w:val="zh-CN"/>
          </w:rPr>
          <w:fldChar w:fldCharType="end"/>
        </w:r>
      </w:p>
    </w:sdtContent>
  </w:sdt>
  <w:p>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I</w:t>
    </w:r>
    <w:r>
      <w:rPr>
        <w:lang w:val="zh-CN"/>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97259305"/>
      <w:richText/>
    </w:sdtPr>
    <w:sdtContent>
      <w:p>
        <w:pPr>
          <w:pStyle w:val="Footer"/>
          <w:jc w:val="right"/>
        </w:pPr>
        <w:r>
          <w:fldChar w:fldCharType="begin"/>
        </w:r>
        <w:r>
          <w:instrText>PAGE   \* MERGEFORMAT</w:instrText>
        </w:r>
        <w:r>
          <w:fldChar w:fldCharType="separate"/>
        </w:r>
        <w:r>
          <w:rPr>
            <w:lang w:val="zh-CN"/>
          </w:rPr>
          <w:t>8</w:t>
        </w:r>
        <w:r>
          <w:rPr>
            <w:lang w:val="zh-CN"/>
          </w:rPr>
          <w:fldChar w:fldCharType="end"/>
        </w:r>
      </w:p>
    </w:sdtContent>
  </w:sdt>
  <w:p>
    <w:pPr>
      <w:pStyle w:val="Footer"/>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1</w:t>
    </w:r>
    <w:r>
      <w:rPr>
        <w:lang w:val="zh-CN"/>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59532922"/>
      <w:richText/>
    </w:sdtPr>
    <w:sdtContent>
      <w:p>
        <w:pPr>
          <w:pStyle w:val="Footer"/>
          <w:jc w:val="right"/>
        </w:pPr>
        <w:r>
          <w:fldChar w:fldCharType="begin"/>
        </w:r>
        <w:r>
          <w:instrText>PAGE   \* MERGEFORMAT</w:instrText>
        </w:r>
        <w:r>
          <w:fldChar w:fldCharType="separate"/>
        </w:r>
        <w:r>
          <w:rPr>
            <w:lang w:val="zh-CN"/>
          </w:rPr>
          <w:t>II</w:t>
        </w:r>
        <w:r>
          <w:rPr>
            <w:lang w:val="zh-CN"/>
          </w:rPr>
          <w:fldChar w:fldCharType="end"/>
        </w:r>
      </w:p>
    </w:sdtContent>
  </w:sdt>
  <w:p>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I</w:t>
    </w:r>
    <w:r>
      <w:rPr>
        <w:lang w:val="zh-CN"/>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71798720"/>
      <w:richText/>
    </w:sdtPr>
    <w:sdtContent>
      <w:p>
        <w:pPr>
          <w:pStyle w:val="Footer"/>
          <w:jc w:val="right"/>
        </w:pPr>
        <w:r>
          <w:fldChar w:fldCharType="begin"/>
        </w:r>
        <w:r>
          <w:instrText>PAGE   \* MERGEFORMAT</w:instrText>
        </w:r>
        <w:r>
          <w:fldChar w:fldCharType="separate"/>
        </w:r>
        <w:r>
          <w:rPr>
            <w:lang w:val="zh-CN"/>
          </w:rPr>
          <w:t>8</w:t>
        </w:r>
        <w:r>
          <w:rPr>
            <w:lang w:val="zh-CN"/>
          </w:rPr>
          <w:fldChar w:fldCharType="end"/>
        </w:r>
      </w:p>
    </w:sdtContent>
  </w:sdt>
  <w:p>
    <w:pPr>
      <w:pStyle w:val="Footer"/>
      <w:ind w:right="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1</w:t>
    </w:r>
    <w:r>
      <w:rPr>
        <w:lang w:val="zh-CN"/>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24690946"/>
      <w:richText/>
    </w:sdtPr>
    <w:sdtContent>
      <w:p>
        <w:pPr>
          <w:pStyle w:val="Footer"/>
          <w:jc w:val="right"/>
        </w:pPr>
        <w:r>
          <w:fldChar w:fldCharType="begin"/>
        </w:r>
        <w:r>
          <w:instrText>PAGE   \* MERGEFORMAT</w:instrText>
        </w:r>
        <w:r>
          <w:fldChar w:fldCharType="separate"/>
        </w:r>
        <w:r>
          <w:rPr>
            <w:lang w:val="zh-CN"/>
          </w:rPr>
          <w:t>2</w:t>
        </w:r>
        <w:r>
          <w:rPr>
            <w:lang w:val="zh-CN"/>
          </w:rPr>
          <w:fldChar w:fldCharType="end"/>
        </w:r>
      </w:p>
    </w:sdtContent>
  </w:sdt>
  <w:p>
    <w:pPr>
      <w:pStyle w:val="Footer"/>
      <w:ind w:right="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13</w:t>
    </w:r>
    <w:r>
      <w:rPr>
        <w:lang w:val="zh-CN"/>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16163085"/>
      <w:richText/>
    </w:sdtPr>
    <w:sdtContent>
      <w:p>
        <w:pPr>
          <w:pStyle w:val="Footer"/>
          <w:jc w:val="right"/>
        </w:pPr>
        <w:r>
          <w:fldChar w:fldCharType="begin"/>
        </w:r>
        <w:r>
          <w:instrText>PAGE   \* MERGEFORMAT</w:instrText>
        </w:r>
        <w:r>
          <w:fldChar w:fldCharType="separate"/>
        </w:r>
        <w:r>
          <w:rPr>
            <w:lang w:val="zh-CN"/>
          </w:rPr>
          <w:t>8</w:t>
        </w:r>
        <w:r>
          <w:rPr>
            <w:lang w:val="zh-CN"/>
          </w:rPr>
          <w:fldChar w:fldCharType="end"/>
        </w:r>
      </w:p>
    </w:sdtContent>
  </w:sdt>
  <w:p>
    <w:pPr>
      <w:pStyle w:val="Footer"/>
      <w:ind w:right="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3</w:t>
    </w:r>
    <w:r>
      <w:rPr>
        <w:lang w:val="zh-CN"/>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71657864"/>
      <w:richText/>
    </w:sdtPr>
    <w:sdtContent>
      <w:p>
        <w:pPr>
          <w:pStyle w:val="Footer"/>
          <w:jc w:val="right"/>
        </w:pPr>
        <w:r>
          <w:fldChar w:fldCharType="begin"/>
        </w:r>
        <w:r>
          <w:instrText>PAGE   \* MERGEFORMAT</w:instrText>
        </w:r>
        <w:r>
          <w:fldChar w:fldCharType="separate"/>
        </w:r>
        <w:r>
          <w:rPr>
            <w:lang w:val="zh-CN"/>
          </w:rPr>
          <w:t>4</w:t>
        </w:r>
        <w:r>
          <w:rPr>
            <w:lang w:val="zh-CN"/>
          </w:rPr>
          <w:fldChar w:fldCharType="end"/>
        </w:r>
      </w:p>
    </w:sdtContent>
  </w:sdt>
  <w:p>
    <w:pPr>
      <w:pStyle w:val="Footer"/>
      <w:ind w:right="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13</w:t>
    </w:r>
    <w:r>
      <w:rPr>
        <w:lang w:val="zh-CN"/>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97868375"/>
      <w:richText/>
    </w:sdtPr>
    <w:sdtContent>
      <w:p>
        <w:pPr>
          <w:pStyle w:val="Footer"/>
          <w:jc w:val="right"/>
        </w:pPr>
        <w:r>
          <w:fldChar w:fldCharType="begin"/>
        </w:r>
        <w:r>
          <w:instrText>PAGE   \* MERGEFORMAT</w:instrText>
        </w:r>
        <w:r>
          <w:fldChar w:fldCharType="separate"/>
        </w:r>
        <w:r>
          <w:rPr>
            <w:lang w:val="zh-CN"/>
          </w:rPr>
          <w:t>8</w:t>
        </w:r>
        <w:r>
          <w:rPr>
            <w:lang w:val="zh-CN"/>
          </w:rPr>
          <w:fldChar w:fldCharType="end"/>
        </w:r>
      </w:p>
    </w:sdtContent>
  </w:sdt>
  <w:p>
    <w:pPr>
      <w:pStyle w:val="Footer"/>
      <w:ind w:right="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5</w:t>
    </w:r>
    <w:r>
      <w:rPr>
        <w:lang w:val="zh-CN"/>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0882338"/>
      <w:richText/>
    </w:sdtPr>
    <w:sdtContent>
      <w:p>
        <w:pPr>
          <w:pStyle w:val="Footer"/>
          <w:jc w:val="right"/>
        </w:pPr>
        <w:r>
          <w:fldChar w:fldCharType="begin"/>
        </w:r>
        <w:r>
          <w:instrText>PAGE   \* MERGEFORMAT</w:instrText>
        </w:r>
        <w:r>
          <w:fldChar w:fldCharType="separate"/>
        </w:r>
        <w:r>
          <w:rPr>
            <w:lang w:val="zh-CN"/>
          </w:rPr>
          <w:t>6</w:t>
        </w:r>
        <w:r>
          <w:rPr>
            <w:lang w:val="zh-CN"/>
          </w:rPr>
          <w:fldChar w:fldCharType="end"/>
        </w:r>
      </w:p>
    </w:sdtContent>
  </w:sdt>
  <w:p>
    <w:pPr>
      <w:pStyle w:val="Footer"/>
      <w:ind w:right="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13</w:t>
    </w:r>
    <w:r>
      <w:rPr>
        <w:lang w:val="zh-CN"/>
      </w:rP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12328087"/>
      <w:richText/>
    </w:sdtPr>
    <w:sdtContent>
      <w:p>
        <w:pPr>
          <w:pStyle w:val="Footer"/>
          <w:jc w:val="right"/>
        </w:pPr>
        <w:r>
          <w:fldChar w:fldCharType="begin"/>
        </w:r>
        <w:r>
          <w:instrText>PAGE   \* MERGEFORMAT</w:instrText>
        </w:r>
        <w:r>
          <w:fldChar w:fldCharType="separate"/>
        </w:r>
        <w:r>
          <w:rPr>
            <w:lang w:val="zh-CN"/>
          </w:rPr>
          <w:t>8</w:t>
        </w:r>
        <w:r>
          <w:rPr>
            <w:lang w:val="zh-CN"/>
          </w:rPr>
          <w:fldChar w:fldCharType="end"/>
        </w:r>
      </w:p>
    </w:sdtContent>
  </w:sdt>
  <w:p>
    <w:pPr>
      <w:pStyle w:val="Footer"/>
      <w:ind w:right="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7</w:t>
    </w:r>
    <w:r>
      <w:rPr>
        <w:lang w:val="zh-CN"/>
      </w:rPr>
      <w:fldChar w:fldCharType="end"/>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12688815"/>
      <w:richText/>
    </w:sdtPr>
    <w:sdtContent>
      <w:p>
        <w:pPr>
          <w:pStyle w:val="Footer"/>
          <w:jc w:val="right"/>
        </w:pPr>
        <w:r>
          <w:fldChar w:fldCharType="begin"/>
        </w:r>
        <w:r>
          <w:instrText>PAGE   \* MERGEFORMAT</w:instrText>
        </w:r>
        <w:r>
          <w:fldChar w:fldCharType="separate"/>
        </w:r>
        <w:r>
          <w:rPr>
            <w:lang w:val="zh-CN"/>
          </w:rPr>
          <w:t>8</w:t>
        </w:r>
        <w:r>
          <w:rPr>
            <w:lang w:val="zh-CN"/>
          </w:rPr>
          <w:fldChar w:fldCharType="end"/>
        </w:r>
      </w:p>
    </w:sdtContent>
  </w:sdt>
  <w:p>
    <w:pPr>
      <w:pStyle w:val="Footer"/>
      <w:ind w:right="360"/>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13</w:t>
    </w:r>
    <w:r>
      <w:rPr>
        <w:lang w:val="zh-CN"/>
      </w:rPr>
      <w:fldChar w:fldCharType="end"/>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99640845"/>
      <w:richText/>
    </w:sdtPr>
    <w:sdtContent>
      <w:p>
        <w:pPr>
          <w:pStyle w:val="Footer"/>
          <w:jc w:val="right"/>
        </w:pPr>
        <w:r>
          <w:fldChar w:fldCharType="begin"/>
        </w:r>
        <w:r>
          <w:instrText>PAGE   \* MERGEFORMAT</w:instrText>
        </w:r>
        <w:r>
          <w:fldChar w:fldCharType="separate"/>
        </w:r>
        <w:r>
          <w:rPr>
            <w:lang w:val="zh-CN"/>
          </w:rPr>
          <w:t>8</w:t>
        </w:r>
        <w:r>
          <w:rPr>
            <w:lang w:val="zh-CN"/>
          </w:rPr>
          <w:fldChar w:fldCharType="end"/>
        </w:r>
      </w:p>
    </w:sdtContent>
  </w:sdt>
  <w:p>
    <w:pPr>
      <w:pStyle w:val="Footer"/>
      <w:ind w:right="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9</w:t>
    </w:r>
    <w:r>
      <w:rPr>
        <w:lang w:val="zh-CN"/>
      </w:rPr>
      <w:fldChar w:fldCharType="end"/>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79653908"/>
      <w:richText/>
    </w:sdtPr>
    <w:sdtContent>
      <w:p>
        <w:pPr>
          <w:pStyle w:val="Footer"/>
          <w:jc w:val="right"/>
        </w:pPr>
        <w:r>
          <w:fldChar w:fldCharType="begin"/>
        </w:r>
        <w:r>
          <w:instrText>PAGE   \* MERGEFORMAT</w:instrText>
        </w:r>
        <w:r>
          <w:fldChar w:fldCharType="separate"/>
        </w:r>
        <w:r>
          <w:rPr>
            <w:lang w:val="zh-CN"/>
          </w:rPr>
          <w:t>10</w:t>
        </w:r>
        <w:r>
          <w:rPr>
            <w:lang w:val="zh-CN"/>
          </w:rPr>
          <w:fldChar w:fldCharType="end"/>
        </w:r>
      </w:p>
    </w:sdtContent>
  </w:sdt>
  <w:p>
    <w:pPr>
      <w:pStyle w:val="Footer"/>
      <w:ind w:right="36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13</w:t>
    </w:r>
    <w:r>
      <w:rPr>
        <w:lang w:val="zh-CN"/>
      </w:rPr>
      <w:fldChar w:fldCharType="end"/>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92960812"/>
      <w:richText/>
    </w:sdtPr>
    <w:sdtContent>
      <w:p>
        <w:pPr>
          <w:pStyle w:val="Footer"/>
          <w:jc w:val="right"/>
        </w:pPr>
        <w:r>
          <w:fldChar w:fldCharType="begin"/>
        </w:r>
        <w:r>
          <w:instrText>PAGE   \* MERGEFORMAT</w:instrText>
        </w:r>
        <w:r>
          <w:fldChar w:fldCharType="separate"/>
        </w:r>
        <w:r>
          <w:rPr>
            <w:lang w:val="zh-CN"/>
          </w:rPr>
          <w:t>12</w:t>
        </w:r>
        <w:r>
          <w:rPr>
            <w:lang w:val="zh-CN"/>
          </w:rPr>
          <w:fldChar w:fldCharType="end"/>
        </w:r>
      </w:p>
    </w:sdtContent>
  </w:sdt>
  <w:p>
    <w:pPr>
      <w:pStyle w:val="Footer"/>
      <w:ind w:right="360"/>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11</w:t>
    </w:r>
    <w:r>
      <w:rPr>
        <w:lang w:val="zh-CN"/>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r>
      <w:t>T/HGJ XXXXX-20YY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r>
      <w:t>T/HGJ XXXXX-20YY</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pPr>
    <w:r>
      <w:rPr>
        <w:rFonts w:hint="eastAsia"/>
      </w:rPr>
      <w:t>T/HGJ XXXXX-20YY</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r>
      <w:t>T/HGJ XXXXX-20YY</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pPr>
    <w:r>
      <w:t>T/HGJ XXXXX-20YY</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r>
      <w:t>T/HGJ XXXXX-20YY</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pPr>
    <w:r>
      <w:rPr>
        <w:rFonts w:hint="eastAsia"/>
      </w:rPr>
      <w:t>T/HGJ XXXXX-20YY</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r>
      <w:t>T/HGJ XXXXX-20YY</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pPr>
    <w:r>
      <w:t>T/HGJ XXXXX-20YY</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r>
      <w:t>T/HGJ XXXXX-20YY</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pPr>
    <w:r>
      <w:rPr>
        <w:rFonts w:hint="eastAsia"/>
      </w:rPr>
      <w:t>T/HGJ XXXXX-20YY</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r>
      <w:t>T/HGJ XXXXX-20YY</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pPr>
    <w:r>
      <w:t>T/HGJ XXXXX-20YY</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r>
      <w:t>T/HGJ XXXXX-20YY</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pPr>
    <w:r>
      <w:t>T/HGJ XXXXX-20YY</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r>
      <w:t>T/HGJ XXXXX-20YY</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pPr>
    <w:r>
      <w:t>T/HGJ XXXXX-20YY</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r>
      <w:t>T/HGJ XXXXX-20YY</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pPr>
    <w:r>
      <w:t>T/HGJ XXXXX-20YY</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r>
      <w:t>T/HGJ XXXXX-20YY</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pPr>
    <w:r>
      <w:t>T/HGJ XXXXX-20YY</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r>
      <w:t>T/HGJ XXXXX-20YY</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pPr>
    <w:r>
      <w:t>T/HGJ XXXXX-20YY</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r>
      <w:t>T/HGJ XXXXX-20YY</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pPr>
    <w:r>
      <w:t>T/HGJ XXXXX-20YY</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r>
      <w:t>T/HGJ XXXXX-20YY</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pPr>
    <w:r>
      <w:t>T/HGJ XXXXX-20YY</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r>
      <w:t>T/HGJ XXXXX-20YY</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pPr>
    <w:r>
      <w:t>T/HGJ XXXXX-20YY</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r>
      <w:t>T/HGJ XXXXX-20YY</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pPr>
    <w:r>
      <w:t>T/HGJ XXXXX-20YY</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r>
      <w:t>T/HGJ XXXXX-20YY</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pPr>
    <w:r>
      <w:t>T/HGJ XXXXX-20YY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0A717F1"/>
    <w:multiLevelType w:val="multilevel"/>
    <w:tmpl w:val="10A717F1"/>
    <w:lvl w:ilvl="0">
      <w:start w:val="1"/>
      <w:numFmt w:val="decimal"/>
      <w:pStyle w:val="1"/>
      <w:lvlText w:val="%1"/>
      <w:lvlJc w:val="left"/>
      <w:pPr>
        <w:tabs>
          <w:tab w:val="left" w:pos="1021"/>
        </w:tabs>
        <w:ind w:left="0" w:firstLine="567"/>
      </w:pPr>
      <w:rPr>
        <w:rFonts w:hint="eastAsia"/>
      </w:rPr>
    </w:lvl>
    <w:lvl w:ilvl="1">
      <w:start w:val="1"/>
      <w:numFmt w:val="decimal"/>
      <w:lvlText w:val="%2"/>
      <w:lvlJc w:val="left"/>
      <w:pPr>
        <w:tabs>
          <w:tab w:val="left" w:pos="840"/>
        </w:tabs>
        <w:ind w:left="-62" w:firstLine="482"/>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6BED17E0"/>
    <w:multiLevelType w:val="singleLevel"/>
    <w:tmpl w:val="6BED17E0"/>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isplayBackgroundShape/>
  <w:mirrorMargins/>
  <w:bordersDoNotSurroundHeader/>
  <w:bordersDoNotSurroundFooter/>
  <w:defaultTabStop w:val="420"/>
  <w:evenAndOddHeaders/>
  <w:drawingGridHorizontalSpacing w:val="105"/>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B5C"/>
    <w:rsid w:val="000004CE"/>
    <w:rsid w:val="00002EE6"/>
    <w:rsid w:val="00003AC9"/>
    <w:rsid w:val="00004920"/>
    <w:rsid w:val="0000604B"/>
    <w:rsid w:val="000104FA"/>
    <w:rsid w:val="0001210B"/>
    <w:rsid w:val="000124A3"/>
    <w:rsid w:val="00012B78"/>
    <w:rsid w:val="00013D37"/>
    <w:rsid w:val="000169D3"/>
    <w:rsid w:val="00021AAA"/>
    <w:rsid w:val="000242AC"/>
    <w:rsid w:val="00032DB0"/>
    <w:rsid w:val="00033489"/>
    <w:rsid w:val="000352D8"/>
    <w:rsid w:val="000404F7"/>
    <w:rsid w:val="000408B3"/>
    <w:rsid w:val="000424EF"/>
    <w:rsid w:val="000449F6"/>
    <w:rsid w:val="0004555F"/>
    <w:rsid w:val="00045D19"/>
    <w:rsid w:val="00047C5C"/>
    <w:rsid w:val="000507D2"/>
    <w:rsid w:val="000513BE"/>
    <w:rsid w:val="000518BF"/>
    <w:rsid w:val="00053D38"/>
    <w:rsid w:val="000543AD"/>
    <w:rsid w:val="00054C16"/>
    <w:rsid w:val="00055DD4"/>
    <w:rsid w:val="00056270"/>
    <w:rsid w:val="000565EA"/>
    <w:rsid w:val="00056E28"/>
    <w:rsid w:val="00061B28"/>
    <w:rsid w:val="00062903"/>
    <w:rsid w:val="00063DE6"/>
    <w:rsid w:val="00063EB5"/>
    <w:rsid w:val="00067C43"/>
    <w:rsid w:val="000700AA"/>
    <w:rsid w:val="00074EFE"/>
    <w:rsid w:val="0007744C"/>
    <w:rsid w:val="00077EC4"/>
    <w:rsid w:val="00087864"/>
    <w:rsid w:val="00092C44"/>
    <w:rsid w:val="00093D21"/>
    <w:rsid w:val="000954D8"/>
    <w:rsid w:val="00095B33"/>
    <w:rsid w:val="00096770"/>
    <w:rsid w:val="000A22F9"/>
    <w:rsid w:val="000A36CF"/>
    <w:rsid w:val="000A5582"/>
    <w:rsid w:val="000B171A"/>
    <w:rsid w:val="000B1D7D"/>
    <w:rsid w:val="000B39A6"/>
    <w:rsid w:val="000B4319"/>
    <w:rsid w:val="000B64EC"/>
    <w:rsid w:val="000B65F5"/>
    <w:rsid w:val="000C02F2"/>
    <w:rsid w:val="000C5885"/>
    <w:rsid w:val="000C637F"/>
    <w:rsid w:val="000C7234"/>
    <w:rsid w:val="000D48E5"/>
    <w:rsid w:val="000D701A"/>
    <w:rsid w:val="000D70CE"/>
    <w:rsid w:val="000E0A20"/>
    <w:rsid w:val="000E1075"/>
    <w:rsid w:val="000E1C58"/>
    <w:rsid w:val="000E2956"/>
    <w:rsid w:val="000E2F6B"/>
    <w:rsid w:val="000E4F59"/>
    <w:rsid w:val="000E5262"/>
    <w:rsid w:val="000E5FDF"/>
    <w:rsid w:val="000E6581"/>
    <w:rsid w:val="000E6886"/>
    <w:rsid w:val="000E7D1A"/>
    <w:rsid w:val="000F05F9"/>
    <w:rsid w:val="000F0AF5"/>
    <w:rsid w:val="000F18B9"/>
    <w:rsid w:val="000F5D53"/>
    <w:rsid w:val="000F7357"/>
    <w:rsid w:val="000F7BCF"/>
    <w:rsid w:val="001028CE"/>
    <w:rsid w:val="00105B15"/>
    <w:rsid w:val="001068E8"/>
    <w:rsid w:val="00107020"/>
    <w:rsid w:val="00110D6C"/>
    <w:rsid w:val="001143E8"/>
    <w:rsid w:val="00117440"/>
    <w:rsid w:val="00117942"/>
    <w:rsid w:val="001200FD"/>
    <w:rsid w:val="00121BCE"/>
    <w:rsid w:val="0012236F"/>
    <w:rsid w:val="00122C13"/>
    <w:rsid w:val="00123377"/>
    <w:rsid w:val="00123CB6"/>
    <w:rsid w:val="00123FEF"/>
    <w:rsid w:val="00125108"/>
    <w:rsid w:val="00125178"/>
    <w:rsid w:val="00126590"/>
    <w:rsid w:val="001268CF"/>
    <w:rsid w:val="00126A5F"/>
    <w:rsid w:val="00126B15"/>
    <w:rsid w:val="0013221D"/>
    <w:rsid w:val="00132E65"/>
    <w:rsid w:val="00134CDA"/>
    <w:rsid w:val="00135EBC"/>
    <w:rsid w:val="00140425"/>
    <w:rsid w:val="00140476"/>
    <w:rsid w:val="00140652"/>
    <w:rsid w:val="001417A1"/>
    <w:rsid w:val="00145194"/>
    <w:rsid w:val="0014566C"/>
    <w:rsid w:val="00151389"/>
    <w:rsid w:val="001536EF"/>
    <w:rsid w:val="0015471A"/>
    <w:rsid w:val="00154EA8"/>
    <w:rsid w:val="0015514D"/>
    <w:rsid w:val="0015702D"/>
    <w:rsid w:val="00157AC8"/>
    <w:rsid w:val="00161406"/>
    <w:rsid w:val="00161A53"/>
    <w:rsid w:val="00162D46"/>
    <w:rsid w:val="001652C6"/>
    <w:rsid w:val="00166138"/>
    <w:rsid w:val="00166F2C"/>
    <w:rsid w:val="00167D6A"/>
    <w:rsid w:val="00167E16"/>
    <w:rsid w:val="00172C43"/>
    <w:rsid w:val="00173152"/>
    <w:rsid w:val="00173F87"/>
    <w:rsid w:val="00174290"/>
    <w:rsid w:val="0017638B"/>
    <w:rsid w:val="00180676"/>
    <w:rsid w:val="00182B47"/>
    <w:rsid w:val="0018356B"/>
    <w:rsid w:val="00183D83"/>
    <w:rsid w:val="00184DBF"/>
    <w:rsid w:val="00184DC2"/>
    <w:rsid w:val="00184EAF"/>
    <w:rsid w:val="00186A31"/>
    <w:rsid w:val="00187B3A"/>
    <w:rsid w:val="00190108"/>
    <w:rsid w:val="0019324F"/>
    <w:rsid w:val="001942BB"/>
    <w:rsid w:val="00196512"/>
    <w:rsid w:val="00196F66"/>
    <w:rsid w:val="001970F5"/>
    <w:rsid w:val="001A008C"/>
    <w:rsid w:val="001A1520"/>
    <w:rsid w:val="001A27D6"/>
    <w:rsid w:val="001A354F"/>
    <w:rsid w:val="001B128F"/>
    <w:rsid w:val="001B200D"/>
    <w:rsid w:val="001B4211"/>
    <w:rsid w:val="001B5168"/>
    <w:rsid w:val="001B53D0"/>
    <w:rsid w:val="001B5584"/>
    <w:rsid w:val="001B60E2"/>
    <w:rsid w:val="001B67D6"/>
    <w:rsid w:val="001C03C3"/>
    <w:rsid w:val="001C21B8"/>
    <w:rsid w:val="001C272B"/>
    <w:rsid w:val="001C5B58"/>
    <w:rsid w:val="001C5F42"/>
    <w:rsid w:val="001C606D"/>
    <w:rsid w:val="001C6A2C"/>
    <w:rsid w:val="001C74AF"/>
    <w:rsid w:val="001D0292"/>
    <w:rsid w:val="001D2AC8"/>
    <w:rsid w:val="001D36BE"/>
    <w:rsid w:val="001D40B8"/>
    <w:rsid w:val="001D5012"/>
    <w:rsid w:val="001D5173"/>
    <w:rsid w:val="001D7A03"/>
    <w:rsid w:val="001E1F3A"/>
    <w:rsid w:val="001E2A98"/>
    <w:rsid w:val="001F07F0"/>
    <w:rsid w:val="001F2A05"/>
    <w:rsid w:val="001F34FE"/>
    <w:rsid w:val="001F49C7"/>
    <w:rsid w:val="001F586A"/>
    <w:rsid w:val="001F58B0"/>
    <w:rsid w:val="001F6A48"/>
    <w:rsid w:val="001F6D47"/>
    <w:rsid w:val="002004A5"/>
    <w:rsid w:val="002015D8"/>
    <w:rsid w:val="00204F95"/>
    <w:rsid w:val="002060D2"/>
    <w:rsid w:val="00207428"/>
    <w:rsid w:val="00207E99"/>
    <w:rsid w:val="0021256C"/>
    <w:rsid w:val="00214529"/>
    <w:rsid w:val="002169AD"/>
    <w:rsid w:val="00217242"/>
    <w:rsid w:val="0021772F"/>
    <w:rsid w:val="00220505"/>
    <w:rsid w:val="00220E6D"/>
    <w:rsid w:val="00222B35"/>
    <w:rsid w:val="00223CD4"/>
    <w:rsid w:val="002252BA"/>
    <w:rsid w:val="00230819"/>
    <w:rsid w:val="00230B4F"/>
    <w:rsid w:val="00231F04"/>
    <w:rsid w:val="00232CCC"/>
    <w:rsid w:val="00233331"/>
    <w:rsid w:val="00234468"/>
    <w:rsid w:val="00234684"/>
    <w:rsid w:val="00234E01"/>
    <w:rsid w:val="00235036"/>
    <w:rsid w:val="0023676A"/>
    <w:rsid w:val="002369BE"/>
    <w:rsid w:val="00244033"/>
    <w:rsid w:val="0024409B"/>
    <w:rsid w:val="00245B22"/>
    <w:rsid w:val="00246AAB"/>
    <w:rsid w:val="00247C31"/>
    <w:rsid w:val="00247E14"/>
    <w:rsid w:val="00251ABE"/>
    <w:rsid w:val="00255FD5"/>
    <w:rsid w:val="00260346"/>
    <w:rsid w:val="002636B5"/>
    <w:rsid w:val="00264780"/>
    <w:rsid w:val="00264896"/>
    <w:rsid w:val="00264F5E"/>
    <w:rsid w:val="00265D62"/>
    <w:rsid w:val="002660E6"/>
    <w:rsid w:val="00270018"/>
    <w:rsid w:val="00272BED"/>
    <w:rsid w:val="00272E35"/>
    <w:rsid w:val="00275309"/>
    <w:rsid w:val="0027573E"/>
    <w:rsid w:val="00277DEA"/>
    <w:rsid w:val="00280863"/>
    <w:rsid w:val="0028198F"/>
    <w:rsid w:val="00281F2E"/>
    <w:rsid w:val="0028249D"/>
    <w:rsid w:val="00282A98"/>
    <w:rsid w:val="00282DBE"/>
    <w:rsid w:val="00287C25"/>
    <w:rsid w:val="0029022E"/>
    <w:rsid w:val="002923A4"/>
    <w:rsid w:val="00295B5C"/>
    <w:rsid w:val="002972DC"/>
    <w:rsid w:val="002977D9"/>
    <w:rsid w:val="002A198C"/>
    <w:rsid w:val="002A1BC8"/>
    <w:rsid w:val="002A21DF"/>
    <w:rsid w:val="002A308D"/>
    <w:rsid w:val="002A4256"/>
    <w:rsid w:val="002A495C"/>
    <w:rsid w:val="002A4DEB"/>
    <w:rsid w:val="002A7394"/>
    <w:rsid w:val="002A73DA"/>
    <w:rsid w:val="002B0D61"/>
    <w:rsid w:val="002B1C02"/>
    <w:rsid w:val="002B2BB7"/>
    <w:rsid w:val="002B4288"/>
    <w:rsid w:val="002B66EE"/>
    <w:rsid w:val="002B6BA0"/>
    <w:rsid w:val="002C13B5"/>
    <w:rsid w:val="002C3335"/>
    <w:rsid w:val="002C3D7C"/>
    <w:rsid w:val="002D0879"/>
    <w:rsid w:val="002D2886"/>
    <w:rsid w:val="002D2F2F"/>
    <w:rsid w:val="002D33C1"/>
    <w:rsid w:val="002D394B"/>
    <w:rsid w:val="002E2AD6"/>
    <w:rsid w:val="002E2B1A"/>
    <w:rsid w:val="002E2F06"/>
    <w:rsid w:val="002E3193"/>
    <w:rsid w:val="002E343C"/>
    <w:rsid w:val="002E53C0"/>
    <w:rsid w:val="002E7229"/>
    <w:rsid w:val="002F150D"/>
    <w:rsid w:val="002F466D"/>
    <w:rsid w:val="002F556F"/>
    <w:rsid w:val="002F5988"/>
    <w:rsid w:val="002F6F34"/>
    <w:rsid w:val="002F7C8A"/>
    <w:rsid w:val="0030514D"/>
    <w:rsid w:val="00306CB4"/>
    <w:rsid w:val="00307BB4"/>
    <w:rsid w:val="00310582"/>
    <w:rsid w:val="00310A0D"/>
    <w:rsid w:val="00311988"/>
    <w:rsid w:val="0031323D"/>
    <w:rsid w:val="0031494B"/>
    <w:rsid w:val="00317D21"/>
    <w:rsid w:val="003236CA"/>
    <w:rsid w:val="003238A3"/>
    <w:rsid w:val="00323A78"/>
    <w:rsid w:val="003246BE"/>
    <w:rsid w:val="0032564E"/>
    <w:rsid w:val="00325DD3"/>
    <w:rsid w:val="00326369"/>
    <w:rsid w:val="0032660F"/>
    <w:rsid w:val="003266A6"/>
    <w:rsid w:val="0032733B"/>
    <w:rsid w:val="00327C05"/>
    <w:rsid w:val="00330CCD"/>
    <w:rsid w:val="0033133E"/>
    <w:rsid w:val="00334579"/>
    <w:rsid w:val="00335141"/>
    <w:rsid w:val="00335F0D"/>
    <w:rsid w:val="00336625"/>
    <w:rsid w:val="00336F22"/>
    <w:rsid w:val="003375E7"/>
    <w:rsid w:val="00341DC2"/>
    <w:rsid w:val="00341FD5"/>
    <w:rsid w:val="00344407"/>
    <w:rsid w:val="0035050D"/>
    <w:rsid w:val="00350675"/>
    <w:rsid w:val="003529BE"/>
    <w:rsid w:val="00353899"/>
    <w:rsid w:val="00360085"/>
    <w:rsid w:val="003621E2"/>
    <w:rsid w:val="00364B02"/>
    <w:rsid w:val="003651EA"/>
    <w:rsid w:val="003655BA"/>
    <w:rsid w:val="00367ACE"/>
    <w:rsid w:val="00371C84"/>
    <w:rsid w:val="00372303"/>
    <w:rsid w:val="003723C9"/>
    <w:rsid w:val="00373932"/>
    <w:rsid w:val="00375159"/>
    <w:rsid w:val="00380017"/>
    <w:rsid w:val="00382D30"/>
    <w:rsid w:val="00383EE3"/>
    <w:rsid w:val="00384163"/>
    <w:rsid w:val="0038737D"/>
    <w:rsid w:val="00387AF5"/>
    <w:rsid w:val="00387FF1"/>
    <w:rsid w:val="0039064F"/>
    <w:rsid w:val="00394C38"/>
    <w:rsid w:val="00396FB9"/>
    <w:rsid w:val="003A163D"/>
    <w:rsid w:val="003A2F83"/>
    <w:rsid w:val="003A5FD0"/>
    <w:rsid w:val="003A788F"/>
    <w:rsid w:val="003A7A26"/>
    <w:rsid w:val="003B05BE"/>
    <w:rsid w:val="003B06D8"/>
    <w:rsid w:val="003B0B04"/>
    <w:rsid w:val="003B0DCF"/>
    <w:rsid w:val="003B10C5"/>
    <w:rsid w:val="003B1A32"/>
    <w:rsid w:val="003B20CA"/>
    <w:rsid w:val="003B5496"/>
    <w:rsid w:val="003C08B0"/>
    <w:rsid w:val="003C0AE9"/>
    <w:rsid w:val="003C2357"/>
    <w:rsid w:val="003C2DE1"/>
    <w:rsid w:val="003C468C"/>
    <w:rsid w:val="003C4A06"/>
    <w:rsid w:val="003C4EF9"/>
    <w:rsid w:val="003C5124"/>
    <w:rsid w:val="003C5D6E"/>
    <w:rsid w:val="003C5E93"/>
    <w:rsid w:val="003D2CE7"/>
    <w:rsid w:val="003D2E1F"/>
    <w:rsid w:val="003D79F3"/>
    <w:rsid w:val="003E0774"/>
    <w:rsid w:val="003E0AD8"/>
    <w:rsid w:val="003E3796"/>
    <w:rsid w:val="003E42BA"/>
    <w:rsid w:val="003E43D1"/>
    <w:rsid w:val="003E4D44"/>
    <w:rsid w:val="003E4F4F"/>
    <w:rsid w:val="003E778A"/>
    <w:rsid w:val="003F08D3"/>
    <w:rsid w:val="003F136F"/>
    <w:rsid w:val="003F14C4"/>
    <w:rsid w:val="003F1E40"/>
    <w:rsid w:val="003F4687"/>
    <w:rsid w:val="003F47FD"/>
    <w:rsid w:val="003F73C3"/>
    <w:rsid w:val="003F7CEA"/>
    <w:rsid w:val="00401A9C"/>
    <w:rsid w:val="00402B9F"/>
    <w:rsid w:val="004035AF"/>
    <w:rsid w:val="00404396"/>
    <w:rsid w:val="004046C9"/>
    <w:rsid w:val="004058B2"/>
    <w:rsid w:val="004058C2"/>
    <w:rsid w:val="00407E1D"/>
    <w:rsid w:val="00410B00"/>
    <w:rsid w:val="00410BD3"/>
    <w:rsid w:val="00414767"/>
    <w:rsid w:val="004169F6"/>
    <w:rsid w:val="00416CBA"/>
    <w:rsid w:val="00417513"/>
    <w:rsid w:val="00422FBA"/>
    <w:rsid w:val="004367C0"/>
    <w:rsid w:val="00437A92"/>
    <w:rsid w:val="00441768"/>
    <w:rsid w:val="00441C7C"/>
    <w:rsid w:val="004433FF"/>
    <w:rsid w:val="00443D68"/>
    <w:rsid w:val="00445CA8"/>
    <w:rsid w:val="004461DA"/>
    <w:rsid w:val="00447E1A"/>
    <w:rsid w:val="0045132F"/>
    <w:rsid w:val="004526FB"/>
    <w:rsid w:val="00452893"/>
    <w:rsid w:val="00453297"/>
    <w:rsid w:val="00455481"/>
    <w:rsid w:val="00455841"/>
    <w:rsid w:val="00460287"/>
    <w:rsid w:val="0046142B"/>
    <w:rsid w:val="004626E7"/>
    <w:rsid w:val="0046343B"/>
    <w:rsid w:val="00463EF8"/>
    <w:rsid w:val="004640FB"/>
    <w:rsid w:val="00464E1A"/>
    <w:rsid w:val="00465395"/>
    <w:rsid w:val="00465B8E"/>
    <w:rsid w:val="0046660F"/>
    <w:rsid w:val="00466A84"/>
    <w:rsid w:val="0047210D"/>
    <w:rsid w:val="0047302F"/>
    <w:rsid w:val="00475325"/>
    <w:rsid w:val="00476C8D"/>
    <w:rsid w:val="004772BC"/>
    <w:rsid w:val="0047761E"/>
    <w:rsid w:val="0048034A"/>
    <w:rsid w:val="00481AF7"/>
    <w:rsid w:val="00483EF5"/>
    <w:rsid w:val="004868C9"/>
    <w:rsid w:val="00490C44"/>
    <w:rsid w:val="0049178B"/>
    <w:rsid w:val="004930DF"/>
    <w:rsid w:val="004930E2"/>
    <w:rsid w:val="0049430B"/>
    <w:rsid w:val="00495878"/>
    <w:rsid w:val="00495A13"/>
    <w:rsid w:val="004A1282"/>
    <w:rsid w:val="004A1758"/>
    <w:rsid w:val="004A1932"/>
    <w:rsid w:val="004A2A73"/>
    <w:rsid w:val="004A402D"/>
    <w:rsid w:val="004A453D"/>
    <w:rsid w:val="004A5985"/>
    <w:rsid w:val="004B0EDC"/>
    <w:rsid w:val="004B23A3"/>
    <w:rsid w:val="004B28A4"/>
    <w:rsid w:val="004B3399"/>
    <w:rsid w:val="004B35DB"/>
    <w:rsid w:val="004B5E7B"/>
    <w:rsid w:val="004B64C1"/>
    <w:rsid w:val="004C1AF2"/>
    <w:rsid w:val="004C47A4"/>
    <w:rsid w:val="004C52B2"/>
    <w:rsid w:val="004C65E7"/>
    <w:rsid w:val="004C7655"/>
    <w:rsid w:val="004D123C"/>
    <w:rsid w:val="004D2B6D"/>
    <w:rsid w:val="004D311C"/>
    <w:rsid w:val="004D3DCA"/>
    <w:rsid w:val="004D4318"/>
    <w:rsid w:val="004D5D37"/>
    <w:rsid w:val="004D5FB6"/>
    <w:rsid w:val="004D6238"/>
    <w:rsid w:val="004D63F9"/>
    <w:rsid w:val="004D74A8"/>
    <w:rsid w:val="004E069F"/>
    <w:rsid w:val="004E35EB"/>
    <w:rsid w:val="004E361A"/>
    <w:rsid w:val="004E6364"/>
    <w:rsid w:val="004F0616"/>
    <w:rsid w:val="004F2163"/>
    <w:rsid w:val="004F27EF"/>
    <w:rsid w:val="004F553A"/>
    <w:rsid w:val="004F7224"/>
    <w:rsid w:val="005003B9"/>
    <w:rsid w:val="0050483B"/>
    <w:rsid w:val="00504ADA"/>
    <w:rsid w:val="005064F6"/>
    <w:rsid w:val="00510B7D"/>
    <w:rsid w:val="00511563"/>
    <w:rsid w:val="00512C15"/>
    <w:rsid w:val="005177E1"/>
    <w:rsid w:val="00517DD9"/>
    <w:rsid w:val="00520322"/>
    <w:rsid w:val="00522487"/>
    <w:rsid w:val="0052338F"/>
    <w:rsid w:val="00526A6F"/>
    <w:rsid w:val="00527B2A"/>
    <w:rsid w:val="00527BB8"/>
    <w:rsid w:val="00532706"/>
    <w:rsid w:val="005407B9"/>
    <w:rsid w:val="00543793"/>
    <w:rsid w:val="00543D7F"/>
    <w:rsid w:val="005442E1"/>
    <w:rsid w:val="00546AC0"/>
    <w:rsid w:val="0054728F"/>
    <w:rsid w:val="00550265"/>
    <w:rsid w:val="00550B8C"/>
    <w:rsid w:val="00550E99"/>
    <w:rsid w:val="00551F1F"/>
    <w:rsid w:val="00552721"/>
    <w:rsid w:val="00553733"/>
    <w:rsid w:val="00553830"/>
    <w:rsid w:val="00554780"/>
    <w:rsid w:val="005547C2"/>
    <w:rsid w:val="00554C9D"/>
    <w:rsid w:val="005567FD"/>
    <w:rsid w:val="00557EC7"/>
    <w:rsid w:val="00560CEA"/>
    <w:rsid w:val="00562951"/>
    <w:rsid w:val="00565D6A"/>
    <w:rsid w:val="005662FA"/>
    <w:rsid w:val="005673EE"/>
    <w:rsid w:val="00567AA1"/>
    <w:rsid w:val="00570F78"/>
    <w:rsid w:val="00572BCB"/>
    <w:rsid w:val="00572D2E"/>
    <w:rsid w:val="005736AB"/>
    <w:rsid w:val="00574215"/>
    <w:rsid w:val="0058094C"/>
    <w:rsid w:val="0058158A"/>
    <w:rsid w:val="00582DFD"/>
    <w:rsid w:val="00585192"/>
    <w:rsid w:val="005851C8"/>
    <w:rsid w:val="00586486"/>
    <w:rsid w:val="00591FFB"/>
    <w:rsid w:val="00594022"/>
    <w:rsid w:val="00594314"/>
    <w:rsid w:val="0059441B"/>
    <w:rsid w:val="00596815"/>
    <w:rsid w:val="00597F17"/>
    <w:rsid w:val="005A00A3"/>
    <w:rsid w:val="005A06AB"/>
    <w:rsid w:val="005A11C8"/>
    <w:rsid w:val="005A417D"/>
    <w:rsid w:val="005A4FF9"/>
    <w:rsid w:val="005A5962"/>
    <w:rsid w:val="005A611E"/>
    <w:rsid w:val="005A6B07"/>
    <w:rsid w:val="005A6B31"/>
    <w:rsid w:val="005B0EF7"/>
    <w:rsid w:val="005B1753"/>
    <w:rsid w:val="005B1DCD"/>
    <w:rsid w:val="005B345C"/>
    <w:rsid w:val="005B3AF6"/>
    <w:rsid w:val="005B48A9"/>
    <w:rsid w:val="005C119C"/>
    <w:rsid w:val="005C4B7F"/>
    <w:rsid w:val="005C52F1"/>
    <w:rsid w:val="005C5C25"/>
    <w:rsid w:val="005C711D"/>
    <w:rsid w:val="005C78FA"/>
    <w:rsid w:val="005D11FC"/>
    <w:rsid w:val="005D1D3A"/>
    <w:rsid w:val="005D343A"/>
    <w:rsid w:val="005D39CB"/>
    <w:rsid w:val="005D4056"/>
    <w:rsid w:val="005D4239"/>
    <w:rsid w:val="005D4A6A"/>
    <w:rsid w:val="005D4D44"/>
    <w:rsid w:val="005D5634"/>
    <w:rsid w:val="005D6559"/>
    <w:rsid w:val="005D660A"/>
    <w:rsid w:val="005D6D97"/>
    <w:rsid w:val="005D7449"/>
    <w:rsid w:val="005E2A3B"/>
    <w:rsid w:val="005E38CD"/>
    <w:rsid w:val="005E522C"/>
    <w:rsid w:val="005E6E89"/>
    <w:rsid w:val="005F0DF9"/>
    <w:rsid w:val="005F0F27"/>
    <w:rsid w:val="005F2EE1"/>
    <w:rsid w:val="005F4822"/>
    <w:rsid w:val="005F7AA5"/>
    <w:rsid w:val="00602E49"/>
    <w:rsid w:val="00606174"/>
    <w:rsid w:val="006062B8"/>
    <w:rsid w:val="006067B1"/>
    <w:rsid w:val="00606F91"/>
    <w:rsid w:val="0060752D"/>
    <w:rsid w:val="00610803"/>
    <w:rsid w:val="006111D7"/>
    <w:rsid w:val="006113B2"/>
    <w:rsid w:val="00612EA7"/>
    <w:rsid w:val="006134FA"/>
    <w:rsid w:val="00613CEE"/>
    <w:rsid w:val="0061562A"/>
    <w:rsid w:val="00621064"/>
    <w:rsid w:val="0062170A"/>
    <w:rsid w:val="00621BF0"/>
    <w:rsid w:val="0062305E"/>
    <w:rsid w:val="00624E7E"/>
    <w:rsid w:val="00624F1F"/>
    <w:rsid w:val="00624FF8"/>
    <w:rsid w:val="00626CB1"/>
    <w:rsid w:val="006318BA"/>
    <w:rsid w:val="00632201"/>
    <w:rsid w:val="00632351"/>
    <w:rsid w:val="00633DC1"/>
    <w:rsid w:val="0063503D"/>
    <w:rsid w:val="00635DCE"/>
    <w:rsid w:val="0063656B"/>
    <w:rsid w:val="00636600"/>
    <w:rsid w:val="006372B4"/>
    <w:rsid w:val="00637F30"/>
    <w:rsid w:val="00641E12"/>
    <w:rsid w:val="00642525"/>
    <w:rsid w:val="0064273D"/>
    <w:rsid w:val="0064286F"/>
    <w:rsid w:val="00644850"/>
    <w:rsid w:val="006451DB"/>
    <w:rsid w:val="006472AE"/>
    <w:rsid w:val="00651445"/>
    <w:rsid w:val="0065299A"/>
    <w:rsid w:val="00653225"/>
    <w:rsid w:val="00655518"/>
    <w:rsid w:val="00660CD6"/>
    <w:rsid w:val="00661C02"/>
    <w:rsid w:val="006622D3"/>
    <w:rsid w:val="006628B9"/>
    <w:rsid w:val="00663CAC"/>
    <w:rsid w:val="00664B56"/>
    <w:rsid w:val="00666C95"/>
    <w:rsid w:val="00670822"/>
    <w:rsid w:val="00670835"/>
    <w:rsid w:val="00673123"/>
    <w:rsid w:val="006753DD"/>
    <w:rsid w:val="006761F9"/>
    <w:rsid w:val="00676E69"/>
    <w:rsid w:val="00677E3A"/>
    <w:rsid w:val="00680DD3"/>
    <w:rsid w:val="00685181"/>
    <w:rsid w:val="00685702"/>
    <w:rsid w:val="00686F7E"/>
    <w:rsid w:val="0068768A"/>
    <w:rsid w:val="00687914"/>
    <w:rsid w:val="00687D60"/>
    <w:rsid w:val="00690224"/>
    <w:rsid w:val="00694918"/>
    <w:rsid w:val="00696C27"/>
    <w:rsid w:val="00697B40"/>
    <w:rsid w:val="006A007E"/>
    <w:rsid w:val="006A0225"/>
    <w:rsid w:val="006A21AF"/>
    <w:rsid w:val="006A2FD5"/>
    <w:rsid w:val="006A6062"/>
    <w:rsid w:val="006A642A"/>
    <w:rsid w:val="006A65B0"/>
    <w:rsid w:val="006A6A66"/>
    <w:rsid w:val="006A736F"/>
    <w:rsid w:val="006B0BEE"/>
    <w:rsid w:val="006B5003"/>
    <w:rsid w:val="006B5F9C"/>
    <w:rsid w:val="006B6DF4"/>
    <w:rsid w:val="006C25CD"/>
    <w:rsid w:val="006C31E9"/>
    <w:rsid w:val="006C60BA"/>
    <w:rsid w:val="006C66A4"/>
    <w:rsid w:val="006C7690"/>
    <w:rsid w:val="006C7A90"/>
    <w:rsid w:val="006D0607"/>
    <w:rsid w:val="006D06E8"/>
    <w:rsid w:val="006D092A"/>
    <w:rsid w:val="006D12A1"/>
    <w:rsid w:val="006D1BD2"/>
    <w:rsid w:val="006D31BF"/>
    <w:rsid w:val="006D3287"/>
    <w:rsid w:val="006D4528"/>
    <w:rsid w:val="006D4AC8"/>
    <w:rsid w:val="006D5F23"/>
    <w:rsid w:val="006D750D"/>
    <w:rsid w:val="006E2285"/>
    <w:rsid w:val="006E2796"/>
    <w:rsid w:val="006E32E3"/>
    <w:rsid w:val="006E37FA"/>
    <w:rsid w:val="006F01A8"/>
    <w:rsid w:val="006F0382"/>
    <w:rsid w:val="006F11EC"/>
    <w:rsid w:val="006F1CE7"/>
    <w:rsid w:val="006F3567"/>
    <w:rsid w:val="006F5254"/>
    <w:rsid w:val="00700AB1"/>
    <w:rsid w:val="00700DD2"/>
    <w:rsid w:val="00700DFB"/>
    <w:rsid w:val="00702A23"/>
    <w:rsid w:val="00704CA4"/>
    <w:rsid w:val="007052FA"/>
    <w:rsid w:val="00705F66"/>
    <w:rsid w:val="00710341"/>
    <w:rsid w:val="007109E7"/>
    <w:rsid w:val="007112F0"/>
    <w:rsid w:val="007118A6"/>
    <w:rsid w:val="00713698"/>
    <w:rsid w:val="00714EE6"/>
    <w:rsid w:val="00714F40"/>
    <w:rsid w:val="00715738"/>
    <w:rsid w:val="00715B63"/>
    <w:rsid w:val="00716026"/>
    <w:rsid w:val="007205CB"/>
    <w:rsid w:val="00720E0C"/>
    <w:rsid w:val="00721219"/>
    <w:rsid w:val="00722780"/>
    <w:rsid w:val="00722BB0"/>
    <w:rsid w:val="007230BC"/>
    <w:rsid w:val="007238B5"/>
    <w:rsid w:val="00723BE9"/>
    <w:rsid w:val="007240A5"/>
    <w:rsid w:val="007247C1"/>
    <w:rsid w:val="00724F65"/>
    <w:rsid w:val="00725352"/>
    <w:rsid w:val="00726B6F"/>
    <w:rsid w:val="00726D91"/>
    <w:rsid w:val="0073147F"/>
    <w:rsid w:val="00734562"/>
    <w:rsid w:val="00740BBD"/>
    <w:rsid w:val="0074108C"/>
    <w:rsid w:val="007425D5"/>
    <w:rsid w:val="00743427"/>
    <w:rsid w:val="007436D7"/>
    <w:rsid w:val="00743AE8"/>
    <w:rsid w:val="00746D4D"/>
    <w:rsid w:val="00750A9A"/>
    <w:rsid w:val="0075153A"/>
    <w:rsid w:val="00751AAB"/>
    <w:rsid w:val="00752644"/>
    <w:rsid w:val="00754A27"/>
    <w:rsid w:val="0075652E"/>
    <w:rsid w:val="00757D74"/>
    <w:rsid w:val="00760030"/>
    <w:rsid w:val="007607B4"/>
    <w:rsid w:val="00760C57"/>
    <w:rsid w:val="00760EBE"/>
    <w:rsid w:val="00760FDE"/>
    <w:rsid w:val="0076459B"/>
    <w:rsid w:val="00764C1A"/>
    <w:rsid w:val="00766548"/>
    <w:rsid w:val="007668E9"/>
    <w:rsid w:val="00773222"/>
    <w:rsid w:val="007768E1"/>
    <w:rsid w:val="00780B6C"/>
    <w:rsid w:val="007836DD"/>
    <w:rsid w:val="00786538"/>
    <w:rsid w:val="00786FE1"/>
    <w:rsid w:val="00787537"/>
    <w:rsid w:val="00787594"/>
    <w:rsid w:val="0079021F"/>
    <w:rsid w:val="00791FF8"/>
    <w:rsid w:val="007935F9"/>
    <w:rsid w:val="007948AB"/>
    <w:rsid w:val="00794D29"/>
    <w:rsid w:val="00795CAD"/>
    <w:rsid w:val="007969FF"/>
    <w:rsid w:val="00797278"/>
    <w:rsid w:val="007A0305"/>
    <w:rsid w:val="007A0677"/>
    <w:rsid w:val="007A0F6E"/>
    <w:rsid w:val="007A255A"/>
    <w:rsid w:val="007A25A5"/>
    <w:rsid w:val="007A2779"/>
    <w:rsid w:val="007B0255"/>
    <w:rsid w:val="007B02A5"/>
    <w:rsid w:val="007B148D"/>
    <w:rsid w:val="007B19CF"/>
    <w:rsid w:val="007B3307"/>
    <w:rsid w:val="007B5EB2"/>
    <w:rsid w:val="007B6774"/>
    <w:rsid w:val="007B7CFA"/>
    <w:rsid w:val="007C0D20"/>
    <w:rsid w:val="007C145E"/>
    <w:rsid w:val="007C3D62"/>
    <w:rsid w:val="007C6465"/>
    <w:rsid w:val="007C7345"/>
    <w:rsid w:val="007D00CC"/>
    <w:rsid w:val="007D0481"/>
    <w:rsid w:val="007D5AE8"/>
    <w:rsid w:val="007D629E"/>
    <w:rsid w:val="007D643E"/>
    <w:rsid w:val="007D737A"/>
    <w:rsid w:val="007E1033"/>
    <w:rsid w:val="007E3608"/>
    <w:rsid w:val="007E4759"/>
    <w:rsid w:val="007E4FF0"/>
    <w:rsid w:val="007E5CB4"/>
    <w:rsid w:val="007E6499"/>
    <w:rsid w:val="007F08E3"/>
    <w:rsid w:val="007F2852"/>
    <w:rsid w:val="007F310A"/>
    <w:rsid w:val="007F5184"/>
    <w:rsid w:val="007F5B4A"/>
    <w:rsid w:val="007F64CE"/>
    <w:rsid w:val="007F65E4"/>
    <w:rsid w:val="007F6CF9"/>
    <w:rsid w:val="007F6D8E"/>
    <w:rsid w:val="007F77D2"/>
    <w:rsid w:val="00800E69"/>
    <w:rsid w:val="0080232A"/>
    <w:rsid w:val="0080284B"/>
    <w:rsid w:val="00802E6A"/>
    <w:rsid w:val="00804424"/>
    <w:rsid w:val="00805A50"/>
    <w:rsid w:val="00805CC0"/>
    <w:rsid w:val="008061CC"/>
    <w:rsid w:val="008065AC"/>
    <w:rsid w:val="00807B75"/>
    <w:rsid w:val="00810C93"/>
    <w:rsid w:val="00813458"/>
    <w:rsid w:val="008139EC"/>
    <w:rsid w:val="008140F0"/>
    <w:rsid w:val="008152E4"/>
    <w:rsid w:val="00816ECA"/>
    <w:rsid w:val="00822CC6"/>
    <w:rsid w:val="00823FFF"/>
    <w:rsid w:val="00824E57"/>
    <w:rsid w:val="00827822"/>
    <w:rsid w:val="008313DE"/>
    <w:rsid w:val="0083217B"/>
    <w:rsid w:val="008338A1"/>
    <w:rsid w:val="00833A82"/>
    <w:rsid w:val="0083490C"/>
    <w:rsid w:val="00834C3A"/>
    <w:rsid w:val="00836D5A"/>
    <w:rsid w:val="00837B05"/>
    <w:rsid w:val="008434E2"/>
    <w:rsid w:val="00843A09"/>
    <w:rsid w:val="00845E8C"/>
    <w:rsid w:val="00847680"/>
    <w:rsid w:val="0085088B"/>
    <w:rsid w:val="008508F1"/>
    <w:rsid w:val="00852B93"/>
    <w:rsid w:val="00855315"/>
    <w:rsid w:val="00855AAB"/>
    <w:rsid w:val="00857EB7"/>
    <w:rsid w:val="008600E0"/>
    <w:rsid w:val="008601F7"/>
    <w:rsid w:val="0086065E"/>
    <w:rsid w:val="0086299F"/>
    <w:rsid w:val="00862C2D"/>
    <w:rsid w:val="008661A3"/>
    <w:rsid w:val="00867CDF"/>
    <w:rsid w:val="00874D99"/>
    <w:rsid w:val="00877142"/>
    <w:rsid w:val="0087776B"/>
    <w:rsid w:val="00877B40"/>
    <w:rsid w:val="00882582"/>
    <w:rsid w:val="008825FC"/>
    <w:rsid w:val="008833F9"/>
    <w:rsid w:val="0088422D"/>
    <w:rsid w:val="00885F18"/>
    <w:rsid w:val="008860C3"/>
    <w:rsid w:val="0089078F"/>
    <w:rsid w:val="00890AFB"/>
    <w:rsid w:val="00893E28"/>
    <w:rsid w:val="00893FA6"/>
    <w:rsid w:val="00894ACD"/>
    <w:rsid w:val="00894B47"/>
    <w:rsid w:val="008978BE"/>
    <w:rsid w:val="00897C23"/>
    <w:rsid w:val="008A067C"/>
    <w:rsid w:val="008A1C74"/>
    <w:rsid w:val="008A324B"/>
    <w:rsid w:val="008A44C1"/>
    <w:rsid w:val="008A47CF"/>
    <w:rsid w:val="008A4C65"/>
    <w:rsid w:val="008A68C0"/>
    <w:rsid w:val="008B0097"/>
    <w:rsid w:val="008B1369"/>
    <w:rsid w:val="008B1A6A"/>
    <w:rsid w:val="008B3B20"/>
    <w:rsid w:val="008B599A"/>
    <w:rsid w:val="008B702D"/>
    <w:rsid w:val="008C08BF"/>
    <w:rsid w:val="008C1D88"/>
    <w:rsid w:val="008C5468"/>
    <w:rsid w:val="008C5C18"/>
    <w:rsid w:val="008C6F54"/>
    <w:rsid w:val="008C7928"/>
    <w:rsid w:val="008D1E03"/>
    <w:rsid w:val="008D22BB"/>
    <w:rsid w:val="008D41A6"/>
    <w:rsid w:val="008D47FF"/>
    <w:rsid w:val="008D54E8"/>
    <w:rsid w:val="008E2453"/>
    <w:rsid w:val="008E284B"/>
    <w:rsid w:val="008E2CCE"/>
    <w:rsid w:val="008E2FB2"/>
    <w:rsid w:val="008E5A6B"/>
    <w:rsid w:val="008F27AA"/>
    <w:rsid w:val="008F50ED"/>
    <w:rsid w:val="008F7C07"/>
    <w:rsid w:val="0090072B"/>
    <w:rsid w:val="00901623"/>
    <w:rsid w:val="00904B1E"/>
    <w:rsid w:val="00907673"/>
    <w:rsid w:val="0091267E"/>
    <w:rsid w:val="00914FE8"/>
    <w:rsid w:val="009263C8"/>
    <w:rsid w:val="0093072E"/>
    <w:rsid w:val="00930A9C"/>
    <w:rsid w:val="00932D7C"/>
    <w:rsid w:val="00933942"/>
    <w:rsid w:val="00934DE1"/>
    <w:rsid w:val="0093527E"/>
    <w:rsid w:val="009355F5"/>
    <w:rsid w:val="00935708"/>
    <w:rsid w:val="00936687"/>
    <w:rsid w:val="009370B3"/>
    <w:rsid w:val="009379EB"/>
    <w:rsid w:val="00940450"/>
    <w:rsid w:val="009410DA"/>
    <w:rsid w:val="0094201C"/>
    <w:rsid w:val="00942FD4"/>
    <w:rsid w:val="009433E0"/>
    <w:rsid w:val="0094483B"/>
    <w:rsid w:val="00945ABD"/>
    <w:rsid w:val="00945D36"/>
    <w:rsid w:val="00946B02"/>
    <w:rsid w:val="00946D69"/>
    <w:rsid w:val="00946E4C"/>
    <w:rsid w:val="009471C8"/>
    <w:rsid w:val="009501D3"/>
    <w:rsid w:val="00950248"/>
    <w:rsid w:val="00950CA8"/>
    <w:rsid w:val="00952404"/>
    <w:rsid w:val="0095243B"/>
    <w:rsid w:val="0095500E"/>
    <w:rsid w:val="009570E5"/>
    <w:rsid w:val="00957929"/>
    <w:rsid w:val="00961B53"/>
    <w:rsid w:val="00961E16"/>
    <w:rsid w:val="00962AE2"/>
    <w:rsid w:val="0096399C"/>
    <w:rsid w:val="00964620"/>
    <w:rsid w:val="0096517A"/>
    <w:rsid w:val="00965D2B"/>
    <w:rsid w:val="00967197"/>
    <w:rsid w:val="00970F4E"/>
    <w:rsid w:val="00971C06"/>
    <w:rsid w:val="009740BE"/>
    <w:rsid w:val="0097500C"/>
    <w:rsid w:val="00976680"/>
    <w:rsid w:val="00982C09"/>
    <w:rsid w:val="0098357D"/>
    <w:rsid w:val="00984D7F"/>
    <w:rsid w:val="00985B4C"/>
    <w:rsid w:val="009875D5"/>
    <w:rsid w:val="00990977"/>
    <w:rsid w:val="0099122A"/>
    <w:rsid w:val="00992810"/>
    <w:rsid w:val="00992DF3"/>
    <w:rsid w:val="00994D70"/>
    <w:rsid w:val="00994E48"/>
    <w:rsid w:val="00994ED8"/>
    <w:rsid w:val="009950B5"/>
    <w:rsid w:val="00995E1F"/>
    <w:rsid w:val="009963B1"/>
    <w:rsid w:val="009967A4"/>
    <w:rsid w:val="00996D5C"/>
    <w:rsid w:val="00997D30"/>
    <w:rsid w:val="009A0657"/>
    <w:rsid w:val="009A1760"/>
    <w:rsid w:val="009A1DD2"/>
    <w:rsid w:val="009A2DCC"/>
    <w:rsid w:val="009A2FDF"/>
    <w:rsid w:val="009A7ABF"/>
    <w:rsid w:val="009A7F79"/>
    <w:rsid w:val="009B2527"/>
    <w:rsid w:val="009B2917"/>
    <w:rsid w:val="009B314E"/>
    <w:rsid w:val="009C0348"/>
    <w:rsid w:val="009C0C1F"/>
    <w:rsid w:val="009C1806"/>
    <w:rsid w:val="009C18EB"/>
    <w:rsid w:val="009C1D51"/>
    <w:rsid w:val="009C2D50"/>
    <w:rsid w:val="009C37AD"/>
    <w:rsid w:val="009C6BC9"/>
    <w:rsid w:val="009C6EB6"/>
    <w:rsid w:val="009C7A5B"/>
    <w:rsid w:val="009C7BCD"/>
    <w:rsid w:val="009D11C7"/>
    <w:rsid w:val="009D2381"/>
    <w:rsid w:val="009D3809"/>
    <w:rsid w:val="009D6526"/>
    <w:rsid w:val="009D750D"/>
    <w:rsid w:val="009E22BC"/>
    <w:rsid w:val="009F1A46"/>
    <w:rsid w:val="009F1E7B"/>
    <w:rsid w:val="009F3D9C"/>
    <w:rsid w:val="009F7E1C"/>
    <w:rsid w:val="00A00127"/>
    <w:rsid w:val="00A032EF"/>
    <w:rsid w:val="00A03CE3"/>
    <w:rsid w:val="00A03DA2"/>
    <w:rsid w:val="00A06594"/>
    <w:rsid w:val="00A06AC5"/>
    <w:rsid w:val="00A07D78"/>
    <w:rsid w:val="00A10050"/>
    <w:rsid w:val="00A10217"/>
    <w:rsid w:val="00A115E0"/>
    <w:rsid w:val="00A116C3"/>
    <w:rsid w:val="00A11C53"/>
    <w:rsid w:val="00A126A3"/>
    <w:rsid w:val="00A127AD"/>
    <w:rsid w:val="00A12AE6"/>
    <w:rsid w:val="00A14BA2"/>
    <w:rsid w:val="00A155DD"/>
    <w:rsid w:val="00A1588E"/>
    <w:rsid w:val="00A16409"/>
    <w:rsid w:val="00A16612"/>
    <w:rsid w:val="00A1675E"/>
    <w:rsid w:val="00A16AFA"/>
    <w:rsid w:val="00A20A63"/>
    <w:rsid w:val="00A21883"/>
    <w:rsid w:val="00A226B3"/>
    <w:rsid w:val="00A22E62"/>
    <w:rsid w:val="00A22EA7"/>
    <w:rsid w:val="00A23DDB"/>
    <w:rsid w:val="00A25170"/>
    <w:rsid w:val="00A25FDF"/>
    <w:rsid w:val="00A263D0"/>
    <w:rsid w:val="00A27265"/>
    <w:rsid w:val="00A27B98"/>
    <w:rsid w:val="00A3119E"/>
    <w:rsid w:val="00A31D24"/>
    <w:rsid w:val="00A32B1F"/>
    <w:rsid w:val="00A34045"/>
    <w:rsid w:val="00A341DD"/>
    <w:rsid w:val="00A34E06"/>
    <w:rsid w:val="00A34E6C"/>
    <w:rsid w:val="00A36CBB"/>
    <w:rsid w:val="00A36DC0"/>
    <w:rsid w:val="00A378A4"/>
    <w:rsid w:val="00A37F33"/>
    <w:rsid w:val="00A40F71"/>
    <w:rsid w:val="00A41129"/>
    <w:rsid w:val="00A438C4"/>
    <w:rsid w:val="00A4554C"/>
    <w:rsid w:val="00A456F2"/>
    <w:rsid w:val="00A46349"/>
    <w:rsid w:val="00A51F63"/>
    <w:rsid w:val="00A525C0"/>
    <w:rsid w:val="00A53016"/>
    <w:rsid w:val="00A5351C"/>
    <w:rsid w:val="00A53FA1"/>
    <w:rsid w:val="00A5543C"/>
    <w:rsid w:val="00A57947"/>
    <w:rsid w:val="00A57E12"/>
    <w:rsid w:val="00A60A43"/>
    <w:rsid w:val="00A61982"/>
    <w:rsid w:val="00A63064"/>
    <w:rsid w:val="00A63573"/>
    <w:rsid w:val="00A644C2"/>
    <w:rsid w:val="00A658FF"/>
    <w:rsid w:val="00A67E5A"/>
    <w:rsid w:val="00A70AC1"/>
    <w:rsid w:val="00A7189C"/>
    <w:rsid w:val="00A71F54"/>
    <w:rsid w:val="00A75930"/>
    <w:rsid w:val="00A77D38"/>
    <w:rsid w:val="00A805D0"/>
    <w:rsid w:val="00A80698"/>
    <w:rsid w:val="00A80B5A"/>
    <w:rsid w:val="00A8192C"/>
    <w:rsid w:val="00A81A08"/>
    <w:rsid w:val="00A822E1"/>
    <w:rsid w:val="00A82AA6"/>
    <w:rsid w:val="00A85927"/>
    <w:rsid w:val="00A85FCE"/>
    <w:rsid w:val="00A9009E"/>
    <w:rsid w:val="00A90227"/>
    <w:rsid w:val="00A90DA5"/>
    <w:rsid w:val="00A92664"/>
    <w:rsid w:val="00A95DCF"/>
    <w:rsid w:val="00A96E78"/>
    <w:rsid w:val="00AA0CE2"/>
    <w:rsid w:val="00AA2ACA"/>
    <w:rsid w:val="00AA2EFD"/>
    <w:rsid w:val="00AA321D"/>
    <w:rsid w:val="00AA4483"/>
    <w:rsid w:val="00AA5895"/>
    <w:rsid w:val="00AA6A21"/>
    <w:rsid w:val="00AA6BCB"/>
    <w:rsid w:val="00AB031A"/>
    <w:rsid w:val="00AB0349"/>
    <w:rsid w:val="00AB203A"/>
    <w:rsid w:val="00AB43D9"/>
    <w:rsid w:val="00AB4AFB"/>
    <w:rsid w:val="00AB6CFE"/>
    <w:rsid w:val="00AC0503"/>
    <w:rsid w:val="00AC0556"/>
    <w:rsid w:val="00AC1C6B"/>
    <w:rsid w:val="00AC20F6"/>
    <w:rsid w:val="00AC2D78"/>
    <w:rsid w:val="00AC2F82"/>
    <w:rsid w:val="00AC3891"/>
    <w:rsid w:val="00AC44F4"/>
    <w:rsid w:val="00AC5999"/>
    <w:rsid w:val="00AC79D4"/>
    <w:rsid w:val="00AD050B"/>
    <w:rsid w:val="00AD09D3"/>
    <w:rsid w:val="00AD0A34"/>
    <w:rsid w:val="00AD0C8B"/>
    <w:rsid w:val="00AD249A"/>
    <w:rsid w:val="00AD2D2C"/>
    <w:rsid w:val="00AD2DC8"/>
    <w:rsid w:val="00AD2F6E"/>
    <w:rsid w:val="00AD4034"/>
    <w:rsid w:val="00AD726F"/>
    <w:rsid w:val="00AE2CA7"/>
    <w:rsid w:val="00AE3FBA"/>
    <w:rsid w:val="00AE62D1"/>
    <w:rsid w:val="00AE7F8C"/>
    <w:rsid w:val="00AF07EF"/>
    <w:rsid w:val="00AF09CD"/>
    <w:rsid w:val="00AF20D3"/>
    <w:rsid w:val="00AF526E"/>
    <w:rsid w:val="00AF5881"/>
    <w:rsid w:val="00AF6093"/>
    <w:rsid w:val="00AF62A8"/>
    <w:rsid w:val="00AF6CAC"/>
    <w:rsid w:val="00AF6F07"/>
    <w:rsid w:val="00B00401"/>
    <w:rsid w:val="00B00A46"/>
    <w:rsid w:val="00B00B4A"/>
    <w:rsid w:val="00B0484A"/>
    <w:rsid w:val="00B05167"/>
    <w:rsid w:val="00B068E6"/>
    <w:rsid w:val="00B06A16"/>
    <w:rsid w:val="00B07A0E"/>
    <w:rsid w:val="00B07F06"/>
    <w:rsid w:val="00B117AE"/>
    <w:rsid w:val="00B11AC3"/>
    <w:rsid w:val="00B12325"/>
    <w:rsid w:val="00B16B14"/>
    <w:rsid w:val="00B16BC4"/>
    <w:rsid w:val="00B17B1F"/>
    <w:rsid w:val="00B2119B"/>
    <w:rsid w:val="00B21259"/>
    <w:rsid w:val="00B21C2E"/>
    <w:rsid w:val="00B3208E"/>
    <w:rsid w:val="00B33164"/>
    <w:rsid w:val="00B34611"/>
    <w:rsid w:val="00B36AD4"/>
    <w:rsid w:val="00B40630"/>
    <w:rsid w:val="00B4182E"/>
    <w:rsid w:val="00B47058"/>
    <w:rsid w:val="00B47E37"/>
    <w:rsid w:val="00B553B9"/>
    <w:rsid w:val="00B56C20"/>
    <w:rsid w:val="00B6168F"/>
    <w:rsid w:val="00B62E77"/>
    <w:rsid w:val="00B63027"/>
    <w:rsid w:val="00B66948"/>
    <w:rsid w:val="00B70649"/>
    <w:rsid w:val="00B70B3C"/>
    <w:rsid w:val="00B71542"/>
    <w:rsid w:val="00B72B08"/>
    <w:rsid w:val="00B73448"/>
    <w:rsid w:val="00B746C7"/>
    <w:rsid w:val="00B767AA"/>
    <w:rsid w:val="00B770BD"/>
    <w:rsid w:val="00B806CE"/>
    <w:rsid w:val="00B80E19"/>
    <w:rsid w:val="00B831E9"/>
    <w:rsid w:val="00B8443D"/>
    <w:rsid w:val="00B85592"/>
    <w:rsid w:val="00B9046E"/>
    <w:rsid w:val="00B9201E"/>
    <w:rsid w:val="00B93963"/>
    <w:rsid w:val="00B946F0"/>
    <w:rsid w:val="00B94973"/>
    <w:rsid w:val="00B96177"/>
    <w:rsid w:val="00B96422"/>
    <w:rsid w:val="00B96A01"/>
    <w:rsid w:val="00B973CE"/>
    <w:rsid w:val="00BA012A"/>
    <w:rsid w:val="00BA0A41"/>
    <w:rsid w:val="00BA14F4"/>
    <w:rsid w:val="00BA18EF"/>
    <w:rsid w:val="00BA25A7"/>
    <w:rsid w:val="00BA30FF"/>
    <w:rsid w:val="00BA5985"/>
    <w:rsid w:val="00BA5F51"/>
    <w:rsid w:val="00BA6BD6"/>
    <w:rsid w:val="00BA7697"/>
    <w:rsid w:val="00BB031C"/>
    <w:rsid w:val="00BB0CCA"/>
    <w:rsid w:val="00BB128B"/>
    <w:rsid w:val="00BB15F4"/>
    <w:rsid w:val="00BB1EE1"/>
    <w:rsid w:val="00BB4CB5"/>
    <w:rsid w:val="00BB535D"/>
    <w:rsid w:val="00BB6F57"/>
    <w:rsid w:val="00BC099A"/>
    <w:rsid w:val="00BC1947"/>
    <w:rsid w:val="00BC1C40"/>
    <w:rsid w:val="00BC1D0C"/>
    <w:rsid w:val="00BC3961"/>
    <w:rsid w:val="00BC4673"/>
    <w:rsid w:val="00BD0C7E"/>
    <w:rsid w:val="00BD1E09"/>
    <w:rsid w:val="00BD3893"/>
    <w:rsid w:val="00BE1250"/>
    <w:rsid w:val="00BE266B"/>
    <w:rsid w:val="00BE2ADC"/>
    <w:rsid w:val="00BE3544"/>
    <w:rsid w:val="00BE447A"/>
    <w:rsid w:val="00BE5F9A"/>
    <w:rsid w:val="00BE678D"/>
    <w:rsid w:val="00BE7B85"/>
    <w:rsid w:val="00BF3971"/>
    <w:rsid w:val="00BF445A"/>
    <w:rsid w:val="00BF4BBA"/>
    <w:rsid w:val="00BF52BD"/>
    <w:rsid w:val="00C00301"/>
    <w:rsid w:val="00C00BAA"/>
    <w:rsid w:val="00C01715"/>
    <w:rsid w:val="00C019E3"/>
    <w:rsid w:val="00C02DFD"/>
    <w:rsid w:val="00C04AF8"/>
    <w:rsid w:val="00C04F78"/>
    <w:rsid w:val="00C060A7"/>
    <w:rsid w:val="00C06989"/>
    <w:rsid w:val="00C07DA2"/>
    <w:rsid w:val="00C10868"/>
    <w:rsid w:val="00C1114A"/>
    <w:rsid w:val="00C125F5"/>
    <w:rsid w:val="00C129B1"/>
    <w:rsid w:val="00C13B89"/>
    <w:rsid w:val="00C13F8D"/>
    <w:rsid w:val="00C1669D"/>
    <w:rsid w:val="00C1676F"/>
    <w:rsid w:val="00C20E51"/>
    <w:rsid w:val="00C21193"/>
    <w:rsid w:val="00C22ECE"/>
    <w:rsid w:val="00C25573"/>
    <w:rsid w:val="00C255DB"/>
    <w:rsid w:val="00C2651E"/>
    <w:rsid w:val="00C2746E"/>
    <w:rsid w:val="00C30CA0"/>
    <w:rsid w:val="00C32C8E"/>
    <w:rsid w:val="00C33267"/>
    <w:rsid w:val="00C3450C"/>
    <w:rsid w:val="00C358E6"/>
    <w:rsid w:val="00C37AA3"/>
    <w:rsid w:val="00C37D63"/>
    <w:rsid w:val="00C451DA"/>
    <w:rsid w:val="00C45A81"/>
    <w:rsid w:val="00C4733F"/>
    <w:rsid w:val="00C476D1"/>
    <w:rsid w:val="00C51B51"/>
    <w:rsid w:val="00C536E9"/>
    <w:rsid w:val="00C554E7"/>
    <w:rsid w:val="00C562CD"/>
    <w:rsid w:val="00C562F1"/>
    <w:rsid w:val="00C56B5D"/>
    <w:rsid w:val="00C62AA3"/>
    <w:rsid w:val="00C633E8"/>
    <w:rsid w:val="00C6394F"/>
    <w:rsid w:val="00C63A4C"/>
    <w:rsid w:val="00C6421D"/>
    <w:rsid w:val="00C642AC"/>
    <w:rsid w:val="00C653F3"/>
    <w:rsid w:val="00C65D89"/>
    <w:rsid w:val="00C8073A"/>
    <w:rsid w:val="00C80B5C"/>
    <w:rsid w:val="00C83901"/>
    <w:rsid w:val="00C844AB"/>
    <w:rsid w:val="00C86522"/>
    <w:rsid w:val="00C9025F"/>
    <w:rsid w:val="00C919C1"/>
    <w:rsid w:val="00C91A7C"/>
    <w:rsid w:val="00C91DAE"/>
    <w:rsid w:val="00C93262"/>
    <w:rsid w:val="00C9368B"/>
    <w:rsid w:val="00C9426F"/>
    <w:rsid w:val="00C943D6"/>
    <w:rsid w:val="00C94827"/>
    <w:rsid w:val="00C95041"/>
    <w:rsid w:val="00C970FD"/>
    <w:rsid w:val="00CA29DB"/>
    <w:rsid w:val="00CA2CFE"/>
    <w:rsid w:val="00CA4CE9"/>
    <w:rsid w:val="00CB1573"/>
    <w:rsid w:val="00CB1C36"/>
    <w:rsid w:val="00CB38CB"/>
    <w:rsid w:val="00CB51E8"/>
    <w:rsid w:val="00CB5BAE"/>
    <w:rsid w:val="00CB791C"/>
    <w:rsid w:val="00CC1883"/>
    <w:rsid w:val="00CC2AAA"/>
    <w:rsid w:val="00CC33E3"/>
    <w:rsid w:val="00CC66B7"/>
    <w:rsid w:val="00CC6BB4"/>
    <w:rsid w:val="00CD0A88"/>
    <w:rsid w:val="00CD1F31"/>
    <w:rsid w:val="00CD2735"/>
    <w:rsid w:val="00CD462C"/>
    <w:rsid w:val="00CE016C"/>
    <w:rsid w:val="00CE245C"/>
    <w:rsid w:val="00CE2862"/>
    <w:rsid w:val="00CE2A74"/>
    <w:rsid w:val="00CE6000"/>
    <w:rsid w:val="00CE6E73"/>
    <w:rsid w:val="00CE7093"/>
    <w:rsid w:val="00CE783C"/>
    <w:rsid w:val="00CE7C7A"/>
    <w:rsid w:val="00CF04B6"/>
    <w:rsid w:val="00CF2AE6"/>
    <w:rsid w:val="00CF3AD5"/>
    <w:rsid w:val="00CF3B82"/>
    <w:rsid w:val="00CF505E"/>
    <w:rsid w:val="00CF5FB3"/>
    <w:rsid w:val="00D029E4"/>
    <w:rsid w:val="00D02A54"/>
    <w:rsid w:val="00D02B5E"/>
    <w:rsid w:val="00D02F9B"/>
    <w:rsid w:val="00D07AD6"/>
    <w:rsid w:val="00D111B4"/>
    <w:rsid w:val="00D11C8F"/>
    <w:rsid w:val="00D158C3"/>
    <w:rsid w:val="00D165D0"/>
    <w:rsid w:val="00D20B4D"/>
    <w:rsid w:val="00D23485"/>
    <w:rsid w:val="00D241E0"/>
    <w:rsid w:val="00D2626B"/>
    <w:rsid w:val="00D302D9"/>
    <w:rsid w:val="00D308DA"/>
    <w:rsid w:val="00D3212D"/>
    <w:rsid w:val="00D364A7"/>
    <w:rsid w:val="00D378BC"/>
    <w:rsid w:val="00D40A0D"/>
    <w:rsid w:val="00D41D66"/>
    <w:rsid w:val="00D43337"/>
    <w:rsid w:val="00D460CA"/>
    <w:rsid w:val="00D46486"/>
    <w:rsid w:val="00D464AD"/>
    <w:rsid w:val="00D4659E"/>
    <w:rsid w:val="00D467D4"/>
    <w:rsid w:val="00D50CE3"/>
    <w:rsid w:val="00D5243A"/>
    <w:rsid w:val="00D527C4"/>
    <w:rsid w:val="00D5609D"/>
    <w:rsid w:val="00D569A6"/>
    <w:rsid w:val="00D57304"/>
    <w:rsid w:val="00D60DC8"/>
    <w:rsid w:val="00D616C6"/>
    <w:rsid w:val="00D61D25"/>
    <w:rsid w:val="00D6310A"/>
    <w:rsid w:val="00D63148"/>
    <w:rsid w:val="00D63D16"/>
    <w:rsid w:val="00D64086"/>
    <w:rsid w:val="00D6520D"/>
    <w:rsid w:val="00D65A32"/>
    <w:rsid w:val="00D66085"/>
    <w:rsid w:val="00D67020"/>
    <w:rsid w:val="00D676DA"/>
    <w:rsid w:val="00D72EE6"/>
    <w:rsid w:val="00D742AD"/>
    <w:rsid w:val="00D74DF7"/>
    <w:rsid w:val="00D75591"/>
    <w:rsid w:val="00D7563E"/>
    <w:rsid w:val="00D76F06"/>
    <w:rsid w:val="00D777EC"/>
    <w:rsid w:val="00D801AA"/>
    <w:rsid w:val="00D82CD5"/>
    <w:rsid w:val="00D83260"/>
    <w:rsid w:val="00D90468"/>
    <w:rsid w:val="00D936A5"/>
    <w:rsid w:val="00D937F9"/>
    <w:rsid w:val="00D94036"/>
    <w:rsid w:val="00D9454D"/>
    <w:rsid w:val="00D946A9"/>
    <w:rsid w:val="00D949C7"/>
    <w:rsid w:val="00D9597C"/>
    <w:rsid w:val="00D96BF4"/>
    <w:rsid w:val="00D9708A"/>
    <w:rsid w:val="00D976F3"/>
    <w:rsid w:val="00DA061D"/>
    <w:rsid w:val="00DA165F"/>
    <w:rsid w:val="00DA34C5"/>
    <w:rsid w:val="00DA3AEC"/>
    <w:rsid w:val="00DA6BCB"/>
    <w:rsid w:val="00DA746F"/>
    <w:rsid w:val="00DB06D3"/>
    <w:rsid w:val="00DB2F5F"/>
    <w:rsid w:val="00DB3778"/>
    <w:rsid w:val="00DB3AEA"/>
    <w:rsid w:val="00DB43E5"/>
    <w:rsid w:val="00DB710F"/>
    <w:rsid w:val="00DB7364"/>
    <w:rsid w:val="00DC549A"/>
    <w:rsid w:val="00DC5753"/>
    <w:rsid w:val="00DC57F7"/>
    <w:rsid w:val="00DC5AF1"/>
    <w:rsid w:val="00DD2D9A"/>
    <w:rsid w:val="00DD3F75"/>
    <w:rsid w:val="00DD42B0"/>
    <w:rsid w:val="00DD43F8"/>
    <w:rsid w:val="00DD4D79"/>
    <w:rsid w:val="00DD7A97"/>
    <w:rsid w:val="00DE2D88"/>
    <w:rsid w:val="00DE2E53"/>
    <w:rsid w:val="00DE5235"/>
    <w:rsid w:val="00DE6033"/>
    <w:rsid w:val="00DE6CA6"/>
    <w:rsid w:val="00DF173A"/>
    <w:rsid w:val="00DF27A4"/>
    <w:rsid w:val="00DF3269"/>
    <w:rsid w:val="00DF349F"/>
    <w:rsid w:val="00DF3895"/>
    <w:rsid w:val="00DF5092"/>
    <w:rsid w:val="00DF6249"/>
    <w:rsid w:val="00DF69B4"/>
    <w:rsid w:val="00E02F60"/>
    <w:rsid w:val="00E059E2"/>
    <w:rsid w:val="00E0673A"/>
    <w:rsid w:val="00E06AF3"/>
    <w:rsid w:val="00E076AB"/>
    <w:rsid w:val="00E1042A"/>
    <w:rsid w:val="00E10902"/>
    <w:rsid w:val="00E11B3B"/>
    <w:rsid w:val="00E12CD2"/>
    <w:rsid w:val="00E13F57"/>
    <w:rsid w:val="00E14B28"/>
    <w:rsid w:val="00E16C9A"/>
    <w:rsid w:val="00E17A52"/>
    <w:rsid w:val="00E20AEC"/>
    <w:rsid w:val="00E20F72"/>
    <w:rsid w:val="00E21882"/>
    <w:rsid w:val="00E21B0F"/>
    <w:rsid w:val="00E21B13"/>
    <w:rsid w:val="00E21B30"/>
    <w:rsid w:val="00E2224C"/>
    <w:rsid w:val="00E23DB0"/>
    <w:rsid w:val="00E24A82"/>
    <w:rsid w:val="00E255A5"/>
    <w:rsid w:val="00E27010"/>
    <w:rsid w:val="00E27F75"/>
    <w:rsid w:val="00E31E8D"/>
    <w:rsid w:val="00E40312"/>
    <w:rsid w:val="00E425FA"/>
    <w:rsid w:val="00E42AE2"/>
    <w:rsid w:val="00E430D3"/>
    <w:rsid w:val="00E434A5"/>
    <w:rsid w:val="00E4483E"/>
    <w:rsid w:val="00E45D1F"/>
    <w:rsid w:val="00E510DA"/>
    <w:rsid w:val="00E514B4"/>
    <w:rsid w:val="00E52BAC"/>
    <w:rsid w:val="00E531A8"/>
    <w:rsid w:val="00E5506E"/>
    <w:rsid w:val="00E55DE3"/>
    <w:rsid w:val="00E55E4A"/>
    <w:rsid w:val="00E56EDE"/>
    <w:rsid w:val="00E60CB7"/>
    <w:rsid w:val="00E6295B"/>
    <w:rsid w:val="00E62E59"/>
    <w:rsid w:val="00E6317A"/>
    <w:rsid w:val="00E63D28"/>
    <w:rsid w:val="00E65E1C"/>
    <w:rsid w:val="00E663AE"/>
    <w:rsid w:val="00E7190A"/>
    <w:rsid w:val="00E71EC9"/>
    <w:rsid w:val="00E72119"/>
    <w:rsid w:val="00E72A03"/>
    <w:rsid w:val="00E7418C"/>
    <w:rsid w:val="00E778EB"/>
    <w:rsid w:val="00E80B57"/>
    <w:rsid w:val="00E82A69"/>
    <w:rsid w:val="00E82AA8"/>
    <w:rsid w:val="00E82FDB"/>
    <w:rsid w:val="00E86EA4"/>
    <w:rsid w:val="00E86FD2"/>
    <w:rsid w:val="00E92EDF"/>
    <w:rsid w:val="00E93606"/>
    <w:rsid w:val="00EA2D4B"/>
    <w:rsid w:val="00EA2F6D"/>
    <w:rsid w:val="00EA35DE"/>
    <w:rsid w:val="00EA5443"/>
    <w:rsid w:val="00EA62FD"/>
    <w:rsid w:val="00EA694D"/>
    <w:rsid w:val="00EA6A30"/>
    <w:rsid w:val="00EA7752"/>
    <w:rsid w:val="00EB2AF3"/>
    <w:rsid w:val="00EB4643"/>
    <w:rsid w:val="00EB530E"/>
    <w:rsid w:val="00EB5FD3"/>
    <w:rsid w:val="00EB6382"/>
    <w:rsid w:val="00EB6874"/>
    <w:rsid w:val="00EC1194"/>
    <w:rsid w:val="00EC1A8F"/>
    <w:rsid w:val="00EC207E"/>
    <w:rsid w:val="00EC2BD7"/>
    <w:rsid w:val="00EC3871"/>
    <w:rsid w:val="00EC5BEE"/>
    <w:rsid w:val="00EC6634"/>
    <w:rsid w:val="00EC6749"/>
    <w:rsid w:val="00EC6D6B"/>
    <w:rsid w:val="00ED009C"/>
    <w:rsid w:val="00ED0241"/>
    <w:rsid w:val="00ED0311"/>
    <w:rsid w:val="00ED29B5"/>
    <w:rsid w:val="00ED43E6"/>
    <w:rsid w:val="00ED5979"/>
    <w:rsid w:val="00ED798F"/>
    <w:rsid w:val="00EE04A5"/>
    <w:rsid w:val="00EE1707"/>
    <w:rsid w:val="00EE216E"/>
    <w:rsid w:val="00EE2D1D"/>
    <w:rsid w:val="00EE3475"/>
    <w:rsid w:val="00EE4D9C"/>
    <w:rsid w:val="00EE5627"/>
    <w:rsid w:val="00EE6181"/>
    <w:rsid w:val="00EE755F"/>
    <w:rsid w:val="00EE7CB3"/>
    <w:rsid w:val="00EE7FA5"/>
    <w:rsid w:val="00EF2D1C"/>
    <w:rsid w:val="00EF5718"/>
    <w:rsid w:val="00EF5A39"/>
    <w:rsid w:val="00EF6913"/>
    <w:rsid w:val="00EF766A"/>
    <w:rsid w:val="00F00C28"/>
    <w:rsid w:val="00F047FE"/>
    <w:rsid w:val="00F04FBF"/>
    <w:rsid w:val="00F05662"/>
    <w:rsid w:val="00F066B3"/>
    <w:rsid w:val="00F069C0"/>
    <w:rsid w:val="00F101C0"/>
    <w:rsid w:val="00F108C2"/>
    <w:rsid w:val="00F11307"/>
    <w:rsid w:val="00F125C0"/>
    <w:rsid w:val="00F12A24"/>
    <w:rsid w:val="00F13102"/>
    <w:rsid w:val="00F1429C"/>
    <w:rsid w:val="00F14309"/>
    <w:rsid w:val="00F14F1C"/>
    <w:rsid w:val="00F17E35"/>
    <w:rsid w:val="00F20B85"/>
    <w:rsid w:val="00F214AF"/>
    <w:rsid w:val="00F22648"/>
    <w:rsid w:val="00F228A9"/>
    <w:rsid w:val="00F23EC0"/>
    <w:rsid w:val="00F31061"/>
    <w:rsid w:val="00F32707"/>
    <w:rsid w:val="00F32A0A"/>
    <w:rsid w:val="00F32EC2"/>
    <w:rsid w:val="00F35051"/>
    <w:rsid w:val="00F36891"/>
    <w:rsid w:val="00F37EDA"/>
    <w:rsid w:val="00F414FD"/>
    <w:rsid w:val="00F432F4"/>
    <w:rsid w:val="00F43F31"/>
    <w:rsid w:val="00F448B1"/>
    <w:rsid w:val="00F457B1"/>
    <w:rsid w:val="00F5134A"/>
    <w:rsid w:val="00F5229C"/>
    <w:rsid w:val="00F531EB"/>
    <w:rsid w:val="00F5479B"/>
    <w:rsid w:val="00F547B6"/>
    <w:rsid w:val="00F55EF5"/>
    <w:rsid w:val="00F56D21"/>
    <w:rsid w:val="00F616AA"/>
    <w:rsid w:val="00F621C0"/>
    <w:rsid w:val="00F632F5"/>
    <w:rsid w:val="00F64DC4"/>
    <w:rsid w:val="00F66049"/>
    <w:rsid w:val="00F6620C"/>
    <w:rsid w:val="00F675E0"/>
    <w:rsid w:val="00F67D1C"/>
    <w:rsid w:val="00F70E8B"/>
    <w:rsid w:val="00F719B7"/>
    <w:rsid w:val="00F71E07"/>
    <w:rsid w:val="00F7224D"/>
    <w:rsid w:val="00F724C1"/>
    <w:rsid w:val="00F743CD"/>
    <w:rsid w:val="00F748C2"/>
    <w:rsid w:val="00F80098"/>
    <w:rsid w:val="00F80171"/>
    <w:rsid w:val="00F83007"/>
    <w:rsid w:val="00F845E0"/>
    <w:rsid w:val="00F87330"/>
    <w:rsid w:val="00F879DA"/>
    <w:rsid w:val="00F90BF8"/>
    <w:rsid w:val="00F91786"/>
    <w:rsid w:val="00F93A55"/>
    <w:rsid w:val="00F9518F"/>
    <w:rsid w:val="00F961C8"/>
    <w:rsid w:val="00F96418"/>
    <w:rsid w:val="00FA527E"/>
    <w:rsid w:val="00FA6533"/>
    <w:rsid w:val="00FA6E43"/>
    <w:rsid w:val="00FB418B"/>
    <w:rsid w:val="00FB4CF2"/>
    <w:rsid w:val="00FB5D0E"/>
    <w:rsid w:val="00FB6ED0"/>
    <w:rsid w:val="00FB7877"/>
    <w:rsid w:val="00FC0B6B"/>
    <w:rsid w:val="00FC1742"/>
    <w:rsid w:val="00FC59AA"/>
    <w:rsid w:val="00FC7121"/>
    <w:rsid w:val="00FD0D1E"/>
    <w:rsid w:val="00FD0E38"/>
    <w:rsid w:val="00FD24B0"/>
    <w:rsid w:val="00FD2515"/>
    <w:rsid w:val="00FD36A9"/>
    <w:rsid w:val="00FD5838"/>
    <w:rsid w:val="00FD7397"/>
    <w:rsid w:val="00FE1100"/>
    <w:rsid w:val="00FE203E"/>
    <w:rsid w:val="00FE2299"/>
    <w:rsid w:val="00FE35C9"/>
    <w:rsid w:val="00FE3C8D"/>
    <w:rsid w:val="00FE4CF5"/>
    <w:rsid w:val="00FE59F9"/>
    <w:rsid w:val="00FE6D93"/>
    <w:rsid w:val="00FF0A9D"/>
    <w:rsid w:val="00FF112A"/>
    <w:rsid w:val="00FF16F8"/>
    <w:rsid w:val="00FF386B"/>
    <w:rsid w:val="00FF5C4A"/>
    <w:rsid w:val="00FF5F38"/>
    <w:rsid w:val="010B7A7E"/>
    <w:rsid w:val="01413E5F"/>
    <w:rsid w:val="01670890"/>
    <w:rsid w:val="01A93FA3"/>
    <w:rsid w:val="020C0D2B"/>
    <w:rsid w:val="024C0DD3"/>
    <w:rsid w:val="02783976"/>
    <w:rsid w:val="02B250DA"/>
    <w:rsid w:val="02C1356F"/>
    <w:rsid w:val="02D36977"/>
    <w:rsid w:val="02E828A9"/>
    <w:rsid w:val="03046B3F"/>
    <w:rsid w:val="033F3B43"/>
    <w:rsid w:val="0357108A"/>
    <w:rsid w:val="037E4FBC"/>
    <w:rsid w:val="03C03826"/>
    <w:rsid w:val="03C16301"/>
    <w:rsid w:val="03CF064F"/>
    <w:rsid w:val="03E72B61"/>
    <w:rsid w:val="04402271"/>
    <w:rsid w:val="04781A0B"/>
    <w:rsid w:val="04787DF0"/>
    <w:rsid w:val="050D2A9B"/>
    <w:rsid w:val="05500BDA"/>
    <w:rsid w:val="058F34B0"/>
    <w:rsid w:val="05C173E2"/>
    <w:rsid w:val="05C869C2"/>
    <w:rsid w:val="05D5413A"/>
    <w:rsid w:val="06091024"/>
    <w:rsid w:val="062A180A"/>
    <w:rsid w:val="06382281"/>
    <w:rsid w:val="06496F2A"/>
    <w:rsid w:val="06696D6A"/>
    <w:rsid w:val="068132A5"/>
    <w:rsid w:val="069B7B13"/>
    <w:rsid w:val="06F07F7E"/>
    <w:rsid w:val="071F0864"/>
    <w:rsid w:val="07222F56"/>
    <w:rsid w:val="078608E3"/>
    <w:rsid w:val="079E79DA"/>
    <w:rsid w:val="07B62F76"/>
    <w:rsid w:val="07D94CEA"/>
    <w:rsid w:val="08123F24"/>
    <w:rsid w:val="081E4FBF"/>
    <w:rsid w:val="0849203C"/>
    <w:rsid w:val="08A76D63"/>
    <w:rsid w:val="08AF1941"/>
    <w:rsid w:val="08CA0601"/>
    <w:rsid w:val="09045F63"/>
    <w:rsid w:val="09067F2D"/>
    <w:rsid w:val="09265ED9"/>
    <w:rsid w:val="09273A00"/>
    <w:rsid w:val="09500D0D"/>
    <w:rsid w:val="095011A8"/>
    <w:rsid w:val="09A6526C"/>
    <w:rsid w:val="09D722F5"/>
    <w:rsid w:val="09DB4F16"/>
    <w:rsid w:val="0A014251"/>
    <w:rsid w:val="0A042457"/>
    <w:rsid w:val="0A387A1D"/>
    <w:rsid w:val="0A40746F"/>
    <w:rsid w:val="0A9D666F"/>
    <w:rsid w:val="0AAF1EFF"/>
    <w:rsid w:val="0AB15C77"/>
    <w:rsid w:val="0AB319EF"/>
    <w:rsid w:val="0AB86BDB"/>
    <w:rsid w:val="0AF50259"/>
    <w:rsid w:val="0B81389B"/>
    <w:rsid w:val="0BAE0408"/>
    <w:rsid w:val="0C4D2117"/>
    <w:rsid w:val="0C8765F1"/>
    <w:rsid w:val="0C986CE3"/>
    <w:rsid w:val="0CC46135"/>
    <w:rsid w:val="0CCD674D"/>
    <w:rsid w:val="0D093B48"/>
    <w:rsid w:val="0D270472"/>
    <w:rsid w:val="0D350DE1"/>
    <w:rsid w:val="0D696DCC"/>
    <w:rsid w:val="0DC42165"/>
    <w:rsid w:val="0DD203DE"/>
    <w:rsid w:val="0DEE2D3E"/>
    <w:rsid w:val="0E1108FE"/>
    <w:rsid w:val="0E462B7A"/>
    <w:rsid w:val="0EC31B94"/>
    <w:rsid w:val="0EE02A09"/>
    <w:rsid w:val="0F096081"/>
    <w:rsid w:val="0F264E85"/>
    <w:rsid w:val="0F446530"/>
    <w:rsid w:val="0F851480"/>
    <w:rsid w:val="0F8B4CE8"/>
    <w:rsid w:val="0F9A317D"/>
    <w:rsid w:val="0FA062BA"/>
    <w:rsid w:val="0FC401FA"/>
    <w:rsid w:val="0FC93A62"/>
    <w:rsid w:val="0FD3668F"/>
    <w:rsid w:val="102F3AF2"/>
    <w:rsid w:val="10B1241D"/>
    <w:rsid w:val="10BB784F"/>
    <w:rsid w:val="11046F1F"/>
    <w:rsid w:val="113373E5"/>
    <w:rsid w:val="114E2471"/>
    <w:rsid w:val="11551A52"/>
    <w:rsid w:val="11585398"/>
    <w:rsid w:val="115F642C"/>
    <w:rsid w:val="11BA4C07"/>
    <w:rsid w:val="11C24C0D"/>
    <w:rsid w:val="11F808F6"/>
    <w:rsid w:val="12103BCB"/>
    <w:rsid w:val="1212349F"/>
    <w:rsid w:val="123131A0"/>
    <w:rsid w:val="12331667"/>
    <w:rsid w:val="124E6F34"/>
    <w:rsid w:val="12696E37"/>
    <w:rsid w:val="12802419"/>
    <w:rsid w:val="12F232D0"/>
    <w:rsid w:val="13394A5B"/>
    <w:rsid w:val="136C4E31"/>
    <w:rsid w:val="13C54541"/>
    <w:rsid w:val="13E23345"/>
    <w:rsid w:val="14127B56"/>
    <w:rsid w:val="141D665F"/>
    <w:rsid w:val="142E0338"/>
    <w:rsid w:val="14A979BF"/>
    <w:rsid w:val="14C62CDA"/>
    <w:rsid w:val="152754B3"/>
    <w:rsid w:val="154020D1"/>
    <w:rsid w:val="15836008"/>
    <w:rsid w:val="1594066F"/>
    <w:rsid w:val="15EE7D7F"/>
    <w:rsid w:val="15F31839"/>
    <w:rsid w:val="17471E3D"/>
    <w:rsid w:val="17F378CF"/>
    <w:rsid w:val="17FA3462"/>
    <w:rsid w:val="183028D1"/>
    <w:rsid w:val="183275CF"/>
    <w:rsid w:val="18A706B9"/>
    <w:rsid w:val="18BC4164"/>
    <w:rsid w:val="18C354F3"/>
    <w:rsid w:val="191A70DD"/>
    <w:rsid w:val="19377C8F"/>
    <w:rsid w:val="19500722"/>
    <w:rsid w:val="19FE07AD"/>
    <w:rsid w:val="1A6F650A"/>
    <w:rsid w:val="1A732F49"/>
    <w:rsid w:val="1A7C1CC2"/>
    <w:rsid w:val="1A8E7D82"/>
    <w:rsid w:val="1A930EF5"/>
    <w:rsid w:val="1AAC0209"/>
    <w:rsid w:val="1ADA763F"/>
    <w:rsid w:val="1B155DAE"/>
    <w:rsid w:val="1B79633D"/>
    <w:rsid w:val="1B7C407F"/>
    <w:rsid w:val="1B8151F1"/>
    <w:rsid w:val="1B851185"/>
    <w:rsid w:val="1BB93055"/>
    <w:rsid w:val="1BF46BD7"/>
    <w:rsid w:val="1C8A1E6E"/>
    <w:rsid w:val="1C9F6277"/>
    <w:rsid w:val="1CAA0778"/>
    <w:rsid w:val="1CB735C0"/>
    <w:rsid w:val="1CBB4733"/>
    <w:rsid w:val="1CE4012E"/>
    <w:rsid w:val="1CFC6760"/>
    <w:rsid w:val="1D115B34"/>
    <w:rsid w:val="1D210A3A"/>
    <w:rsid w:val="1D230C56"/>
    <w:rsid w:val="1D324F63"/>
    <w:rsid w:val="1D85546D"/>
    <w:rsid w:val="1DA022A7"/>
    <w:rsid w:val="1DBA49EB"/>
    <w:rsid w:val="1DD45AAC"/>
    <w:rsid w:val="1E242829"/>
    <w:rsid w:val="1E8E65A3"/>
    <w:rsid w:val="1ED96ECC"/>
    <w:rsid w:val="1EED5E8C"/>
    <w:rsid w:val="1EFA3D39"/>
    <w:rsid w:val="1F026649"/>
    <w:rsid w:val="1F070103"/>
    <w:rsid w:val="1F0E4FEE"/>
    <w:rsid w:val="200054D9"/>
    <w:rsid w:val="201347C7"/>
    <w:rsid w:val="20174376"/>
    <w:rsid w:val="20AB1432"/>
    <w:rsid w:val="20D66A29"/>
    <w:rsid w:val="20EA3C12"/>
    <w:rsid w:val="20FF5536"/>
    <w:rsid w:val="212059C9"/>
    <w:rsid w:val="21570ECE"/>
    <w:rsid w:val="215C4736"/>
    <w:rsid w:val="218A7731"/>
    <w:rsid w:val="22BD7426"/>
    <w:rsid w:val="22F8048F"/>
    <w:rsid w:val="231B5F2B"/>
    <w:rsid w:val="23350CBF"/>
    <w:rsid w:val="235C6C70"/>
    <w:rsid w:val="23641B43"/>
    <w:rsid w:val="23711FEF"/>
    <w:rsid w:val="23DA1943"/>
    <w:rsid w:val="23E7405F"/>
    <w:rsid w:val="23F5677C"/>
    <w:rsid w:val="23FF13A9"/>
    <w:rsid w:val="242A0B1C"/>
    <w:rsid w:val="245E4ADE"/>
    <w:rsid w:val="249146F7"/>
    <w:rsid w:val="24CC0ED1"/>
    <w:rsid w:val="250749B9"/>
    <w:rsid w:val="25387269"/>
    <w:rsid w:val="254C2D14"/>
    <w:rsid w:val="25945A4F"/>
    <w:rsid w:val="25B70E57"/>
    <w:rsid w:val="25BA096E"/>
    <w:rsid w:val="25E116AE"/>
    <w:rsid w:val="2610479C"/>
    <w:rsid w:val="26190E48"/>
    <w:rsid w:val="2624159B"/>
    <w:rsid w:val="26357304"/>
    <w:rsid w:val="26DB434F"/>
    <w:rsid w:val="27391076"/>
    <w:rsid w:val="27676EFF"/>
    <w:rsid w:val="27C43035"/>
    <w:rsid w:val="286B1703"/>
    <w:rsid w:val="28732366"/>
    <w:rsid w:val="288307FB"/>
    <w:rsid w:val="289D5565"/>
    <w:rsid w:val="290A0F1C"/>
    <w:rsid w:val="290C7C64"/>
    <w:rsid w:val="294E0E09"/>
    <w:rsid w:val="295D54F0"/>
    <w:rsid w:val="299439E3"/>
    <w:rsid w:val="2A3A138D"/>
    <w:rsid w:val="2A3A4796"/>
    <w:rsid w:val="2A5F1697"/>
    <w:rsid w:val="2A6308E4"/>
    <w:rsid w:val="2A6D3510"/>
    <w:rsid w:val="2AA603D5"/>
    <w:rsid w:val="2B22254D"/>
    <w:rsid w:val="2B560448"/>
    <w:rsid w:val="2BBF5FEE"/>
    <w:rsid w:val="2BC74EA2"/>
    <w:rsid w:val="2BD001FB"/>
    <w:rsid w:val="2BE315B0"/>
    <w:rsid w:val="2BEA293F"/>
    <w:rsid w:val="2BFE3CB2"/>
    <w:rsid w:val="2CAD4098"/>
    <w:rsid w:val="2CB92557"/>
    <w:rsid w:val="2CD7257D"/>
    <w:rsid w:val="2CDF7FCA"/>
    <w:rsid w:val="2D0363AE"/>
    <w:rsid w:val="2D7050C6"/>
    <w:rsid w:val="2D7626DC"/>
    <w:rsid w:val="2D7B23E8"/>
    <w:rsid w:val="2DB94CBF"/>
    <w:rsid w:val="2E664238"/>
    <w:rsid w:val="2EBA6F40"/>
    <w:rsid w:val="2EC641C3"/>
    <w:rsid w:val="2ED26038"/>
    <w:rsid w:val="2EE9507A"/>
    <w:rsid w:val="2F012479"/>
    <w:rsid w:val="2F285C58"/>
    <w:rsid w:val="2F5A3265"/>
    <w:rsid w:val="2F9432ED"/>
    <w:rsid w:val="2FAB01AF"/>
    <w:rsid w:val="30CB0128"/>
    <w:rsid w:val="31CC3212"/>
    <w:rsid w:val="31CE2C88"/>
    <w:rsid w:val="31D125D7"/>
    <w:rsid w:val="31E00A6C"/>
    <w:rsid w:val="31FD176B"/>
    <w:rsid w:val="321921D0"/>
    <w:rsid w:val="32492F37"/>
    <w:rsid w:val="32FA790B"/>
    <w:rsid w:val="33135CF7"/>
    <w:rsid w:val="339C6C14"/>
    <w:rsid w:val="339E4556"/>
    <w:rsid w:val="33CD68EB"/>
    <w:rsid w:val="33DE547F"/>
    <w:rsid w:val="33F702EF"/>
    <w:rsid w:val="340842AA"/>
    <w:rsid w:val="34164C19"/>
    <w:rsid w:val="34545741"/>
    <w:rsid w:val="34594B05"/>
    <w:rsid w:val="346C4839"/>
    <w:rsid w:val="3491354B"/>
    <w:rsid w:val="34980849"/>
    <w:rsid w:val="34D4418C"/>
    <w:rsid w:val="34F52A80"/>
    <w:rsid w:val="352549E8"/>
    <w:rsid w:val="3529097C"/>
    <w:rsid w:val="353D0997"/>
    <w:rsid w:val="35910C57"/>
    <w:rsid w:val="359202CF"/>
    <w:rsid w:val="35C73E4F"/>
    <w:rsid w:val="35E25C63"/>
    <w:rsid w:val="35FC7E3E"/>
    <w:rsid w:val="36902C9A"/>
    <w:rsid w:val="36A4475E"/>
    <w:rsid w:val="36C941C4"/>
    <w:rsid w:val="36E7464B"/>
    <w:rsid w:val="36E92171"/>
    <w:rsid w:val="37076A9B"/>
    <w:rsid w:val="371B6F99"/>
    <w:rsid w:val="3733163E"/>
    <w:rsid w:val="375F68D7"/>
    <w:rsid w:val="37920A5A"/>
    <w:rsid w:val="37B26A07"/>
    <w:rsid w:val="37B74CBE"/>
    <w:rsid w:val="37E93A2C"/>
    <w:rsid w:val="385A3725"/>
    <w:rsid w:val="38740160"/>
    <w:rsid w:val="38C509BB"/>
    <w:rsid w:val="38D806EF"/>
    <w:rsid w:val="3945176F"/>
    <w:rsid w:val="39467462"/>
    <w:rsid w:val="39523F96"/>
    <w:rsid w:val="39BD78E5"/>
    <w:rsid w:val="39D67536"/>
    <w:rsid w:val="39EE580C"/>
    <w:rsid w:val="3A055E7A"/>
    <w:rsid w:val="3A1439A9"/>
    <w:rsid w:val="3A766411"/>
    <w:rsid w:val="3AAD7959"/>
    <w:rsid w:val="3ACD6B9B"/>
    <w:rsid w:val="3B1241A7"/>
    <w:rsid w:val="3B183024"/>
    <w:rsid w:val="3B4C2CCE"/>
    <w:rsid w:val="3B922D1B"/>
    <w:rsid w:val="3BCB0097"/>
    <w:rsid w:val="3BE41159"/>
    <w:rsid w:val="3C062F86"/>
    <w:rsid w:val="3C2B4FD9"/>
    <w:rsid w:val="3C3B1A64"/>
    <w:rsid w:val="3C5A10FB"/>
    <w:rsid w:val="3C8F37BA"/>
    <w:rsid w:val="3CB21257"/>
    <w:rsid w:val="3CDE6FFD"/>
    <w:rsid w:val="3D3954D4"/>
    <w:rsid w:val="3D3C6AA2"/>
    <w:rsid w:val="3D4D1D0F"/>
    <w:rsid w:val="3D89020A"/>
    <w:rsid w:val="3D9A1050"/>
    <w:rsid w:val="3D9C61B2"/>
    <w:rsid w:val="3DD35929"/>
    <w:rsid w:val="3E07564E"/>
    <w:rsid w:val="3E293140"/>
    <w:rsid w:val="3E4A5AAE"/>
    <w:rsid w:val="3E726EF0"/>
    <w:rsid w:val="3E861490"/>
    <w:rsid w:val="3EBE3EE3"/>
    <w:rsid w:val="3ED656D0"/>
    <w:rsid w:val="3F286E52"/>
    <w:rsid w:val="3F746048"/>
    <w:rsid w:val="3FC1012F"/>
    <w:rsid w:val="400963C3"/>
    <w:rsid w:val="40170D7B"/>
    <w:rsid w:val="407D1B7C"/>
    <w:rsid w:val="408362AC"/>
    <w:rsid w:val="40BB6E5F"/>
    <w:rsid w:val="40BC4452"/>
    <w:rsid w:val="40BE01CA"/>
    <w:rsid w:val="40E125D1"/>
    <w:rsid w:val="41281186"/>
    <w:rsid w:val="41B30B90"/>
    <w:rsid w:val="41C15A00"/>
    <w:rsid w:val="41CE7111"/>
    <w:rsid w:val="42162288"/>
    <w:rsid w:val="42663BF6"/>
    <w:rsid w:val="4269685C"/>
    <w:rsid w:val="428B0580"/>
    <w:rsid w:val="42DA1507"/>
    <w:rsid w:val="43101489"/>
    <w:rsid w:val="43911BC6"/>
    <w:rsid w:val="43A40C40"/>
    <w:rsid w:val="43DB5537"/>
    <w:rsid w:val="43F81C45"/>
    <w:rsid w:val="43FB078D"/>
    <w:rsid w:val="44004F9E"/>
    <w:rsid w:val="443D429E"/>
    <w:rsid w:val="44477C42"/>
    <w:rsid w:val="449677CE"/>
    <w:rsid w:val="44992D4E"/>
    <w:rsid w:val="449F0313"/>
    <w:rsid w:val="44D02BC2"/>
    <w:rsid w:val="44E421C9"/>
    <w:rsid w:val="44EB17AA"/>
    <w:rsid w:val="45006C2A"/>
    <w:rsid w:val="4554734F"/>
    <w:rsid w:val="45C23BE7"/>
    <w:rsid w:val="45DF3ED2"/>
    <w:rsid w:val="45F44220"/>
    <w:rsid w:val="460A773D"/>
    <w:rsid w:val="468123C6"/>
    <w:rsid w:val="46E3460F"/>
    <w:rsid w:val="4732546E"/>
    <w:rsid w:val="477B0C21"/>
    <w:rsid w:val="47BC742D"/>
    <w:rsid w:val="47D76624"/>
    <w:rsid w:val="4820176A"/>
    <w:rsid w:val="483A74D0"/>
    <w:rsid w:val="486024AF"/>
    <w:rsid w:val="487766D5"/>
    <w:rsid w:val="4921579A"/>
    <w:rsid w:val="493C0826"/>
    <w:rsid w:val="4953791E"/>
    <w:rsid w:val="4961028C"/>
    <w:rsid w:val="49867CEE"/>
    <w:rsid w:val="49A62143"/>
    <w:rsid w:val="49AF724A"/>
    <w:rsid w:val="49FC5DE1"/>
    <w:rsid w:val="4A162E25"/>
    <w:rsid w:val="4A886E67"/>
    <w:rsid w:val="4ADB5E1D"/>
    <w:rsid w:val="4AEF0CFA"/>
    <w:rsid w:val="4B063690"/>
    <w:rsid w:val="4B1E0C59"/>
    <w:rsid w:val="4B8A49BA"/>
    <w:rsid w:val="4BA779C0"/>
    <w:rsid w:val="4BD864AD"/>
    <w:rsid w:val="4BE96F96"/>
    <w:rsid w:val="4BEF1D31"/>
    <w:rsid w:val="4CB86415"/>
    <w:rsid w:val="4CEA67EB"/>
    <w:rsid w:val="4D146AC9"/>
    <w:rsid w:val="4D1D271C"/>
    <w:rsid w:val="4D4C3002"/>
    <w:rsid w:val="4E0D2791"/>
    <w:rsid w:val="4E300CA5"/>
    <w:rsid w:val="4E824270"/>
    <w:rsid w:val="4E8D616E"/>
    <w:rsid w:val="4E9642FC"/>
    <w:rsid w:val="4EAA4484"/>
    <w:rsid w:val="4EEF00E8"/>
    <w:rsid w:val="4F011818"/>
    <w:rsid w:val="4F173BC1"/>
    <w:rsid w:val="4F343D4D"/>
    <w:rsid w:val="4F532EB7"/>
    <w:rsid w:val="4F6E725F"/>
    <w:rsid w:val="4F8C5937"/>
    <w:rsid w:val="4F9E3A79"/>
    <w:rsid w:val="4FF43C08"/>
    <w:rsid w:val="5003209D"/>
    <w:rsid w:val="501C6CBB"/>
    <w:rsid w:val="501E6ED7"/>
    <w:rsid w:val="5038161B"/>
    <w:rsid w:val="50964CC0"/>
    <w:rsid w:val="51087240"/>
    <w:rsid w:val="514D7178"/>
    <w:rsid w:val="515B1A65"/>
    <w:rsid w:val="51C93A7A"/>
    <w:rsid w:val="5229133D"/>
    <w:rsid w:val="524D13AE"/>
    <w:rsid w:val="528F7C18"/>
    <w:rsid w:val="529E1C09"/>
    <w:rsid w:val="52A56B53"/>
    <w:rsid w:val="532760A3"/>
    <w:rsid w:val="535778E6"/>
    <w:rsid w:val="542032D5"/>
    <w:rsid w:val="54556C40"/>
    <w:rsid w:val="546926EB"/>
    <w:rsid w:val="548E5CAE"/>
    <w:rsid w:val="54DE09E3"/>
    <w:rsid w:val="54EB3100"/>
    <w:rsid w:val="55312A99"/>
    <w:rsid w:val="55356DB3"/>
    <w:rsid w:val="55C44D6A"/>
    <w:rsid w:val="55C67DF5"/>
    <w:rsid w:val="55EF3456"/>
    <w:rsid w:val="55F0785B"/>
    <w:rsid w:val="56633896"/>
    <w:rsid w:val="567A298E"/>
    <w:rsid w:val="568D0913"/>
    <w:rsid w:val="56962CA5"/>
    <w:rsid w:val="56AF6944"/>
    <w:rsid w:val="56BA0FDC"/>
    <w:rsid w:val="56CF6350"/>
    <w:rsid w:val="56DF3FE6"/>
    <w:rsid w:val="573E39BB"/>
    <w:rsid w:val="57641B39"/>
    <w:rsid w:val="57776ECD"/>
    <w:rsid w:val="581C3FF6"/>
    <w:rsid w:val="584C035A"/>
    <w:rsid w:val="58584F50"/>
    <w:rsid w:val="585D2567"/>
    <w:rsid w:val="587C29ED"/>
    <w:rsid w:val="58A52913"/>
    <w:rsid w:val="58B33F35"/>
    <w:rsid w:val="58C37A86"/>
    <w:rsid w:val="58DD0FB2"/>
    <w:rsid w:val="58F74BB6"/>
    <w:rsid w:val="594010E6"/>
    <w:rsid w:val="594F0101"/>
    <w:rsid w:val="59527BF2"/>
    <w:rsid w:val="59AA17DC"/>
    <w:rsid w:val="59C15707"/>
    <w:rsid w:val="5A5A0B0C"/>
    <w:rsid w:val="5A601E9A"/>
    <w:rsid w:val="5A7140A7"/>
    <w:rsid w:val="5ACB7C5C"/>
    <w:rsid w:val="5ACE5056"/>
    <w:rsid w:val="5B0D3DD0"/>
    <w:rsid w:val="5B192F60"/>
    <w:rsid w:val="5B266C40"/>
    <w:rsid w:val="5B6854AA"/>
    <w:rsid w:val="5B6D0D13"/>
    <w:rsid w:val="5BCD17B1"/>
    <w:rsid w:val="5C146454"/>
    <w:rsid w:val="5C355D8F"/>
    <w:rsid w:val="5C504241"/>
    <w:rsid w:val="5CBD35D4"/>
    <w:rsid w:val="5D052FE7"/>
    <w:rsid w:val="5D083376"/>
    <w:rsid w:val="5D6F2B20"/>
    <w:rsid w:val="5D782E5F"/>
    <w:rsid w:val="5E191C3C"/>
    <w:rsid w:val="5E1B6804"/>
    <w:rsid w:val="5E2356B9"/>
    <w:rsid w:val="5E2E30C2"/>
    <w:rsid w:val="5E345B18"/>
    <w:rsid w:val="5E423D52"/>
    <w:rsid w:val="5E7E5864"/>
    <w:rsid w:val="5E9B6061"/>
    <w:rsid w:val="5EB01642"/>
    <w:rsid w:val="5EB35541"/>
    <w:rsid w:val="5EDA0DEF"/>
    <w:rsid w:val="5EF84D97"/>
    <w:rsid w:val="5EFF7ED4"/>
    <w:rsid w:val="5F227236"/>
    <w:rsid w:val="5FB9506D"/>
    <w:rsid w:val="5FBA054B"/>
    <w:rsid w:val="5FC353A5"/>
    <w:rsid w:val="5FF4555F"/>
    <w:rsid w:val="601C4AB5"/>
    <w:rsid w:val="60307BCC"/>
    <w:rsid w:val="60583D40"/>
    <w:rsid w:val="6094289E"/>
    <w:rsid w:val="60BA3C96"/>
    <w:rsid w:val="60D55390"/>
    <w:rsid w:val="60E3072E"/>
    <w:rsid w:val="60E74197"/>
    <w:rsid w:val="60E90E3C"/>
    <w:rsid w:val="61161505"/>
    <w:rsid w:val="6149677E"/>
    <w:rsid w:val="617C580C"/>
    <w:rsid w:val="61834DEC"/>
    <w:rsid w:val="61AE798F"/>
    <w:rsid w:val="61E57855"/>
    <w:rsid w:val="62175534"/>
    <w:rsid w:val="62285994"/>
    <w:rsid w:val="626F711E"/>
    <w:rsid w:val="627F0749"/>
    <w:rsid w:val="62932C56"/>
    <w:rsid w:val="629A613A"/>
    <w:rsid w:val="633610F0"/>
    <w:rsid w:val="637D1E83"/>
    <w:rsid w:val="63894210"/>
    <w:rsid w:val="6397511C"/>
    <w:rsid w:val="63FC0E86"/>
    <w:rsid w:val="6440665D"/>
    <w:rsid w:val="64947310"/>
    <w:rsid w:val="649A22F2"/>
    <w:rsid w:val="6518584B"/>
    <w:rsid w:val="652C7549"/>
    <w:rsid w:val="65530F79"/>
    <w:rsid w:val="655705CF"/>
    <w:rsid w:val="65597949"/>
    <w:rsid w:val="658073C3"/>
    <w:rsid w:val="65B732B6"/>
    <w:rsid w:val="6603787C"/>
    <w:rsid w:val="66095CCD"/>
    <w:rsid w:val="66245845"/>
    <w:rsid w:val="663C37BC"/>
    <w:rsid w:val="66586F89"/>
    <w:rsid w:val="66925AD1"/>
    <w:rsid w:val="66A355E9"/>
    <w:rsid w:val="67696832"/>
    <w:rsid w:val="67AD3AB8"/>
    <w:rsid w:val="67BD6B7E"/>
    <w:rsid w:val="67CE2B39"/>
    <w:rsid w:val="67CF75E2"/>
    <w:rsid w:val="67FB1A94"/>
    <w:rsid w:val="680D5952"/>
    <w:rsid w:val="682D7860"/>
    <w:rsid w:val="6865349E"/>
    <w:rsid w:val="68C048DA"/>
    <w:rsid w:val="68C87588"/>
    <w:rsid w:val="68E741AD"/>
    <w:rsid w:val="68F91E38"/>
    <w:rsid w:val="692E3003"/>
    <w:rsid w:val="699456BD"/>
    <w:rsid w:val="69A022B3"/>
    <w:rsid w:val="69F30635"/>
    <w:rsid w:val="6A6652AB"/>
    <w:rsid w:val="6A934BEB"/>
    <w:rsid w:val="6ABB6978"/>
    <w:rsid w:val="6ACA583A"/>
    <w:rsid w:val="6AEF7CBB"/>
    <w:rsid w:val="6B3074BD"/>
    <w:rsid w:val="6B96571C"/>
    <w:rsid w:val="6BD83F86"/>
    <w:rsid w:val="6C692E30"/>
    <w:rsid w:val="6C6B0957"/>
    <w:rsid w:val="6D1E27A6"/>
    <w:rsid w:val="6D602485"/>
    <w:rsid w:val="6D655433"/>
    <w:rsid w:val="6E080427"/>
    <w:rsid w:val="6E3000AA"/>
    <w:rsid w:val="6E7D2BC3"/>
    <w:rsid w:val="6EC6456A"/>
    <w:rsid w:val="6EE330F7"/>
    <w:rsid w:val="6F330183"/>
    <w:rsid w:val="6F4D07E7"/>
    <w:rsid w:val="6F532600"/>
    <w:rsid w:val="6F5E47A3"/>
    <w:rsid w:val="700417EE"/>
    <w:rsid w:val="700C41FF"/>
    <w:rsid w:val="70147C08"/>
    <w:rsid w:val="703A0047"/>
    <w:rsid w:val="704C7C5C"/>
    <w:rsid w:val="705852A5"/>
    <w:rsid w:val="708757BE"/>
    <w:rsid w:val="70A908E9"/>
    <w:rsid w:val="70C64099"/>
    <w:rsid w:val="70DC62C7"/>
    <w:rsid w:val="70FD7FEB"/>
    <w:rsid w:val="71081111"/>
    <w:rsid w:val="71D76141"/>
    <w:rsid w:val="72281098"/>
    <w:rsid w:val="722D2E7F"/>
    <w:rsid w:val="72D94755"/>
    <w:rsid w:val="732F60F0"/>
    <w:rsid w:val="73972979"/>
    <w:rsid w:val="73A62BBC"/>
    <w:rsid w:val="73D716E5"/>
    <w:rsid w:val="73E95BA7"/>
    <w:rsid w:val="74181224"/>
    <w:rsid w:val="744C5512"/>
    <w:rsid w:val="74AF5AA0"/>
    <w:rsid w:val="75296EEB"/>
    <w:rsid w:val="7530098F"/>
    <w:rsid w:val="75677671"/>
    <w:rsid w:val="75915EA6"/>
    <w:rsid w:val="75BF3AC1"/>
    <w:rsid w:val="75ED062E"/>
    <w:rsid w:val="75F25C45"/>
    <w:rsid w:val="75FC4D15"/>
    <w:rsid w:val="763D365E"/>
    <w:rsid w:val="77004391"/>
    <w:rsid w:val="77534E09"/>
    <w:rsid w:val="77882D05"/>
    <w:rsid w:val="77903967"/>
    <w:rsid w:val="779C230C"/>
    <w:rsid w:val="78BC481D"/>
    <w:rsid w:val="78F65A4C"/>
    <w:rsid w:val="78F9378E"/>
    <w:rsid w:val="79225E8A"/>
    <w:rsid w:val="79450781"/>
    <w:rsid w:val="79492020"/>
    <w:rsid w:val="795B4750"/>
    <w:rsid w:val="79764DDF"/>
    <w:rsid w:val="7A08012D"/>
    <w:rsid w:val="7A574C10"/>
    <w:rsid w:val="7AE57511"/>
    <w:rsid w:val="7AF4245F"/>
    <w:rsid w:val="7B2F5245"/>
    <w:rsid w:val="7BB06EA1"/>
    <w:rsid w:val="7BC71922"/>
    <w:rsid w:val="7BFE3E9A"/>
    <w:rsid w:val="7C06305E"/>
    <w:rsid w:val="7C5807CC"/>
    <w:rsid w:val="7C812685"/>
    <w:rsid w:val="7C945CA8"/>
    <w:rsid w:val="7CB023B6"/>
    <w:rsid w:val="7CFB1557"/>
    <w:rsid w:val="7D060228"/>
    <w:rsid w:val="7D723828"/>
    <w:rsid w:val="7DB52379"/>
    <w:rsid w:val="7DED1B13"/>
    <w:rsid w:val="7F547970"/>
    <w:rsid w:val="7F730F83"/>
    <w:rsid w:val="7F7A1232"/>
    <w:rsid w:val="7F89672E"/>
    <w:rsid w:val="7F8A0764"/>
    <w:rsid w:val="7FCB5E84"/>
    <w:rsid w:val="7FE707E4"/>
    <w:rsid w:val="7FEF0AAD"/>
    <w:rsid w:val="7FF41395"/>
  </w:rsids>
  <w:docVars>
    <w:docVar w:name="commondata" w:val="eyJoZGlkIjoiNzgyYjI0MGRkMmY4NDE0YjgxYzdjMzBiNDQ0OTk1MmM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semiHidden="0" w:uiPriority="0" w:unhideWhenUsed="0"/>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22" w:unhideWhenUsed="0" w:qFormat="1"/>
    <w:lsdException w:name="Emphasis" w:semiHidden="0" w:uiPriority="2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qFormat="1"/>
    <w:lsdException w:name="Table Grid" w:semiHidden="0" w:uiPriority="0" w:unhideWhenUsed="0" w:qFormat="1"/>
    <w:lsdException w:name="Table Theme" w:uiPriority="0"/>
    <w:lsdException w:name="Placeholder Text"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keepLines/>
      <w:spacing w:line="578" w:lineRule="auto"/>
      <w:jc w:val="left"/>
      <w:outlineLvl w:val="0"/>
    </w:pPr>
    <w:rPr>
      <w:rFonts w:eastAsia="黑体"/>
      <w:bCs/>
      <w:kern w:val="44"/>
      <w:szCs w:val="44"/>
    </w:rPr>
  </w:style>
  <w:style w:type="paragraph" w:styleId="Heading2">
    <w:name w:val="heading 2"/>
    <w:basedOn w:val="Normal"/>
    <w:next w:val="Normal"/>
    <w:autoRedefine/>
    <w:qFormat/>
    <w:pPr>
      <w:keepNext/>
      <w:keepLines/>
      <w:spacing w:line="360" w:lineRule="auto"/>
      <w:outlineLvl w:val="1"/>
    </w:pPr>
    <w:rPr>
      <w:rFonts w:ascii="黑体" w:eastAsia="黑体" w:hAnsi="Arial"/>
      <w:bCs/>
      <w:szCs w:val="32"/>
    </w:rPr>
  </w:style>
  <w:style w:type="paragraph" w:styleId="Heading3">
    <w:name w:val="heading 3"/>
    <w:basedOn w:val="Normal"/>
    <w:next w:val="Normal"/>
    <w:autoRedefine/>
    <w:qFormat/>
    <w:pPr>
      <w:keepNext/>
      <w:keepLines/>
      <w:spacing w:before="260" w:after="260" w:line="413" w:lineRule="auto"/>
      <w:outlineLvl w:val="2"/>
    </w:pPr>
    <w:rPr>
      <w:b/>
      <w:sz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Normal"/>
    <w:next w:val="Normal"/>
    <w:uiPriority w:val="39"/>
    <w:unhideWhenUsed/>
    <w:qFormat/>
    <w:pPr>
      <w:ind w:left="2520" w:leftChars="1200"/>
    </w:pPr>
    <w:rPr>
      <w:rFonts w:ascii="Calibri" w:hAnsi="Calibri"/>
      <w:szCs w:val="22"/>
    </w:rPr>
  </w:style>
  <w:style w:type="paragraph" w:styleId="CommentText">
    <w:name w:val="annotation text"/>
    <w:basedOn w:val="Normal"/>
    <w:autoRedefine/>
    <w:semiHidden/>
    <w:qFormat/>
    <w:pPr>
      <w:jc w:val="left"/>
    </w:pPr>
  </w:style>
  <w:style w:type="paragraph" w:styleId="BodyTextIndent">
    <w:name w:val="Body Text Indent"/>
    <w:basedOn w:val="Normal"/>
    <w:link w:val="Char"/>
    <w:autoRedefine/>
    <w:qFormat/>
    <w:pPr>
      <w:ind w:firstLine="540"/>
    </w:pPr>
    <w:rPr>
      <w:rFonts w:ascii="宋体" w:hAnsi="宋体"/>
      <w:szCs w:val="20"/>
    </w:rPr>
  </w:style>
  <w:style w:type="paragraph" w:styleId="TOC5">
    <w:name w:val="toc 5"/>
    <w:basedOn w:val="Normal"/>
    <w:next w:val="Normal"/>
    <w:autoRedefine/>
    <w:uiPriority w:val="39"/>
    <w:unhideWhenUsed/>
    <w:qFormat/>
    <w:pPr>
      <w:ind w:left="1680" w:leftChars="800"/>
    </w:pPr>
    <w:rPr>
      <w:rFonts w:ascii="Calibri" w:hAnsi="Calibri"/>
      <w:szCs w:val="22"/>
    </w:rPr>
  </w:style>
  <w:style w:type="paragraph" w:styleId="TOC3">
    <w:name w:val="toc 3"/>
    <w:basedOn w:val="Normal"/>
    <w:next w:val="Normal"/>
    <w:autoRedefine/>
    <w:uiPriority w:val="39"/>
    <w:unhideWhenUsed/>
    <w:qFormat/>
    <w:pPr>
      <w:ind w:left="840" w:leftChars="400"/>
    </w:pPr>
    <w:rPr>
      <w:rFonts w:ascii="Calibri" w:hAnsi="Calibri"/>
      <w:szCs w:val="22"/>
    </w:rPr>
  </w:style>
  <w:style w:type="paragraph" w:styleId="TOC8">
    <w:name w:val="toc 8"/>
    <w:basedOn w:val="Normal"/>
    <w:next w:val="Normal"/>
    <w:autoRedefine/>
    <w:uiPriority w:val="39"/>
    <w:unhideWhenUsed/>
    <w:qFormat/>
    <w:pPr>
      <w:ind w:left="2940" w:leftChars="1400"/>
    </w:pPr>
    <w:rPr>
      <w:rFonts w:ascii="Calibri" w:hAnsi="Calibri"/>
      <w:szCs w:val="22"/>
    </w:rPr>
  </w:style>
  <w:style w:type="paragraph" w:styleId="Date">
    <w:name w:val="Date"/>
    <w:basedOn w:val="Normal"/>
    <w:next w:val="Normal"/>
    <w:autoRedefine/>
    <w:qFormat/>
    <w:pPr>
      <w:ind w:left="100" w:leftChars="2500"/>
    </w:pPr>
    <w:rPr>
      <w:sz w:val="28"/>
      <w:szCs w:val="20"/>
    </w:rPr>
  </w:style>
  <w:style w:type="paragraph" w:styleId="BodyTextIndent2">
    <w:name w:val="Body Text Indent 2"/>
    <w:basedOn w:val="Normal"/>
    <w:link w:val="2Char"/>
    <w:autoRedefine/>
    <w:qFormat/>
    <w:pPr>
      <w:spacing w:after="120" w:line="480" w:lineRule="auto"/>
      <w:ind w:left="420" w:leftChars="200"/>
    </w:pPr>
  </w:style>
  <w:style w:type="paragraph" w:styleId="BalloonText">
    <w:name w:val="Balloon Text"/>
    <w:basedOn w:val="Normal"/>
    <w:autoRedefine/>
    <w:semiHidden/>
    <w:qFormat/>
    <w:rPr>
      <w:sz w:val="18"/>
      <w:szCs w:val="18"/>
    </w:r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qFormat/>
    <w:pPr>
      <w:tabs>
        <w:tab w:val="right" w:leader="dot" w:pos="8296"/>
      </w:tabs>
      <w:spacing w:line="336" w:lineRule="auto"/>
    </w:pPr>
    <w:rPr>
      <w:kern w:val="0"/>
    </w:rPr>
  </w:style>
  <w:style w:type="paragraph" w:styleId="TOC4">
    <w:name w:val="toc 4"/>
    <w:basedOn w:val="Normal"/>
    <w:next w:val="Normal"/>
    <w:autoRedefine/>
    <w:uiPriority w:val="39"/>
    <w:unhideWhenUsed/>
    <w:qFormat/>
    <w:pPr>
      <w:ind w:left="1260" w:leftChars="600"/>
    </w:pPr>
    <w:rPr>
      <w:rFonts w:ascii="Calibri" w:hAnsi="Calibri"/>
      <w:szCs w:val="22"/>
    </w:rPr>
  </w:style>
  <w:style w:type="paragraph" w:styleId="TOC6">
    <w:name w:val="toc 6"/>
    <w:basedOn w:val="Normal"/>
    <w:next w:val="Normal"/>
    <w:autoRedefine/>
    <w:uiPriority w:val="39"/>
    <w:unhideWhenUsed/>
    <w:qFormat/>
    <w:pPr>
      <w:ind w:left="2100" w:leftChars="1000"/>
    </w:pPr>
    <w:rPr>
      <w:rFonts w:ascii="Calibri" w:hAnsi="Calibri"/>
      <w:szCs w:val="22"/>
    </w:rPr>
  </w:style>
  <w:style w:type="paragraph" w:styleId="TOC2">
    <w:name w:val="toc 2"/>
    <w:basedOn w:val="Normal"/>
    <w:next w:val="Normal"/>
    <w:autoRedefine/>
    <w:uiPriority w:val="39"/>
    <w:qFormat/>
    <w:pPr>
      <w:ind w:left="420" w:leftChars="200"/>
    </w:pPr>
  </w:style>
  <w:style w:type="paragraph" w:styleId="TOC9">
    <w:name w:val="toc 9"/>
    <w:basedOn w:val="Normal"/>
    <w:next w:val="Normal"/>
    <w:autoRedefine/>
    <w:uiPriority w:val="39"/>
    <w:unhideWhenUsed/>
    <w:qFormat/>
    <w:pPr>
      <w:ind w:left="3360" w:leftChars="1600"/>
    </w:pPr>
    <w:rPr>
      <w:rFonts w:ascii="Calibri" w:hAnsi="Calibri"/>
      <w:szCs w:val="22"/>
    </w:rPr>
  </w:style>
  <w:style w:type="paragraph" w:styleId="NormalWeb">
    <w:name w:val="Normal (Web)"/>
    <w:basedOn w:val="Normal"/>
    <w:autoRedefine/>
    <w:uiPriority w:val="99"/>
    <w:qFormat/>
    <w:pPr>
      <w:widowControl/>
      <w:spacing w:before="100" w:beforeAutospacing="1" w:after="100" w:afterAutospacing="1" w:line="330" w:lineRule="atLeast"/>
      <w:jc w:val="left"/>
    </w:pPr>
    <w:rPr>
      <w:rFonts w:ascii="宋体" w:hAnsi="宋体" w:cs="宋体"/>
      <w:kern w:val="0"/>
      <w:sz w:val="22"/>
      <w:szCs w:val="22"/>
    </w:rPr>
  </w:style>
  <w:style w:type="paragraph" w:styleId="CommentSubject">
    <w:name w:val="annotation subject"/>
    <w:basedOn w:val="CommentText"/>
    <w:next w:val="CommentText"/>
    <w:semiHidden/>
    <w:qFormat/>
    <w:rPr>
      <w:b/>
      <w:bCs/>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Pr>
      <w:b/>
      <w:bCs/>
    </w:rPr>
  </w:style>
  <w:style w:type="character" w:styleId="PageNumber">
    <w:name w:val="page number"/>
    <w:qFormat/>
  </w:style>
  <w:style w:type="character" w:styleId="Emphasis">
    <w:name w:val="Emphasis"/>
    <w:uiPriority w:val="20"/>
    <w:qFormat/>
    <w:rPr>
      <w:i/>
      <w:iCs/>
    </w:rPr>
  </w:style>
  <w:style w:type="character" w:styleId="Hyperlink">
    <w:name w:val="Hyperlink"/>
    <w:uiPriority w:val="99"/>
    <w:qFormat/>
    <w:rPr>
      <w:color w:val="0000FF"/>
      <w:u w:val="single"/>
    </w:rPr>
  </w:style>
  <w:style w:type="character" w:styleId="CommentReference">
    <w:name w:val="annotation reference"/>
    <w:uiPriority w:val="99"/>
    <w:semiHidden/>
    <w:qFormat/>
    <w:rPr>
      <w:sz w:val="21"/>
      <w:szCs w:val="21"/>
    </w:rPr>
  </w:style>
  <w:style w:type="character" w:customStyle="1" w:styleId="Char">
    <w:name w:val="正文文本缩进 Char"/>
    <w:link w:val="BodyTextIndent"/>
    <w:qFormat/>
    <w:rPr>
      <w:rFonts w:ascii="宋体" w:hAnsi="宋体"/>
      <w:kern w:val="2"/>
      <w:sz w:val="21"/>
    </w:rPr>
  </w:style>
  <w:style w:type="character" w:customStyle="1" w:styleId="2Char">
    <w:name w:val="正文文本缩进 2 Char"/>
    <w:link w:val="BodyTextIndent2"/>
    <w:qFormat/>
    <w:rPr>
      <w:kern w:val="2"/>
      <w:sz w:val="21"/>
      <w:szCs w:val="24"/>
    </w:rPr>
  </w:style>
  <w:style w:type="paragraph" w:customStyle="1" w:styleId="CharCharCharCharCharCharChar1">
    <w:name w:val="Char Char Char Char Char Char Char1"/>
    <w:basedOn w:val="Normal"/>
    <w:qFormat/>
    <w:pPr>
      <w:widowControl/>
      <w:spacing w:line="440" w:lineRule="exact"/>
      <w:jc w:val="left"/>
    </w:pPr>
    <w:rPr>
      <w:rFonts w:ascii="Verdana" w:eastAsia="华文中宋" w:hAnsi="Verdana" w:cs="Verdana"/>
      <w:kern w:val="0"/>
      <w:sz w:val="24"/>
      <w:szCs w:val="20"/>
      <w:lang w:eastAsia="en-US"/>
    </w:rPr>
  </w:style>
  <w:style w:type="paragraph" w:customStyle="1" w:styleId="1">
    <w:name w:val="编号1"/>
    <w:basedOn w:val="Normal"/>
    <w:qFormat/>
    <w:pPr>
      <w:numPr>
        <w:ilvl w:val="0"/>
        <w:numId w:val="1"/>
      </w:numPr>
    </w:pPr>
  </w:style>
  <w:style w:type="character" w:customStyle="1" w:styleId="apple-style-span">
    <w:name w:val="apple-style-span"/>
    <w:qFormat/>
  </w:style>
  <w:style w:type="character" w:customStyle="1" w:styleId="Char1">
    <w:name w:val="正文文本缩进 Char1"/>
    <w:qFormat/>
    <w:rPr>
      <w:kern w:val="2"/>
      <w:sz w:val="21"/>
      <w:szCs w:val="24"/>
    </w:rPr>
  </w:style>
  <w:style w:type="paragraph" w:customStyle="1" w:styleId="WPSOffice1">
    <w:name w:val="WPSOffice手动目录 1"/>
    <w:qFormat/>
    <w:rPr>
      <w:rFonts w:ascii="Times New Roman" w:eastAsia="宋体" w:hAnsi="Times New Roman" w:cs="Times New Roman"/>
      <w:lang w:val="en-US" w:eastAsia="zh-CN" w:bidi="ar-SA"/>
    </w:rPr>
  </w:style>
  <w:style w:type="character" w:customStyle="1" w:styleId="Char0">
    <w:name w:val="页脚 Char"/>
    <w:link w:val="Footer"/>
    <w:uiPriority w:val="99"/>
    <w:qFormat/>
    <w:rPr>
      <w:kern w:val="2"/>
      <w:sz w:val="18"/>
      <w:szCs w:val="18"/>
    </w:rPr>
  </w:style>
  <w:style w:type="character" w:styleId="PlaceholderText">
    <w:name w:val="Placeholder Text"/>
    <w:basedOn w:val="DefaultParagraphFont"/>
    <w:uiPriority w:val="99"/>
    <w:unhideWhenUsed/>
    <w:qFormat/>
    <w:rPr>
      <w:color w:val="666666"/>
    </w:rPr>
  </w:style>
  <w:style w:type="paragraph" w:customStyle="1" w:styleId="TOC10">
    <w:name w:val="TOC 标题1"/>
    <w:basedOn w:val="Heading1"/>
    <w:next w:val="Normal"/>
    <w:uiPriority w:val="39"/>
    <w:unhideWhenUsed/>
    <w:qFormat/>
    <w:pPr>
      <w:widowControl/>
      <w:spacing w:before="480" w:line="276" w:lineRule="auto"/>
      <w:outlineLvl w:val="9"/>
    </w:pPr>
    <w:rPr>
      <w:rFonts w:asciiTheme="majorHAnsi" w:eastAsiaTheme="majorEastAsia" w:hAnsiTheme="majorHAnsi" w:cstheme="majorBidi"/>
      <w:b/>
      <w:color w:val="366091" w:themeColor="accent1" w:themeShade="BF"/>
      <w:kern w:val="0"/>
      <w:sz w:val="28"/>
      <w:szCs w:val="28"/>
    </w:rPr>
  </w:style>
  <w:style w:type="paragraph" w:styleId="ListParagraph">
    <w:name w:val="List Paragraph"/>
    <w:basedOn w:val="Normal"/>
    <w:uiPriority w:val="99"/>
    <w:unhideWhenUsed/>
    <w:pPr>
      <w:ind w:firstLine="420" w:firstLineChars="200"/>
    </w:pPr>
  </w:style>
  <w:style w:type="character" w:customStyle="1" w:styleId="n40r8rmq">
    <w:name w:val="n40r8rmq"/>
    <w:basedOn w:val="DefaultParagraphFont"/>
  </w:style>
  <w:style w:type="character" w:customStyle="1" w:styleId="wapev1">
    <w:name w:val="wapev1"/>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2.xml" /><Relationship Id="rId12" Type="http://schemas.openxmlformats.org/officeDocument/2006/relationships/footer" Target="footer3.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8.xml" /><Relationship Id="rId24" Type="http://schemas.openxmlformats.org/officeDocument/2006/relationships/footer" Target="footer9.xml" /><Relationship Id="rId25" Type="http://schemas.openxmlformats.org/officeDocument/2006/relationships/header" Target="header11.xml" /><Relationship Id="rId26" Type="http://schemas.openxmlformats.org/officeDocument/2006/relationships/header" Target="header12.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2.xml" /><Relationship Id="rId32" Type="http://schemas.openxmlformats.org/officeDocument/2006/relationships/footer" Target="footer13.xml" /><Relationship Id="rId33" Type="http://schemas.openxmlformats.org/officeDocument/2006/relationships/header" Target="header15.xml" /><Relationship Id="rId34" Type="http://schemas.openxmlformats.org/officeDocument/2006/relationships/header" Target="header16.xml" /><Relationship Id="rId35" Type="http://schemas.openxmlformats.org/officeDocument/2006/relationships/footer" Target="footer14.xml" /><Relationship Id="rId36" Type="http://schemas.openxmlformats.org/officeDocument/2006/relationships/footer" Target="footer15.xml" /><Relationship Id="rId37" Type="http://schemas.openxmlformats.org/officeDocument/2006/relationships/header" Target="header17.xml" /><Relationship Id="rId38" Type="http://schemas.openxmlformats.org/officeDocument/2006/relationships/header" Target="header18.xml"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8.xml" /><Relationship Id="rId44" Type="http://schemas.openxmlformats.org/officeDocument/2006/relationships/footer" Target="footer19.xml" /><Relationship Id="rId45" Type="http://schemas.openxmlformats.org/officeDocument/2006/relationships/header" Target="header21.xml" /><Relationship Id="rId46" Type="http://schemas.openxmlformats.org/officeDocument/2006/relationships/header" Target="header22.xml" /><Relationship Id="rId47" Type="http://schemas.openxmlformats.org/officeDocument/2006/relationships/footer" Target="footer20.xml" /><Relationship Id="rId48" Type="http://schemas.openxmlformats.org/officeDocument/2006/relationships/footer" Target="footer21.xml" /><Relationship Id="rId49" Type="http://schemas.openxmlformats.org/officeDocument/2006/relationships/header" Target="header23.xml" /><Relationship Id="rId5" Type="http://schemas.openxmlformats.org/officeDocument/2006/relationships/customXml" Target="../customXml/item2.xml" /><Relationship Id="rId50" Type="http://schemas.openxmlformats.org/officeDocument/2006/relationships/header" Target="header24.xml" /><Relationship Id="rId51" Type="http://schemas.openxmlformats.org/officeDocument/2006/relationships/footer" Target="footer22.xml" /><Relationship Id="rId52" Type="http://schemas.openxmlformats.org/officeDocument/2006/relationships/footer" Target="footer23.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4.xml" /><Relationship Id="rId56" Type="http://schemas.openxmlformats.org/officeDocument/2006/relationships/footer" Target="footer25.xml" /><Relationship Id="rId57" Type="http://schemas.openxmlformats.org/officeDocument/2006/relationships/header" Target="header27.xml" /><Relationship Id="rId58" Type="http://schemas.openxmlformats.org/officeDocument/2006/relationships/header" Target="header28.xml" /><Relationship Id="rId59" Type="http://schemas.openxmlformats.org/officeDocument/2006/relationships/footer" Target="footer26.xml" /><Relationship Id="rId6" Type="http://schemas.openxmlformats.org/officeDocument/2006/relationships/header" Target="header1.xml" /><Relationship Id="rId60" Type="http://schemas.openxmlformats.org/officeDocument/2006/relationships/footer" Target="footer27.xml" /><Relationship Id="rId61" Type="http://schemas.openxmlformats.org/officeDocument/2006/relationships/header" Target="header29.xml" /><Relationship Id="rId62" Type="http://schemas.openxmlformats.org/officeDocument/2006/relationships/header" Target="header30.xml" /><Relationship Id="rId63" Type="http://schemas.openxmlformats.org/officeDocument/2006/relationships/footer" Target="footer28.xml" /><Relationship Id="rId64" Type="http://schemas.openxmlformats.org/officeDocument/2006/relationships/footer" Target="footer29.xm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0.xml" /><Relationship Id="rId68" Type="http://schemas.openxmlformats.org/officeDocument/2006/relationships/footer" Target="footer31.xml" /><Relationship Id="rId69" Type="http://schemas.openxmlformats.org/officeDocument/2006/relationships/hyperlink" Target="https://d.book118.com/925231043034011124" TargetMode="External" /><Relationship Id="rId7" Type="http://schemas.openxmlformats.org/officeDocument/2006/relationships/header" Target="header2.xml" /><Relationship Id="rId70" Type="http://schemas.openxmlformats.org/officeDocument/2006/relationships/header" Target="header33.xml" /><Relationship Id="rId71" Type="http://schemas.openxmlformats.org/officeDocument/2006/relationships/header" Target="header34.xml" /><Relationship Id="rId72" Type="http://schemas.openxmlformats.org/officeDocument/2006/relationships/footer" Target="footer32.xml" /><Relationship Id="rId73" Type="http://schemas.openxmlformats.org/officeDocument/2006/relationships/footer" Target="footer33.xml" /><Relationship Id="rId74" Type="http://schemas.openxmlformats.org/officeDocument/2006/relationships/theme" Target="theme/theme1.xml" /><Relationship Id="rId75" Type="http://schemas.openxmlformats.org/officeDocument/2006/relationships/numbering" Target="numbering.xml" /><Relationship Id="rId76" Type="http://schemas.openxmlformats.org/officeDocument/2006/relationships/styles" Target="styles.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9698"/>
    <customShpInfo spid="_x0000_s29699"/>
    <customShpInfo spid="_x0000_s29697"/>
    <customShpInfo spid="_x0000_s1026"/>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0DE932-7E25-4D63-9E23-519D9C22C816}">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22</Pages>
  <Words>1944</Words>
  <Characters>11086</Characters>
  <Application>Microsoft Office Word</Application>
  <DocSecurity>0</DocSecurity>
  <Lines>92</Lines>
  <Paragraphs>26</Paragraphs>
  <ScaleCrop>false</ScaleCrop>
  <Company>WWW.YlmF.CoM</Company>
  <LinksUpToDate>false</LinksUpToDate>
  <CharactersWithSpaces>13004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总则</dc:title>
  <dc:creator>雨林木风</dc:creator>
  <cp:lastModifiedBy>xwbjl</cp:lastModifiedBy>
  <cp:revision>23</cp:revision>
  <cp:lastPrinted>2010-01-26T09:18:00Z</cp:lastPrinted>
  <dcterms:created xsi:type="dcterms:W3CDTF">2024-01-31T01:31:00Z</dcterms:created>
  <dcterms:modified xsi:type="dcterms:W3CDTF">2024-03-18T08:59:48Z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EB0E9183CB0D44DBB3DA36DBF559A1E5_13</vt:lpwstr>
  </property>
  <property fmtid="{D5CDD505-2E9C-101B-9397-08002B2CF9AE}" pid="3" name="KSOProductBuildVer">
    <vt:lpwstr>2052-12.1.0.16388</vt:lpwstr>
  </property>
</Properties>
</file>