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spacing w:before="117"/>
        <w:ind w:left="3918" w:right="4916" w:firstLine="0"/>
        <w:jc w:val="center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color w:val="044E7D"/>
          <w:sz w:val="28"/>
        </w:rPr>
        <w:t>目录</w:t>
      </w:r>
    </w:p>
    <w:sdt>
      <w:sdtPr>
        <w:id w:val="175966607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9764"/>
            </w:tabs>
            <w:spacing w:before="92"/>
            <w:ind w:left="132"/>
            <w:rPr>
              <w:rFonts w:ascii="Calibri" w:eastAsia="Calibri"/>
            </w:rPr>
          </w:pPr>
          <w:r>
            <w:t>核心</w:t>
          </w:r>
          <w:r>
            <w:rPr>
              <w:spacing w:val="-3"/>
            </w:rPr>
            <w:t>观</w:t>
          </w:r>
          <w:r>
            <w:t>点</w:t>
            <w:tab/>
          </w:r>
          <w:r>
            <w:rPr>
              <w:rFonts w:ascii="Calibri" w:eastAsia="Calibri"/>
            </w:rPr>
            <w:t>1</w:t>
          </w:r>
        </w:p>
        <w:p>
          <w:pPr>
            <w:pStyle w:val="TOC1"/>
            <w:tabs>
              <w:tab w:val="right" w:leader="dot" w:pos="9764"/>
            </w:tabs>
            <w:ind w:left="132"/>
            <w:rPr>
              <w:rFonts w:ascii="Calibri" w:eastAsia="Calibri"/>
            </w:rPr>
          </w:pPr>
          <w:hyperlink w:anchor="_TOC_250005" w:history="1">
            <w:r>
              <w:t>一、</w:t>
            </w:r>
            <w:r>
              <w:rPr>
                <w:spacing w:val="-3"/>
              </w:rPr>
              <w:t>行</w:t>
            </w:r>
            <w:r>
              <w:t>情</w:t>
            </w:r>
            <w:r>
              <w:rPr>
                <w:spacing w:val="-3"/>
              </w:rPr>
              <w:t>综</w:t>
            </w:r>
            <w:r>
              <w:t>述</w:t>
            </w:r>
            <w:r>
              <w:rPr>
                <w:spacing w:val="-3"/>
              </w:rPr>
              <w:t>：</w:t>
            </w:r>
            <w:r>
              <w:t>航</w:t>
            </w:r>
            <w:r>
              <w:rPr>
                <w:spacing w:val="-3"/>
              </w:rPr>
              <w:t>空</w:t>
            </w:r>
            <w:r>
              <w:t>机</w:t>
            </w:r>
            <w:r>
              <w:rPr>
                <w:spacing w:val="-3"/>
              </w:rPr>
              <w:t>场</w:t>
            </w:r>
            <w:r>
              <w:t>板块</w:t>
            </w:r>
            <w:r>
              <w:rPr>
                <w:spacing w:val="-3"/>
              </w:rPr>
              <w:t>保</w:t>
            </w:r>
            <w:r>
              <w:t>持</w:t>
            </w:r>
            <w:r>
              <w:rPr>
                <w:spacing w:val="-3"/>
              </w:rPr>
              <w:t>稳</w:t>
            </w:r>
            <w:r>
              <w:t>定</w:t>
              <w:tab/>
            </w:r>
            <w:r>
              <w:rPr>
                <w:rFonts w:ascii="Calibri" w:eastAsia="Calibri"/>
              </w:rPr>
              <w:t>4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868"/>
              <w:tab w:val="right" w:leader="dot" w:pos="9764"/>
            </w:tabs>
            <w:spacing w:before="42" w:after="0" w:line="240" w:lineRule="auto"/>
            <w:ind w:left="867" w:right="0" w:hanging="315"/>
            <w:jc w:val="left"/>
            <w:rPr>
              <w:rFonts w:ascii="Calibri" w:eastAsia="Calibri"/>
            </w:rPr>
          </w:pPr>
          <w:hyperlink w:anchor="_TOC_250004" w:history="1">
            <w:r>
              <w:rPr>
                <w:rFonts w:ascii="Calibri" w:eastAsia="Calibri"/>
              </w:rPr>
              <w:t>A</w:t>
            </w:r>
            <w:r>
              <w:rPr>
                <w:rFonts w:ascii="Calibri" w:eastAsia="Calibri"/>
                <w:spacing w:val="5"/>
              </w:rPr>
              <w:t xml:space="preserve"> </w:t>
            </w:r>
            <w:r>
              <w:rPr>
                <w:spacing w:val="-3"/>
              </w:rPr>
              <w:t>股</w:t>
            </w:r>
            <w:r>
              <w:t>市</w:t>
            </w:r>
            <w:r>
              <w:rPr>
                <w:spacing w:val="-3"/>
              </w:rPr>
              <w:t>场</w:t>
            </w:r>
            <w:r>
              <w:t>：</w:t>
            </w:r>
            <w:r>
              <w:rPr>
                <w:spacing w:val="-3"/>
              </w:rPr>
              <w:t>航</w:t>
            </w:r>
            <w:r>
              <w:t>空</w:t>
            </w:r>
            <w:r>
              <w:rPr>
                <w:spacing w:val="-3"/>
              </w:rPr>
              <w:t>机</w:t>
            </w:r>
            <w:r>
              <w:t>场</w:t>
            </w:r>
            <w:r>
              <w:rPr>
                <w:spacing w:val="-3"/>
              </w:rPr>
              <w:t>板</w:t>
            </w:r>
            <w:r>
              <w:t>块保</w:t>
            </w:r>
            <w:r>
              <w:rPr>
                <w:spacing w:val="-3"/>
              </w:rPr>
              <w:t>持</w:t>
            </w:r>
            <w:r>
              <w:t>稳定</w:t>
              <w:tab/>
            </w:r>
            <w:r>
              <w:rPr>
                <w:rFonts w:ascii="Calibri" w:eastAsia="Calibri"/>
              </w:rPr>
              <w:t>4</w:t>
            </w:r>
          </w:hyperlink>
        </w:p>
        <w:p>
          <w:pPr>
            <w:pStyle w:val="TOC2"/>
            <w:numPr>
              <w:ilvl w:val="1"/>
              <w:numId w:val="8"/>
            </w:numPr>
            <w:tabs>
              <w:tab w:val="left" w:pos="926"/>
              <w:tab w:val="right" w:leader="dot" w:pos="9764"/>
            </w:tabs>
            <w:spacing w:before="43" w:after="0" w:line="240" w:lineRule="auto"/>
            <w:ind w:left="925" w:right="0" w:hanging="373"/>
            <w:jc w:val="left"/>
            <w:rPr>
              <w:rFonts w:ascii="Calibri" w:eastAsia="Calibri"/>
            </w:rPr>
          </w:pPr>
          <w:hyperlink w:anchor="_TOC_250003" w:history="1">
            <w:r>
              <w:t>港</w:t>
            </w:r>
            <w:r>
              <w:rPr>
                <w:spacing w:val="-3"/>
              </w:rPr>
              <w:t>股</w:t>
            </w:r>
            <w:r>
              <w:t>及</w:t>
            </w:r>
            <w:r>
              <w:rPr>
                <w:spacing w:val="-3"/>
              </w:rPr>
              <w:t>海</w:t>
            </w:r>
            <w:r>
              <w:t>外</w:t>
            </w:r>
            <w:r>
              <w:rPr>
                <w:spacing w:val="-3"/>
              </w:rPr>
              <w:t>市</w:t>
            </w:r>
            <w:r>
              <w:t>场</w:t>
            </w:r>
            <w:r>
              <w:rPr>
                <w:spacing w:val="-3"/>
              </w:rPr>
              <w:t>：航</w:t>
            </w:r>
            <w:r>
              <w:t>空机</w:t>
            </w:r>
            <w:r>
              <w:rPr>
                <w:spacing w:val="-3"/>
              </w:rPr>
              <w:t>场</w:t>
            </w:r>
            <w:r>
              <w:t>保</w:t>
            </w:r>
            <w:r>
              <w:rPr>
                <w:spacing w:val="-3"/>
              </w:rPr>
              <w:t>持</w:t>
            </w:r>
            <w:r>
              <w:t>稳定</w:t>
              <w:tab/>
            </w:r>
            <w:r>
              <w:rPr>
                <w:rFonts w:ascii="Calibri" w:eastAsia="Calibri"/>
              </w:rPr>
              <w:t>5</w:t>
            </w:r>
          </w:hyperlink>
        </w:p>
        <w:p>
          <w:pPr>
            <w:pStyle w:val="TOC1"/>
            <w:tabs>
              <w:tab w:val="right" w:leader="dot" w:pos="9764"/>
            </w:tabs>
            <w:ind w:left="132"/>
            <w:rPr>
              <w:rFonts w:ascii="Calibri" w:eastAsia="Calibri"/>
            </w:rPr>
          </w:pPr>
          <w:hyperlink w:anchor="_TOC_250002" w:history="1">
            <w:r>
              <w:t>二、</w:t>
            </w:r>
            <w:r>
              <w:rPr>
                <w:spacing w:val="-3"/>
              </w:rPr>
              <w:t>行</w:t>
            </w:r>
            <w:r>
              <w:t>业</w:t>
            </w:r>
            <w:r>
              <w:rPr>
                <w:spacing w:val="-3"/>
              </w:rPr>
              <w:t>动</w:t>
            </w:r>
            <w:r>
              <w:t>态：</w:t>
            </w:r>
            <w:r>
              <w:rPr>
                <w:rFonts w:ascii="Calibri" w:eastAsia="Calibri"/>
              </w:rPr>
              <w:t>2024</w:t>
            </w:r>
            <w:r>
              <w:rPr>
                <w:rFonts w:ascii="Calibri" w:eastAsia="Calibri"/>
                <w:spacing w:val="4"/>
              </w:rPr>
              <w:t xml:space="preserve"> </w:t>
            </w:r>
            <w:r>
              <w:t>年</w:t>
            </w:r>
            <w:r>
              <w:rPr>
                <w:spacing w:val="-3"/>
              </w:rPr>
              <w:t>春</w:t>
            </w:r>
            <w:r>
              <w:t>节民</w:t>
            </w:r>
            <w:r>
              <w:rPr>
                <w:spacing w:val="-3"/>
              </w:rPr>
              <w:t>航</w:t>
            </w:r>
            <w:r>
              <w:t>旅</w:t>
            </w:r>
            <w:r>
              <w:rPr>
                <w:spacing w:val="-3"/>
              </w:rPr>
              <w:t>客</w:t>
            </w:r>
            <w:r>
              <w:t>运</w:t>
            </w:r>
            <w:r>
              <w:rPr>
                <w:spacing w:val="-3"/>
              </w:rPr>
              <w:t>输</w:t>
            </w:r>
            <w:r>
              <w:t>量</w:t>
            </w:r>
            <w:r>
              <w:rPr>
                <w:spacing w:val="-3"/>
              </w:rPr>
              <w:t>、</w:t>
            </w:r>
            <w:r>
              <w:t>航</w:t>
            </w:r>
            <w:r>
              <w:rPr>
                <w:spacing w:val="-3"/>
              </w:rPr>
              <w:t>班</w:t>
            </w:r>
            <w:r>
              <w:t>量均</w:t>
            </w:r>
            <w:r>
              <w:rPr>
                <w:spacing w:val="-3"/>
              </w:rPr>
              <w:t>创</w:t>
            </w:r>
            <w:r>
              <w:t>历</w:t>
            </w:r>
            <w:r>
              <w:rPr>
                <w:spacing w:val="-3"/>
              </w:rPr>
              <w:t>史</w:t>
            </w:r>
            <w:r>
              <w:t>新高</w:t>
              <w:tab/>
            </w:r>
            <w:r>
              <w:rPr>
                <w:rFonts w:ascii="Calibri" w:eastAsia="Calibri"/>
              </w:rPr>
              <w:t>7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926"/>
              <w:tab w:val="right" w:leader="dot" w:pos="9764"/>
            </w:tabs>
            <w:spacing w:before="43" w:after="0" w:line="240" w:lineRule="auto"/>
            <w:ind w:left="925" w:right="0" w:hanging="373"/>
            <w:jc w:val="left"/>
            <w:rPr>
              <w:rFonts w:ascii="Calibri" w:eastAsia="Calibri"/>
            </w:rPr>
          </w:pPr>
          <w:hyperlink w:anchor="_TOC_250001" w:history="1">
            <w:r>
              <w:t>航</w:t>
            </w:r>
            <w:r>
              <w:rPr>
                <w:spacing w:val="-3"/>
              </w:rPr>
              <w:t>空</w:t>
            </w:r>
            <w:r>
              <w:t>客</w:t>
            </w:r>
            <w:r>
              <w:rPr>
                <w:spacing w:val="-3"/>
              </w:rPr>
              <w:t>运</w:t>
            </w:r>
            <w:r>
              <w:t>：</w:t>
            </w:r>
            <w:r>
              <w:rPr>
                <w:rFonts w:ascii="Calibri" w:eastAsia="Calibri"/>
              </w:rPr>
              <w:t>2024</w:t>
            </w:r>
            <w:r>
              <w:rPr>
                <w:rFonts w:ascii="Calibri" w:eastAsia="Calibri"/>
                <w:spacing w:val="6"/>
              </w:rPr>
              <w:t xml:space="preserve"> </w:t>
            </w:r>
            <w:r>
              <w:rPr>
                <w:spacing w:val="-3"/>
              </w:rPr>
              <w:t>年春</w:t>
            </w:r>
            <w:r>
              <w:t>节民</w:t>
            </w:r>
            <w:r>
              <w:rPr>
                <w:spacing w:val="-3"/>
              </w:rPr>
              <w:t>航</w:t>
            </w:r>
            <w:r>
              <w:t>旅</w:t>
            </w:r>
            <w:r>
              <w:rPr>
                <w:spacing w:val="-3"/>
              </w:rPr>
              <w:t>客</w:t>
            </w:r>
            <w:r>
              <w:t>运</w:t>
            </w:r>
            <w:r>
              <w:rPr>
                <w:spacing w:val="-3"/>
              </w:rPr>
              <w:t>输</w:t>
            </w:r>
            <w:r>
              <w:t>量</w:t>
            </w:r>
            <w:r>
              <w:rPr>
                <w:spacing w:val="-3"/>
              </w:rPr>
              <w:t>、</w:t>
            </w:r>
            <w:r>
              <w:t>航</w:t>
            </w:r>
            <w:r>
              <w:rPr>
                <w:spacing w:val="-3"/>
              </w:rPr>
              <w:t>班</w:t>
            </w:r>
            <w:r>
              <w:t>量均</w:t>
            </w:r>
            <w:r>
              <w:rPr>
                <w:spacing w:val="-3"/>
              </w:rPr>
              <w:t>创</w:t>
            </w:r>
            <w:r>
              <w:t>历</w:t>
            </w:r>
            <w:r>
              <w:rPr>
                <w:spacing w:val="-3"/>
              </w:rPr>
              <w:t>史</w:t>
            </w:r>
            <w:r>
              <w:t>新高</w:t>
              <w:tab/>
            </w:r>
            <w:r>
              <w:rPr>
                <w:rFonts w:ascii="Calibri" w:eastAsia="Calibri"/>
              </w:rPr>
              <w:t>7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926"/>
              <w:tab w:val="right" w:leader="dot" w:pos="9765"/>
            </w:tabs>
            <w:spacing w:before="43" w:after="0" w:line="240" w:lineRule="auto"/>
            <w:ind w:left="925" w:right="0" w:hanging="373"/>
            <w:jc w:val="left"/>
            <w:rPr>
              <w:rFonts w:ascii="Calibri" w:eastAsia="Calibri"/>
            </w:rPr>
          </w:pPr>
          <w:r>
            <w:t>航</w:t>
          </w:r>
          <w:r>
            <w:rPr>
              <w:spacing w:val="-3"/>
            </w:rPr>
            <w:t>空</w:t>
          </w:r>
          <w:r>
            <w:t>货</w:t>
          </w:r>
          <w:r>
            <w:rPr>
              <w:spacing w:val="-3"/>
            </w:rPr>
            <w:t>运</w:t>
          </w:r>
          <w:r>
            <w:t>：</w:t>
          </w:r>
          <w:r>
            <w:rPr>
              <w:rFonts w:ascii="Calibri" w:eastAsia="Calibri"/>
            </w:rPr>
            <w:t>12</w:t>
          </w:r>
          <w:r>
            <w:rPr>
              <w:rFonts w:ascii="Calibri" w:eastAsia="Calibri"/>
              <w:spacing w:val="3"/>
            </w:rPr>
            <w:t xml:space="preserve"> </w:t>
          </w:r>
          <w:r>
            <w:t>月</w:t>
          </w:r>
          <w:r>
            <w:rPr>
              <w:spacing w:val="-3"/>
            </w:rPr>
            <w:t>全球</w:t>
          </w:r>
          <w:r>
            <w:t>航空</w:t>
          </w:r>
          <w:r>
            <w:rPr>
              <w:spacing w:val="-3"/>
            </w:rPr>
            <w:t>货</w:t>
          </w:r>
          <w:r>
            <w:t>运</w:t>
          </w:r>
          <w:r>
            <w:rPr>
              <w:spacing w:val="-3"/>
            </w:rPr>
            <w:t>需</w:t>
          </w:r>
          <w:r>
            <w:t>求</w:t>
          </w:r>
          <w:r>
            <w:rPr>
              <w:spacing w:val="-3"/>
            </w:rPr>
            <w:t>同</w:t>
          </w:r>
          <w:r>
            <w:t>比</w:t>
          </w:r>
          <w:r>
            <w:rPr>
              <w:spacing w:val="-3"/>
            </w:rPr>
            <w:t>增</w:t>
          </w:r>
          <w:r>
            <w:t>长</w:t>
          </w:r>
          <w:r>
            <w:rPr>
              <w:spacing w:val="-55"/>
            </w:rPr>
            <w:t xml:space="preserve"> </w:t>
          </w:r>
          <w:r>
            <w:rPr>
              <w:rFonts w:ascii="Calibri" w:eastAsia="Calibri"/>
            </w:rPr>
            <w:t>10.8%</w:t>
            <w:tab/>
            <w:t>13</w:t>
          </w:r>
        </w:p>
        <w:p>
          <w:pPr>
            <w:pStyle w:val="TOC2"/>
            <w:numPr>
              <w:ilvl w:val="1"/>
              <w:numId w:val="7"/>
            </w:numPr>
            <w:tabs>
              <w:tab w:val="left" w:pos="926"/>
              <w:tab w:val="right" w:leader="dot" w:pos="9765"/>
            </w:tabs>
            <w:spacing w:before="44" w:after="0" w:line="240" w:lineRule="auto"/>
            <w:ind w:left="925" w:right="0" w:hanging="373"/>
            <w:jc w:val="left"/>
            <w:rPr>
              <w:rFonts w:ascii="Calibri" w:eastAsia="Calibri"/>
            </w:rPr>
          </w:pPr>
          <w:hyperlink w:anchor="_TOC_250000" w:history="1">
            <w:r>
              <w:t>油</w:t>
            </w:r>
            <w:r>
              <w:rPr>
                <w:spacing w:val="-3"/>
              </w:rPr>
              <w:t>价</w:t>
            </w:r>
            <w:r>
              <w:t>：</w:t>
            </w:r>
            <w:r>
              <w:rPr>
                <w:spacing w:val="-3"/>
              </w:rPr>
              <w:t>国</w:t>
            </w:r>
            <w:r>
              <w:t>际</w:t>
            </w:r>
            <w:r>
              <w:rPr>
                <w:spacing w:val="-3"/>
              </w:rPr>
              <w:t>航</w:t>
            </w:r>
            <w:r>
              <w:t>油</w:t>
            </w:r>
            <w:r>
              <w:rPr>
                <w:spacing w:val="-3"/>
              </w:rPr>
              <w:t>价格</w:t>
            </w:r>
            <w:r>
              <w:t>回落</w:t>
            </w:r>
            <w:r>
              <w:rPr>
                <w:spacing w:val="-3"/>
              </w:rPr>
              <w:t>，</w:t>
            </w:r>
            <w:r>
              <w:t>国</w:t>
            </w:r>
            <w:r>
              <w:rPr>
                <w:spacing w:val="-3"/>
              </w:rPr>
              <w:t>内</w:t>
            </w:r>
            <w:r>
              <w:t>燃</w:t>
            </w:r>
            <w:r>
              <w:rPr>
                <w:spacing w:val="-3"/>
              </w:rPr>
              <w:t>油</w:t>
            </w:r>
            <w:r>
              <w:t>附</w:t>
            </w:r>
            <w:r>
              <w:rPr>
                <w:spacing w:val="-3"/>
              </w:rPr>
              <w:t>加</w:t>
            </w:r>
            <w:r>
              <w:t>费</w:t>
            </w:r>
            <w:r>
              <w:rPr>
                <w:spacing w:val="-3"/>
              </w:rPr>
              <w:t>下</w:t>
            </w:r>
            <w:r>
              <w:t>调</w:t>
              <w:tab/>
            </w:r>
            <w:r>
              <w:rPr>
                <w:rFonts w:ascii="Calibri" w:eastAsia="Calibri"/>
              </w:rPr>
              <w:t>14</w:t>
            </w:r>
          </w:hyperlink>
        </w:p>
        <w:p>
          <w:pPr>
            <w:pStyle w:val="TOC2"/>
            <w:numPr>
              <w:ilvl w:val="1"/>
              <w:numId w:val="7"/>
            </w:numPr>
            <w:tabs>
              <w:tab w:val="left" w:pos="926"/>
              <w:tab w:val="right" w:leader="dot" w:pos="9765"/>
            </w:tabs>
            <w:spacing w:before="43" w:after="0" w:line="240" w:lineRule="auto"/>
            <w:ind w:left="925" w:right="0" w:hanging="373"/>
            <w:jc w:val="left"/>
            <w:rPr>
              <w:rFonts w:ascii="Calibri" w:eastAsia="Calibri"/>
            </w:rPr>
          </w:pPr>
          <w:r>
            <w:t>汇</w:t>
          </w:r>
          <w:r>
            <w:rPr>
              <w:spacing w:val="-3"/>
            </w:rPr>
            <w:t>率</w:t>
          </w:r>
          <w:r>
            <w:t>：</w:t>
          </w:r>
          <w:r>
            <w:rPr>
              <w:spacing w:val="-3"/>
            </w:rPr>
            <w:t>美</w:t>
          </w:r>
          <w:r>
            <w:t>元</w:t>
          </w:r>
          <w:r>
            <w:rPr>
              <w:spacing w:val="-3"/>
            </w:rPr>
            <w:t>兑</w:t>
          </w:r>
          <w:r>
            <w:t>人</w:t>
          </w:r>
          <w:r>
            <w:rPr>
              <w:spacing w:val="-3"/>
            </w:rPr>
            <w:t>民币</w:t>
          </w:r>
          <w:r>
            <w:t>汇率</w:t>
          </w:r>
          <w:r>
            <w:rPr>
              <w:spacing w:val="-3"/>
            </w:rPr>
            <w:t>下</w:t>
          </w:r>
          <w:r>
            <w:t>降</w:t>
            <w:tab/>
          </w:r>
          <w:r>
            <w:rPr>
              <w:rFonts w:ascii="Calibri" w:eastAsia="Calibri"/>
            </w:rPr>
            <w:t>15</w:t>
          </w:r>
        </w:p>
        <w:p>
          <w:pPr>
            <w:pStyle w:val="TOC2"/>
            <w:numPr>
              <w:ilvl w:val="1"/>
              <w:numId w:val="7"/>
            </w:numPr>
            <w:tabs>
              <w:tab w:val="left" w:pos="926"/>
              <w:tab w:val="right" w:leader="dot" w:pos="9765"/>
            </w:tabs>
            <w:spacing w:before="43" w:after="0" w:line="240" w:lineRule="auto"/>
            <w:ind w:left="925" w:right="0" w:hanging="373"/>
            <w:jc w:val="left"/>
            <w:rPr>
              <w:rFonts w:ascii="Calibri" w:eastAsia="Calibri"/>
            </w:rPr>
          </w:pPr>
          <w:r>
            <w:t>机</w:t>
          </w:r>
          <w:r>
            <w:rPr>
              <w:spacing w:val="-3"/>
            </w:rPr>
            <w:t>场</w:t>
          </w:r>
          <w:r>
            <w:t>：</w:t>
          </w:r>
          <w:r>
            <w:rPr>
              <w:spacing w:val="-3"/>
            </w:rPr>
            <w:t>千</w:t>
          </w:r>
          <w:r>
            <w:t>万</w:t>
          </w:r>
          <w:r>
            <w:rPr>
              <w:spacing w:val="-3"/>
            </w:rPr>
            <w:t>级</w:t>
          </w:r>
          <w:r>
            <w:t>机</w:t>
          </w:r>
          <w:r>
            <w:rPr>
              <w:spacing w:val="-3"/>
            </w:rPr>
            <w:t>场进</w:t>
          </w:r>
          <w:r>
            <w:t>出港</w:t>
          </w:r>
          <w:r>
            <w:rPr>
              <w:spacing w:val="-3"/>
            </w:rPr>
            <w:t>航</w:t>
          </w:r>
          <w:r>
            <w:t>班</w:t>
          </w:r>
          <w:r>
            <w:rPr>
              <w:spacing w:val="-3"/>
            </w:rPr>
            <w:t>量</w:t>
          </w:r>
          <w:r>
            <w:t>，</w:t>
          </w:r>
          <w:r>
            <w:rPr>
              <w:spacing w:val="-3"/>
            </w:rPr>
            <w:t>仅</w:t>
          </w:r>
          <w:r>
            <w:t>三</w:t>
          </w:r>
          <w:r>
            <w:rPr>
              <w:spacing w:val="-3"/>
            </w:rPr>
            <w:t>亚</w:t>
          </w:r>
          <w:r>
            <w:t>凤</w:t>
          </w:r>
          <w:r>
            <w:rPr>
              <w:spacing w:val="-3"/>
            </w:rPr>
            <w:t>凰</w:t>
          </w:r>
          <w:r>
            <w:t>机场</w:t>
          </w:r>
          <w:r>
            <w:rPr>
              <w:spacing w:val="-3"/>
            </w:rPr>
            <w:t>同</w:t>
          </w:r>
          <w:r>
            <w:t>比</w:t>
          </w:r>
          <w:r>
            <w:rPr>
              <w:spacing w:val="-55"/>
            </w:rPr>
            <w:t xml:space="preserve"> </w:t>
          </w:r>
          <w:r>
            <w:rPr>
              <w:rFonts w:ascii="Calibri" w:eastAsia="Calibri"/>
            </w:rPr>
            <w:t>2023</w:t>
          </w:r>
          <w:r>
            <w:rPr>
              <w:rFonts w:ascii="Calibri" w:eastAsia="Calibri"/>
              <w:spacing w:val="7"/>
            </w:rPr>
            <w:t xml:space="preserve"> </w:t>
          </w:r>
          <w:r>
            <w:rPr>
              <w:spacing w:val="-3"/>
            </w:rPr>
            <w:t>年</w:t>
          </w:r>
          <w:r>
            <w:t>负</w:t>
          </w:r>
          <w:r>
            <w:rPr>
              <w:spacing w:val="-3"/>
            </w:rPr>
            <w:t>增</w:t>
          </w:r>
          <w:r>
            <w:t>长</w:t>
            <w:tab/>
          </w:r>
          <w:r>
            <w:rPr>
              <w:rFonts w:ascii="Calibri" w:eastAsia="Calibri"/>
            </w:rPr>
            <w:t>16</w:t>
          </w:r>
        </w:p>
        <w:p>
          <w:pPr>
            <w:pStyle w:val="TOC1"/>
            <w:tabs>
              <w:tab w:val="right" w:leader="dot" w:pos="9765"/>
            </w:tabs>
            <w:ind w:left="132"/>
            <w:rPr>
              <w:rFonts w:ascii="Calibri" w:eastAsia="Calibri"/>
            </w:rPr>
          </w:pPr>
          <w:r>
            <w:t>三、</w:t>
          </w:r>
          <w:r>
            <w:rPr>
              <w:spacing w:val="-3"/>
            </w:rPr>
            <w:t>投</w:t>
          </w:r>
          <w:r>
            <w:t>资</w:t>
          </w:r>
          <w:r>
            <w:rPr>
              <w:spacing w:val="-3"/>
            </w:rPr>
            <w:t>评</w:t>
          </w:r>
          <w:r>
            <w:t>价</w:t>
          </w:r>
          <w:r>
            <w:rPr>
              <w:spacing w:val="-3"/>
            </w:rPr>
            <w:t>和</w:t>
          </w:r>
          <w:r>
            <w:t>建</w:t>
          </w:r>
          <w:r>
            <w:rPr>
              <w:spacing w:val="-3"/>
            </w:rPr>
            <w:t>议</w:t>
          </w:r>
          <w:r>
            <w:t>：</w:t>
          </w:r>
          <w:r>
            <w:rPr>
              <w:spacing w:val="-3"/>
            </w:rPr>
            <w:t>持</w:t>
          </w:r>
          <w:r>
            <w:t>续关</w:t>
          </w:r>
          <w:r>
            <w:rPr>
              <w:spacing w:val="-3"/>
            </w:rPr>
            <w:t>注</w:t>
          </w:r>
          <w:r>
            <w:t>国</w:t>
          </w:r>
          <w:r>
            <w:rPr>
              <w:spacing w:val="-3"/>
            </w:rPr>
            <w:t>际</w:t>
          </w:r>
          <w:r>
            <w:t>航</w:t>
          </w:r>
          <w:r>
            <w:rPr>
              <w:spacing w:val="-3"/>
            </w:rPr>
            <w:t>线</w:t>
          </w:r>
          <w:r>
            <w:t>政</w:t>
          </w:r>
          <w:r>
            <w:rPr>
              <w:spacing w:val="-3"/>
            </w:rPr>
            <w:t>策</w:t>
          </w:r>
          <w:r>
            <w:t>，</w:t>
          </w:r>
          <w:r>
            <w:rPr>
              <w:spacing w:val="-3"/>
            </w:rPr>
            <w:t>供</w:t>
          </w:r>
          <w:r>
            <w:t>需结</w:t>
          </w:r>
          <w:r>
            <w:rPr>
              <w:spacing w:val="-3"/>
            </w:rPr>
            <w:t>构</w:t>
          </w:r>
          <w:r>
            <w:t>有</w:t>
          </w:r>
          <w:r>
            <w:rPr>
              <w:spacing w:val="-3"/>
            </w:rPr>
            <w:t>望</w:t>
          </w:r>
          <w:r>
            <w:t>反转</w:t>
            <w:tab/>
          </w:r>
          <w:r>
            <w:rPr>
              <w:rFonts w:ascii="Calibri" w:eastAsia="Calibri"/>
            </w:rPr>
            <w:t>21</w:t>
          </w:r>
        </w:p>
        <w:p>
          <w:pPr>
            <w:pStyle w:val="TOC1"/>
            <w:tabs>
              <w:tab w:val="right" w:leader="dot" w:pos="9765"/>
            </w:tabs>
            <w:ind w:left="132"/>
            <w:rPr>
              <w:rFonts w:ascii="Calibri" w:eastAsia="Calibri"/>
            </w:rPr>
          </w:pPr>
          <w:r>
            <w:t>四、</w:t>
          </w:r>
          <w:r>
            <w:rPr>
              <w:spacing w:val="-3"/>
            </w:rPr>
            <w:t>风</w:t>
          </w:r>
          <w:r>
            <w:t>险</w:t>
          </w:r>
          <w:r>
            <w:rPr>
              <w:spacing w:val="-3"/>
            </w:rPr>
            <w:t>分</w:t>
          </w:r>
          <w:r>
            <w:t>析</w:t>
            <w:tab/>
          </w:r>
          <w:r>
            <w:rPr>
              <w:rFonts w:ascii="Calibri" w:eastAsia="Calibri"/>
            </w:rPr>
            <w:t>22</w:t>
          </w:r>
        </w:p>
        <w:p>
          <w:pPr>
            <w:pStyle w:val="TOC3"/>
          </w:pPr>
          <w:r>
            <w:rPr>
              <w:color w:val="044E7D"/>
            </w:rPr>
            <w:t>图表目录</w:t>
          </w:r>
        </w:p>
        <w:p>
          <w:pPr>
            <w:pStyle w:val="TOC1"/>
            <w:tabs>
              <w:tab w:val="right" w:leader="dot" w:pos="9763"/>
            </w:tabs>
            <w:spacing w:before="92"/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</w:t>
          </w:r>
          <w:r>
            <w:t>：</w:t>
          </w:r>
          <w:r>
            <w:rPr>
              <w:spacing w:val="-2"/>
            </w:rPr>
            <w:t xml:space="preserve"> </w:t>
          </w:r>
          <w:r>
            <w:t>交</w:t>
          </w:r>
          <w:r>
            <w:rPr>
              <w:spacing w:val="-3"/>
            </w:rPr>
            <w:t>通</w:t>
          </w:r>
          <w:r>
            <w:t>运</w:t>
          </w:r>
          <w:r>
            <w:rPr>
              <w:spacing w:val="-3"/>
            </w:rPr>
            <w:t>输</w:t>
          </w:r>
          <w:r>
            <w:t>行</w:t>
          </w:r>
          <w:r>
            <w:rPr>
              <w:spacing w:val="-3"/>
            </w:rPr>
            <w:t>业各</w:t>
          </w:r>
          <w:r>
            <w:t>子板</w:t>
          </w:r>
          <w:r>
            <w:rPr>
              <w:spacing w:val="-3"/>
            </w:rPr>
            <w:t>块</w:t>
          </w:r>
          <w:r>
            <w:t>与</w:t>
          </w:r>
          <w:r>
            <w:rPr>
              <w:spacing w:val="-3"/>
            </w:rPr>
            <w:t>沪</w:t>
          </w:r>
          <w:r>
            <w:t>深</w:t>
          </w:r>
          <w:r>
            <w:rPr>
              <w:spacing w:val="-53"/>
            </w:rPr>
            <w:t xml:space="preserve"> </w:t>
          </w:r>
          <w:r>
            <w:rPr>
              <w:rFonts w:ascii="Times New Roman" w:eastAsia="Times New Roman"/>
            </w:rPr>
            <w:t>300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的</w:t>
          </w:r>
          <w:r>
            <w:t>超</w:t>
          </w:r>
          <w:r>
            <w:rPr>
              <w:spacing w:val="-3"/>
            </w:rPr>
            <w:t>额</w:t>
          </w:r>
          <w:r>
            <w:t>收益</w:t>
            <w:tab/>
          </w:r>
          <w:r>
            <w:rPr>
              <w:rFonts w:ascii="Times New Roman" w:eastAsia="Times New Roman"/>
            </w:rPr>
            <w:t>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</w:t>
          </w:r>
          <w:r>
            <w:t>：</w:t>
          </w:r>
          <w:r>
            <w:rPr>
              <w:spacing w:val="-2"/>
            </w:rPr>
            <w:t xml:space="preserve"> </w:t>
          </w:r>
          <w:r>
            <w:t>交</w:t>
          </w:r>
          <w:r>
            <w:rPr>
              <w:spacing w:val="-3"/>
            </w:rPr>
            <w:t>通</w:t>
          </w:r>
          <w:r>
            <w:t>运</w:t>
          </w:r>
          <w:r>
            <w:rPr>
              <w:spacing w:val="-3"/>
            </w:rPr>
            <w:t>输</w:t>
          </w:r>
          <w:r>
            <w:t>行</w:t>
          </w:r>
          <w:r>
            <w:rPr>
              <w:spacing w:val="-3"/>
            </w:rPr>
            <w:t>业涨</w:t>
          </w:r>
          <w:r>
            <w:t>跌幅</w:t>
          </w:r>
          <w:r>
            <w:rPr>
              <w:spacing w:val="-3"/>
            </w:rPr>
            <w:t>股</w:t>
          </w:r>
          <w:r>
            <w:t>票</w:t>
          </w:r>
          <w:r>
            <w:rPr>
              <w:spacing w:val="-3"/>
            </w:rPr>
            <w:t>排</w:t>
          </w:r>
          <w:r>
            <w:t>名</w:t>
          </w:r>
          <w:r>
            <w:rPr>
              <w:spacing w:val="-3"/>
            </w:rPr>
            <w:t>前</w:t>
          </w:r>
          <w:r>
            <w:t>十</w:t>
          </w:r>
          <w:r>
            <w:rPr>
              <w:spacing w:val="-3"/>
            </w:rPr>
            <w:t>（</w:t>
          </w:r>
          <w:r>
            <w:t>单</w:t>
          </w:r>
          <w:r>
            <w:rPr>
              <w:spacing w:val="-3"/>
            </w:rPr>
            <w:t>位</w:t>
          </w:r>
          <w:r>
            <w:t>：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4</w:t>
          </w:r>
        </w:p>
        <w:p>
          <w:pPr>
            <w:pStyle w:val="TOC1"/>
            <w:tabs>
              <w:tab w:val="right" w:leader="dot" w:pos="9763"/>
            </w:tabs>
            <w:spacing w:before="42"/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3</w:t>
          </w:r>
          <w:r>
            <w:t>：</w:t>
          </w:r>
          <w:r>
            <w:rPr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空</w:t>
          </w:r>
          <w:r>
            <w:t>机</w:t>
          </w:r>
          <w:r>
            <w:rPr>
              <w:spacing w:val="-3"/>
            </w:rPr>
            <w:t>场</w:t>
          </w:r>
          <w:r>
            <w:t>板</w:t>
          </w:r>
          <w:r>
            <w:rPr>
              <w:spacing w:val="-3"/>
            </w:rPr>
            <w:t>块涨</w:t>
          </w:r>
          <w:r>
            <w:t>跌幅</w:t>
          </w:r>
          <w:r>
            <w:rPr>
              <w:spacing w:val="-3"/>
            </w:rPr>
            <w:t>表</w:t>
          </w:r>
          <w:r>
            <w:t>现</w:t>
          </w:r>
          <w:r>
            <w:rPr>
              <w:spacing w:val="-3"/>
            </w:rPr>
            <w:t>（</w:t>
          </w:r>
          <w:r>
            <w:t>单</w:t>
          </w:r>
          <w:r>
            <w:rPr>
              <w:spacing w:val="-3"/>
            </w:rPr>
            <w:t>位</w:t>
          </w:r>
          <w:r>
            <w:t>：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4</w:t>
          </w:r>
        </w:p>
        <w:p>
          <w:pPr>
            <w:pStyle w:val="TOC1"/>
            <w:tabs>
              <w:tab w:val="right" w:leader="dot" w:pos="9763"/>
            </w:tabs>
            <w:spacing w:before="23"/>
            <w:rPr>
              <w:rFonts w:ascii="Times New Roman" w:eastAsia="Times New Roman"/>
            </w:rPr>
          </w:pPr>
          <w:r>
            <w:rPr>
              <w:rFonts w:ascii="等线" w:eastAsia="等线" w:hint="eastAsia"/>
            </w:rPr>
            <w:t>图表</w:t>
          </w:r>
          <w:r>
            <w:rPr>
              <w:rFonts w:ascii="等线" w:eastAsia="等线" w:hint="eastAsia"/>
              <w:spacing w:val="-5"/>
            </w:rPr>
            <w:t xml:space="preserve"> </w:t>
          </w:r>
          <w:r>
            <w:rPr>
              <w:rFonts w:ascii="Times New Roman" w:eastAsia="Times New Roman"/>
            </w:rPr>
            <w:t>4</w:t>
          </w:r>
          <w:r>
            <w:rPr>
              <w:rFonts w:ascii="等线" w:eastAsia="等线" w:hint="eastAsia"/>
            </w:rPr>
            <w:t>：</w:t>
          </w:r>
          <w:r>
            <w:rPr>
              <w:rFonts w:ascii="等线" w:eastAsia="等线" w:hint="eastAsia"/>
              <w:spacing w:val="46"/>
            </w:rPr>
            <w:t xml:space="preserve"> </w:t>
          </w:r>
          <w:r>
            <w:rPr>
              <w:rFonts w:ascii="Times New Roman" w:eastAsia="Times New Roman"/>
            </w:rPr>
            <w:t>A</w:t>
          </w:r>
          <w:r>
            <w:rPr>
              <w:rFonts w:ascii="Times New Roman" w:eastAsia="Times New Roman"/>
              <w:spacing w:val="-1"/>
            </w:rPr>
            <w:t xml:space="preserve"> </w:t>
          </w:r>
          <w:r>
            <w:t>股</w:t>
          </w:r>
          <w:r>
            <w:rPr>
              <w:spacing w:val="-3"/>
            </w:rPr>
            <w:t>市</w:t>
          </w:r>
          <w:r>
            <w:t>场航</w:t>
          </w:r>
          <w:r>
            <w:rPr>
              <w:spacing w:val="-3"/>
            </w:rPr>
            <w:t>空机</w:t>
          </w:r>
          <w:r>
            <w:t>场板</w:t>
          </w:r>
          <w:r>
            <w:rPr>
              <w:spacing w:val="-3"/>
            </w:rPr>
            <w:t>块</w:t>
          </w:r>
          <w:r>
            <w:t>主</w:t>
          </w:r>
          <w:r>
            <w:rPr>
              <w:spacing w:val="-3"/>
            </w:rPr>
            <w:t>要</w:t>
          </w:r>
          <w:r>
            <w:t>标</w:t>
          </w:r>
          <w:r>
            <w:rPr>
              <w:spacing w:val="-3"/>
            </w:rPr>
            <w:t>的</w:t>
          </w:r>
          <w:r>
            <w:t>股</w:t>
          </w:r>
          <w:r>
            <w:rPr>
              <w:spacing w:val="-3"/>
            </w:rPr>
            <w:t>价</w:t>
          </w:r>
          <w:r>
            <w:t>表</w:t>
          </w:r>
          <w:r>
            <w:rPr>
              <w:spacing w:val="-3"/>
            </w:rPr>
            <w:t>现</w:t>
          </w:r>
          <w:r>
            <w:t>及估值</w:t>
            <w:tab/>
          </w:r>
          <w:r>
            <w:rPr>
              <w:rFonts w:ascii="Times New Roman" w:eastAsia="Times New Roman"/>
            </w:rPr>
            <w:t>5</w:t>
          </w:r>
        </w:p>
        <w:p>
          <w:pPr>
            <w:pStyle w:val="TOC1"/>
            <w:tabs>
              <w:tab w:val="right" w:leader="dot" w:pos="9763"/>
            </w:tabs>
            <w:spacing w:before="17"/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5</w:t>
          </w:r>
          <w:r>
            <w:t>：</w:t>
          </w:r>
          <w:r>
            <w:rPr>
              <w:spacing w:val="-1"/>
            </w:rPr>
            <w:t xml:space="preserve"> </w:t>
          </w:r>
          <w:r>
            <w:t>港</w:t>
          </w:r>
          <w:r>
            <w:rPr>
              <w:spacing w:val="-3"/>
            </w:rPr>
            <w:t>股</w:t>
          </w:r>
          <w:r>
            <w:t>及</w:t>
          </w:r>
          <w:r>
            <w:rPr>
              <w:spacing w:val="-3"/>
            </w:rPr>
            <w:t>海</w:t>
          </w:r>
          <w:r>
            <w:t>外</w:t>
          </w:r>
          <w:r>
            <w:rPr>
              <w:spacing w:val="-3"/>
            </w:rPr>
            <w:t>市场</w:t>
          </w:r>
          <w:r>
            <w:t>航空</w:t>
          </w:r>
          <w:r>
            <w:rPr>
              <w:spacing w:val="-3"/>
            </w:rPr>
            <w:t>机</w:t>
          </w:r>
          <w:r>
            <w:t>场</w:t>
          </w:r>
          <w:r>
            <w:rPr>
              <w:spacing w:val="-3"/>
            </w:rPr>
            <w:t>板</w:t>
          </w:r>
          <w:r>
            <w:t>块</w:t>
          </w:r>
          <w:r>
            <w:rPr>
              <w:spacing w:val="-3"/>
            </w:rPr>
            <w:t>主</w:t>
          </w:r>
          <w:r>
            <w:t>要</w:t>
          </w:r>
          <w:r>
            <w:rPr>
              <w:spacing w:val="-3"/>
            </w:rPr>
            <w:t>标</w:t>
          </w:r>
          <w:r>
            <w:t>的</w:t>
          </w:r>
          <w:r>
            <w:rPr>
              <w:spacing w:val="-3"/>
            </w:rPr>
            <w:t>股</w:t>
          </w:r>
          <w:r>
            <w:t>价表</w:t>
          </w:r>
          <w:r>
            <w:rPr>
              <w:spacing w:val="-3"/>
            </w:rPr>
            <w:t>现</w:t>
          </w:r>
          <w:r>
            <w:t>及</w:t>
          </w:r>
          <w:r>
            <w:rPr>
              <w:spacing w:val="-3"/>
            </w:rPr>
            <w:t>估</w:t>
          </w:r>
          <w:r>
            <w:t>值</w:t>
            <w:tab/>
          </w:r>
          <w:r>
            <w:rPr>
              <w:rFonts w:ascii="Times New Roman" w:eastAsia="Times New Roman"/>
            </w:rPr>
            <w:t>6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6</w:t>
          </w:r>
          <w:r>
            <w:t>：</w:t>
          </w:r>
          <w:r>
            <w:rPr>
              <w:spacing w:val="-2"/>
            </w:rPr>
            <w:t xml:space="preserve"> </w:t>
          </w:r>
          <w:r>
            <w:t>三</w:t>
          </w:r>
          <w:r>
            <w:rPr>
              <w:spacing w:val="-3"/>
            </w:rPr>
            <w:t>大</w:t>
          </w:r>
          <w:r>
            <w:t>航</w:t>
          </w:r>
          <w:r>
            <w:rPr>
              <w:spacing w:val="-3"/>
            </w:rPr>
            <w:t>司</w:t>
          </w:r>
          <w:r>
            <w:t>客</w:t>
          </w:r>
          <w:r>
            <w:rPr>
              <w:spacing w:val="-3"/>
            </w:rPr>
            <w:t>座率</w:t>
          </w:r>
          <w:r>
            <w:t>（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7</w:t>
          </w:r>
        </w:p>
        <w:p>
          <w:pPr>
            <w:pStyle w:val="TOC1"/>
            <w:tabs>
              <w:tab w:val="right" w:leader="dot" w:pos="9763"/>
            </w:tabs>
            <w:spacing w:before="42"/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7</w:t>
          </w:r>
          <w:r>
            <w:t>：</w:t>
          </w:r>
          <w:r>
            <w:rPr>
              <w:spacing w:val="-2"/>
            </w:rPr>
            <w:t xml:space="preserve"> </w:t>
          </w:r>
          <w:r>
            <w:t>三</w:t>
          </w:r>
          <w:r>
            <w:rPr>
              <w:spacing w:val="-3"/>
            </w:rPr>
            <w:t>大</w:t>
          </w:r>
          <w:r>
            <w:t>航</w:t>
          </w:r>
          <w:r>
            <w:rPr>
              <w:spacing w:val="-3"/>
            </w:rPr>
            <w:t>司</w:t>
          </w:r>
          <w:r>
            <w:t>可</w:t>
          </w:r>
          <w:r>
            <w:rPr>
              <w:spacing w:val="-3"/>
            </w:rPr>
            <w:t>用座</w:t>
          </w:r>
          <w:r>
            <w:t>公里</w:t>
          </w:r>
          <w:r>
            <w:rPr>
              <w:spacing w:val="-3"/>
            </w:rPr>
            <w:t>同</w:t>
          </w:r>
          <w:r>
            <w:t>比</w:t>
          </w:r>
          <w:r>
            <w:rPr>
              <w:spacing w:val="-3"/>
            </w:rPr>
            <w:t>增</w:t>
          </w:r>
          <w:r>
            <w:t>速（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7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8</w:t>
          </w:r>
          <w:r>
            <w:t>：</w:t>
          </w:r>
          <w:r>
            <w:rPr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空</w:t>
          </w:r>
          <w:r>
            <w:t>业</w:t>
          </w:r>
          <w:r>
            <w:rPr>
              <w:spacing w:val="-3"/>
            </w:rPr>
            <w:t>供</w:t>
          </w:r>
          <w:r>
            <w:t>需</w:t>
          </w:r>
          <w:r>
            <w:rPr>
              <w:spacing w:val="-3"/>
            </w:rPr>
            <w:t>增速</w:t>
          </w:r>
          <w:r>
            <w:t>差与</w:t>
          </w:r>
          <w:r>
            <w:rPr>
              <w:spacing w:val="-3"/>
            </w:rPr>
            <w:t>客</w:t>
          </w:r>
          <w:r>
            <w:t>座</w:t>
          </w:r>
          <w:r>
            <w:rPr>
              <w:spacing w:val="-3"/>
            </w:rPr>
            <w:t>率</w:t>
          </w:r>
          <w:r>
            <w:t>（</w:t>
          </w:r>
          <w:r>
            <w:rPr>
              <w:rFonts w:ascii="Times New Roman" w:eastAsia="Times New Roman"/>
            </w:rPr>
            <w:t>%</w:t>
          </w:r>
          <w:r>
            <w:t>）</w:t>
            <w:tab/>
          </w:r>
          <w:r>
            <w:rPr>
              <w:rFonts w:ascii="Times New Roman" w:eastAsia="Times New Roman"/>
            </w:rPr>
            <w:t>8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9</w:t>
          </w:r>
          <w:r>
            <w:t xml:space="preserve">： </w:t>
          </w:r>
          <w:r>
            <w:rPr>
              <w:rFonts w:ascii="Times New Roman" w:eastAsia="Times New Roman"/>
            </w:rPr>
            <w:t>2023</w:t>
          </w:r>
          <w:r>
            <w:rPr>
              <w:rFonts w:ascii="Times New Roman" w:eastAsia="Times New Roman"/>
              <w:spacing w:val="-3"/>
            </w:rPr>
            <w:t xml:space="preserve"> </w:t>
          </w:r>
          <w:r>
            <w:t>年</w:t>
          </w:r>
          <w:r>
            <w:rPr>
              <w:spacing w:val="-3"/>
            </w:rPr>
            <w:t>中</w:t>
          </w:r>
          <w:r>
            <w:t>国</w:t>
          </w:r>
          <w:r>
            <w:rPr>
              <w:spacing w:val="-3"/>
            </w:rPr>
            <w:t>民航</w:t>
          </w:r>
          <w:r>
            <w:t>执行</w:t>
          </w:r>
          <w:r>
            <w:rPr>
              <w:spacing w:val="-3"/>
            </w:rPr>
            <w:t>客</w:t>
          </w:r>
          <w:r>
            <w:t>运</w:t>
          </w:r>
          <w:r>
            <w:rPr>
              <w:spacing w:val="-3"/>
            </w:rPr>
            <w:t>航</w:t>
          </w:r>
          <w:r>
            <w:t>班</w:t>
          </w:r>
          <w:r>
            <w:rPr>
              <w:spacing w:val="-3"/>
            </w:rPr>
            <w:t>量</w:t>
          </w:r>
          <w:r>
            <w:t>日</w:t>
          </w:r>
          <w:r>
            <w:rPr>
              <w:spacing w:val="-3"/>
            </w:rPr>
            <w:t>趋</w:t>
          </w:r>
          <w:r>
            <w:t>势</w:t>
            <w:tab/>
          </w:r>
          <w:r>
            <w:rPr>
              <w:rFonts w:ascii="Times New Roman" w:eastAsia="Times New Roman"/>
            </w:rPr>
            <w:t>8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10</w:t>
          </w:r>
          <w:r>
            <w:t>：</w:t>
          </w:r>
          <w:r>
            <w:rPr>
              <w:spacing w:val="-2"/>
            </w:rPr>
            <w:t xml:space="preserve"> </w:t>
          </w:r>
          <w:r>
            <w:t>南</w:t>
          </w:r>
          <w:r>
            <w:rPr>
              <w:spacing w:val="-3"/>
            </w:rPr>
            <w:t>方</w:t>
          </w:r>
          <w:r>
            <w:t>航</w:t>
          </w:r>
          <w:r>
            <w:rPr>
              <w:spacing w:val="-3"/>
            </w:rPr>
            <w:t>空</w:t>
          </w:r>
          <w:r>
            <w:t>各</w:t>
          </w:r>
          <w:r>
            <w:rPr>
              <w:spacing w:val="-3"/>
            </w:rPr>
            <w:t>航</w:t>
          </w:r>
          <w:r>
            <w:t>线月</w:t>
          </w:r>
          <w:r>
            <w:rPr>
              <w:spacing w:val="-3"/>
            </w:rPr>
            <w:t>度</w:t>
          </w:r>
          <w:r>
            <w:t>经</w:t>
          </w:r>
          <w:r>
            <w:rPr>
              <w:spacing w:val="-3"/>
            </w:rPr>
            <w:t>营</w:t>
          </w:r>
          <w:r>
            <w:t>数据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5"/>
            </w:rPr>
            <w:t xml:space="preserve"> </w:t>
          </w:r>
          <w:r>
            <w:rPr>
              <w:rFonts w:ascii="Times New Roman" w:eastAsia="Times New Roman"/>
              <w:spacing w:val="-3"/>
            </w:rPr>
            <w:t>11</w:t>
          </w:r>
          <w:r>
            <w:rPr>
              <w:spacing w:val="-3"/>
            </w:rPr>
            <w:t>：</w:t>
          </w:r>
          <w:r>
            <w:rPr>
              <w:spacing w:val="-2"/>
            </w:rPr>
            <w:t xml:space="preserve"> </w:t>
          </w:r>
          <w:r>
            <w:rPr>
              <w:spacing w:val="-3"/>
            </w:rPr>
            <w:t>东</w:t>
          </w:r>
          <w:r>
            <w:t>方</w:t>
          </w:r>
          <w:r>
            <w:rPr>
              <w:spacing w:val="-3"/>
            </w:rPr>
            <w:t>航</w:t>
          </w:r>
          <w:r>
            <w:t>空</w:t>
          </w:r>
          <w:r>
            <w:rPr>
              <w:spacing w:val="-3"/>
            </w:rPr>
            <w:t>各航</w:t>
          </w:r>
          <w:r>
            <w:t>线月</w:t>
          </w:r>
          <w:r>
            <w:rPr>
              <w:spacing w:val="-3"/>
            </w:rPr>
            <w:t>度</w:t>
          </w:r>
          <w:r>
            <w:t>经</w:t>
          </w:r>
          <w:r>
            <w:rPr>
              <w:spacing w:val="-3"/>
            </w:rPr>
            <w:t>营</w:t>
          </w:r>
          <w:r>
            <w:t>数据</w:t>
            <w:tab/>
          </w:r>
          <w:r>
            <w:rPr>
              <w:rFonts w:ascii="Times New Roman" w:eastAsia="Times New Roman"/>
            </w:rPr>
            <w:t>10</w:t>
          </w:r>
        </w:p>
        <w:p>
          <w:pPr>
            <w:pStyle w:val="TOC1"/>
            <w:tabs>
              <w:tab w:val="right" w:leader="dot" w:pos="9758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12</w:t>
          </w:r>
          <w:r>
            <w:t>：</w:t>
          </w:r>
          <w:r>
            <w:rPr>
              <w:spacing w:val="-2"/>
            </w:rPr>
            <w:t xml:space="preserve"> </w:t>
          </w:r>
          <w:r>
            <w:t>春</w:t>
          </w:r>
          <w:r>
            <w:rPr>
              <w:spacing w:val="-3"/>
            </w:rPr>
            <w:t>秋</w:t>
          </w:r>
          <w:r>
            <w:t>航</w:t>
          </w:r>
          <w:r>
            <w:rPr>
              <w:spacing w:val="-3"/>
            </w:rPr>
            <w:t>空</w:t>
          </w:r>
          <w:r>
            <w:t>各</w:t>
          </w:r>
          <w:r>
            <w:rPr>
              <w:spacing w:val="-3"/>
            </w:rPr>
            <w:t>航</w:t>
          </w:r>
          <w:r>
            <w:t>线月</w:t>
          </w:r>
          <w:r>
            <w:rPr>
              <w:spacing w:val="-3"/>
            </w:rPr>
            <w:t>度</w:t>
          </w:r>
          <w:r>
            <w:t>经</w:t>
          </w:r>
          <w:r>
            <w:rPr>
              <w:spacing w:val="-3"/>
            </w:rPr>
            <w:t>营</w:t>
          </w:r>
          <w:r>
            <w:t>数据</w:t>
            <w:tab/>
          </w:r>
          <w:r>
            <w:rPr>
              <w:rFonts w:ascii="Times New Roman" w:eastAsia="Times New Roman"/>
              <w:spacing w:val="-8"/>
            </w:rPr>
            <w:t>11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13</w:t>
          </w:r>
          <w:r>
            <w:t>：</w:t>
          </w:r>
          <w:r>
            <w:rPr>
              <w:spacing w:val="-2"/>
            </w:rPr>
            <w:t xml:space="preserve"> </w:t>
          </w:r>
          <w:r>
            <w:t>吉</w:t>
          </w:r>
          <w:r>
            <w:rPr>
              <w:spacing w:val="-3"/>
            </w:rPr>
            <w:t>祥</w:t>
          </w:r>
          <w:r>
            <w:t>航</w:t>
          </w:r>
          <w:r>
            <w:rPr>
              <w:spacing w:val="-3"/>
            </w:rPr>
            <w:t>空</w:t>
          </w:r>
          <w:r>
            <w:t>各</w:t>
          </w:r>
          <w:r>
            <w:rPr>
              <w:spacing w:val="-3"/>
            </w:rPr>
            <w:t>航</w:t>
          </w:r>
          <w:r>
            <w:t>线月</w:t>
          </w:r>
          <w:r>
            <w:rPr>
              <w:spacing w:val="-3"/>
            </w:rPr>
            <w:t>度</w:t>
          </w:r>
          <w:r>
            <w:t>经</w:t>
          </w:r>
          <w:r>
            <w:rPr>
              <w:spacing w:val="-3"/>
            </w:rPr>
            <w:t>营</w:t>
          </w:r>
          <w:r>
            <w:t>数据</w:t>
            <w:tab/>
          </w:r>
          <w:r>
            <w:rPr>
              <w:rFonts w:ascii="Times New Roman" w:eastAsia="Times New Roman"/>
            </w:rPr>
            <w:t>12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14</w:t>
          </w:r>
          <w:r>
            <w:t>：</w:t>
          </w:r>
          <w:r>
            <w:rPr>
              <w:spacing w:val="-2"/>
            </w:rPr>
            <w:t xml:space="preserve"> </w:t>
          </w:r>
          <w:r>
            <w:t>上</w:t>
          </w:r>
          <w:r>
            <w:rPr>
              <w:spacing w:val="-3"/>
            </w:rPr>
            <w:t>海</w:t>
          </w:r>
          <w:r>
            <w:t>至</w:t>
          </w:r>
          <w:r>
            <w:rPr>
              <w:spacing w:val="-3"/>
            </w:rPr>
            <w:t>北</w:t>
          </w:r>
          <w:r>
            <w:t>美</w:t>
          </w:r>
          <w:r>
            <w:rPr>
              <w:spacing w:val="-53"/>
            </w:rPr>
            <w:t xml:space="preserve"> </w:t>
          </w:r>
          <w:r>
            <w:rPr>
              <w:rFonts w:ascii="Times New Roman" w:eastAsia="Times New Roman"/>
              <w:spacing w:val="-7"/>
            </w:rPr>
            <w:t>TAC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航</w:t>
          </w:r>
          <w:r>
            <w:t>空</w:t>
          </w:r>
          <w:r>
            <w:rPr>
              <w:spacing w:val="-3"/>
            </w:rPr>
            <w:t>货</w:t>
          </w:r>
          <w:r>
            <w:t>运</w:t>
          </w:r>
          <w:r>
            <w:rPr>
              <w:spacing w:val="-3"/>
            </w:rPr>
            <w:t>价</w:t>
          </w:r>
          <w:r>
            <w:t>格</w:t>
          </w:r>
          <w:r>
            <w:rPr>
              <w:spacing w:val="-3"/>
            </w:rPr>
            <w:t>指</w:t>
          </w:r>
          <w:r>
            <w:t>数</w:t>
            <w:tab/>
          </w:r>
          <w:r>
            <w:rPr>
              <w:rFonts w:ascii="Times New Roman" w:eastAsia="Times New Roman"/>
            </w:rPr>
            <w:t>13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15</w:t>
          </w:r>
          <w:r>
            <w:t>：</w:t>
          </w:r>
          <w:r>
            <w:rPr>
              <w:spacing w:val="-2"/>
            </w:rPr>
            <w:t xml:space="preserve"> </w:t>
          </w:r>
          <w:r>
            <w:t>上</w:t>
          </w:r>
          <w:r>
            <w:rPr>
              <w:spacing w:val="-3"/>
            </w:rPr>
            <w:t>海</w:t>
          </w:r>
          <w:r>
            <w:t>至</w:t>
          </w:r>
          <w:r>
            <w:rPr>
              <w:spacing w:val="-3"/>
            </w:rPr>
            <w:t>欧</w:t>
          </w:r>
          <w:r>
            <w:t>洲</w:t>
          </w:r>
          <w:r>
            <w:rPr>
              <w:spacing w:val="-53"/>
            </w:rPr>
            <w:t xml:space="preserve"> </w:t>
          </w:r>
          <w:r>
            <w:rPr>
              <w:rFonts w:ascii="Times New Roman" w:eastAsia="Times New Roman"/>
              <w:spacing w:val="-7"/>
            </w:rPr>
            <w:t>TAC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航</w:t>
          </w:r>
          <w:r>
            <w:t>空</w:t>
          </w:r>
          <w:r>
            <w:rPr>
              <w:spacing w:val="-3"/>
            </w:rPr>
            <w:t>货</w:t>
          </w:r>
          <w:r>
            <w:t>运</w:t>
          </w:r>
          <w:r>
            <w:rPr>
              <w:spacing w:val="-3"/>
            </w:rPr>
            <w:t>价</w:t>
          </w:r>
          <w:r>
            <w:t>格</w:t>
          </w:r>
          <w:r>
            <w:rPr>
              <w:spacing w:val="-3"/>
            </w:rPr>
            <w:t>指</w:t>
          </w:r>
          <w:r>
            <w:t>数</w:t>
            <w:tab/>
          </w:r>
          <w:r>
            <w:rPr>
              <w:rFonts w:ascii="Times New Roman" w:eastAsia="Times New Roman"/>
            </w:rPr>
            <w:t>13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16</w:t>
          </w:r>
          <w:r>
            <w:t>：</w:t>
          </w:r>
          <w:r>
            <w:rPr>
              <w:spacing w:val="-2"/>
            </w:rPr>
            <w:t xml:space="preserve"> </w:t>
          </w:r>
          <w:r>
            <w:t>香</w:t>
          </w:r>
          <w:r>
            <w:rPr>
              <w:spacing w:val="-3"/>
            </w:rPr>
            <w:t>港</w:t>
          </w:r>
          <w:r>
            <w:t>至</w:t>
          </w:r>
          <w:r>
            <w:rPr>
              <w:spacing w:val="-3"/>
            </w:rPr>
            <w:t>北</w:t>
          </w:r>
          <w:r>
            <w:t>美</w:t>
          </w:r>
          <w:r>
            <w:rPr>
              <w:spacing w:val="-53"/>
            </w:rPr>
            <w:t xml:space="preserve"> </w:t>
          </w:r>
          <w:r>
            <w:rPr>
              <w:rFonts w:ascii="Times New Roman" w:eastAsia="Times New Roman"/>
              <w:spacing w:val="-7"/>
            </w:rPr>
            <w:t>TAC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航</w:t>
          </w:r>
          <w:r>
            <w:t>空</w:t>
          </w:r>
          <w:r>
            <w:rPr>
              <w:spacing w:val="-3"/>
            </w:rPr>
            <w:t>货</w:t>
          </w:r>
          <w:r>
            <w:t>运</w:t>
          </w:r>
          <w:r>
            <w:rPr>
              <w:spacing w:val="-3"/>
            </w:rPr>
            <w:t>价</w:t>
          </w:r>
          <w:r>
            <w:t>格</w:t>
          </w:r>
          <w:r>
            <w:rPr>
              <w:spacing w:val="-3"/>
            </w:rPr>
            <w:t>指</w:t>
          </w:r>
          <w:r>
            <w:t>数</w:t>
            <w:tab/>
          </w:r>
          <w:r>
            <w:rPr>
              <w:rFonts w:ascii="Times New Roman" w:eastAsia="Times New Roman"/>
            </w:rPr>
            <w:t>14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17</w:t>
          </w:r>
          <w:r>
            <w:t>：</w:t>
          </w:r>
          <w:r>
            <w:rPr>
              <w:spacing w:val="-2"/>
            </w:rPr>
            <w:t xml:space="preserve"> </w:t>
          </w:r>
          <w:r>
            <w:t>香</w:t>
          </w:r>
          <w:r>
            <w:rPr>
              <w:spacing w:val="-3"/>
            </w:rPr>
            <w:t>港</w:t>
          </w:r>
          <w:r>
            <w:t>至</w:t>
          </w:r>
          <w:r>
            <w:rPr>
              <w:spacing w:val="-3"/>
            </w:rPr>
            <w:t>欧</w:t>
          </w:r>
          <w:r>
            <w:t>洲</w:t>
          </w:r>
          <w:r>
            <w:rPr>
              <w:spacing w:val="-53"/>
            </w:rPr>
            <w:t xml:space="preserve"> </w:t>
          </w:r>
          <w:r>
            <w:rPr>
              <w:rFonts w:ascii="Times New Roman" w:eastAsia="Times New Roman"/>
              <w:spacing w:val="-7"/>
            </w:rPr>
            <w:t>TAC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航</w:t>
          </w:r>
          <w:r>
            <w:t>空</w:t>
          </w:r>
          <w:r>
            <w:rPr>
              <w:spacing w:val="-3"/>
            </w:rPr>
            <w:t>货</w:t>
          </w:r>
          <w:r>
            <w:t>运</w:t>
          </w:r>
          <w:r>
            <w:rPr>
              <w:spacing w:val="-3"/>
            </w:rPr>
            <w:t>价</w:t>
          </w:r>
          <w:r>
            <w:t>格</w:t>
          </w:r>
          <w:r>
            <w:rPr>
              <w:spacing w:val="-3"/>
            </w:rPr>
            <w:t>指</w:t>
          </w:r>
          <w:r>
            <w:t>数</w:t>
            <w:tab/>
          </w:r>
          <w:r>
            <w:rPr>
              <w:rFonts w:ascii="Times New Roman" w:eastAsia="Times New Roman"/>
            </w:rPr>
            <w:t>14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18</w:t>
          </w:r>
          <w:r>
            <w:t>：</w:t>
          </w:r>
          <w:r>
            <w:rPr>
              <w:spacing w:val="-2"/>
            </w:rPr>
            <w:t xml:space="preserve"> </w:t>
          </w:r>
          <w:r>
            <w:t>法</w:t>
          </w:r>
          <w:r>
            <w:rPr>
              <w:spacing w:val="-3"/>
            </w:rPr>
            <w:t>兰</w:t>
          </w:r>
          <w:r>
            <w:t>克</w:t>
          </w:r>
          <w:r>
            <w:rPr>
              <w:spacing w:val="-3"/>
            </w:rPr>
            <w:t>福</w:t>
          </w:r>
          <w:r>
            <w:t>至</w:t>
          </w:r>
          <w:r>
            <w:rPr>
              <w:spacing w:val="-3"/>
            </w:rPr>
            <w:t>北</w:t>
          </w:r>
          <w:r>
            <w:rPr>
              <w:spacing w:val="52"/>
            </w:rPr>
            <w:t>美</w:t>
          </w:r>
          <w:r>
            <w:rPr>
              <w:rFonts w:ascii="Times New Roman" w:eastAsia="Times New Roman"/>
              <w:spacing w:val="-7"/>
            </w:rPr>
            <w:t>TAC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spacing w:val="-3"/>
            </w:rPr>
            <w:t>航</w:t>
          </w:r>
          <w:r>
            <w:t>空</w:t>
          </w:r>
          <w:r>
            <w:rPr>
              <w:spacing w:val="-3"/>
            </w:rPr>
            <w:t>货</w:t>
          </w:r>
          <w:r>
            <w:t>运</w:t>
          </w:r>
          <w:r>
            <w:rPr>
              <w:spacing w:val="-3"/>
            </w:rPr>
            <w:t>价</w:t>
          </w:r>
          <w:r>
            <w:t>格</w:t>
          </w:r>
          <w:r>
            <w:rPr>
              <w:spacing w:val="-3"/>
            </w:rPr>
            <w:t>指</w:t>
          </w:r>
          <w:r>
            <w:t>数</w:t>
            <w:tab/>
          </w:r>
          <w:r>
            <w:rPr>
              <w:rFonts w:ascii="Times New Roman" w:eastAsia="Times New Roman"/>
            </w:rPr>
            <w:t>14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19</w:t>
          </w:r>
          <w:r>
            <w:t>：</w:t>
          </w:r>
          <w:r>
            <w:rPr>
              <w:spacing w:val="-2"/>
            </w:rPr>
            <w:t xml:space="preserve"> </w:t>
          </w:r>
          <w:r>
            <w:t>法</w:t>
          </w:r>
          <w:r>
            <w:rPr>
              <w:spacing w:val="-3"/>
            </w:rPr>
            <w:t>兰</w:t>
          </w:r>
          <w:r>
            <w:t>克</w:t>
          </w:r>
          <w:r>
            <w:rPr>
              <w:spacing w:val="-3"/>
            </w:rPr>
            <w:t>福</w:t>
          </w:r>
          <w:r>
            <w:t>至</w:t>
          </w:r>
          <w:r>
            <w:rPr>
              <w:spacing w:val="-3"/>
            </w:rPr>
            <w:t>东</w:t>
          </w:r>
          <w:r>
            <w:t>南</w:t>
          </w:r>
          <w:r>
            <w:rPr>
              <w:spacing w:val="50"/>
            </w:rPr>
            <w:t>亚</w:t>
          </w:r>
          <w:r>
            <w:rPr>
              <w:rFonts w:ascii="Times New Roman" w:eastAsia="Times New Roman"/>
              <w:spacing w:val="-7"/>
            </w:rPr>
            <w:t>TAC</w:t>
          </w:r>
          <w:r>
            <w:rPr>
              <w:rFonts w:ascii="Times New Roman" w:eastAsia="Times New Roman"/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空</w:t>
          </w:r>
          <w:r>
            <w:t>货</w:t>
          </w:r>
          <w:r>
            <w:rPr>
              <w:spacing w:val="-3"/>
            </w:rPr>
            <w:t>运</w:t>
          </w:r>
          <w:r>
            <w:t>价格</w:t>
            <w:tab/>
          </w:r>
          <w:r>
            <w:rPr>
              <w:rFonts w:ascii="Times New Roman" w:eastAsia="Times New Roman"/>
            </w:rPr>
            <w:t>14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20</w:t>
          </w:r>
          <w:r>
            <w:t>：</w:t>
          </w:r>
          <w:r>
            <w:rPr>
              <w:spacing w:val="-2"/>
            </w:rPr>
            <w:t xml:space="preserve"> </w:t>
          </w:r>
          <w:r>
            <w:t>航</w:t>
          </w:r>
          <w:r>
            <w:rPr>
              <w:spacing w:val="-3"/>
            </w:rPr>
            <w:t>空</w:t>
          </w:r>
          <w:r>
            <w:t>煤</w:t>
          </w:r>
          <w:r>
            <w:rPr>
              <w:spacing w:val="-3"/>
            </w:rPr>
            <w:t>油</w:t>
          </w:r>
          <w:r>
            <w:t>价</w:t>
          </w:r>
          <w:r>
            <w:rPr>
              <w:spacing w:val="-3"/>
            </w:rPr>
            <w:t>格</w:t>
          </w:r>
          <w:r>
            <w:t>有所</w:t>
          </w:r>
          <w:r>
            <w:rPr>
              <w:spacing w:val="-3"/>
            </w:rPr>
            <w:t>回</w:t>
          </w:r>
          <w:r>
            <w:t>升</w:t>
            <w:tab/>
          </w:r>
          <w:r>
            <w:rPr>
              <w:rFonts w:ascii="Times New Roman" w:eastAsia="Times New Roman"/>
            </w:rPr>
            <w:t>15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21</w:t>
          </w:r>
          <w:r>
            <w:t>：</w:t>
          </w:r>
          <w:r>
            <w:rPr>
              <w:spacing w:val="-2"/>
            </w:rPr>
            <w:t xml:space="preserve"> </w:t>
          </w:r>
          <w:r>
            <w:t>布</w:t>
          </w:r>
          <w:r>
            <w:rPr>
              <w:spacing w:val="-3"/>
            </w:rPr>
            <w:t>伦</w:t>
          </w:r>
          <w:r>
            <w:t>特</w:t>
          </w:r>
          <w:r>
            <w:rPr>
              <w:spacing w:val="-3"/>
            </w:rPr>
            <w:t>原</w:t>
          </w:r>
          <w:r>
            <w:t>油</w:t>
          </w:r>
          <w:r>
            <w:rPr>
              <w:spacing w:val="-3"/>
            </w:rPr>
            <w:t>期</w:t>
          </w:r>
          <w:r>
            <w:t>货结</w:t>
          </w:r>
          <w:r>
            <w:rPr>
              <w:spacing w:val="-3"/>
            </w:rPr>
            <w:t>算</w:t>
          </w:r>
          <w:r>
            <w:t>价</w:t>
          </w:r>
          <w:r>
            <w:rPr>
              <w:spacing w:val="-3"/>
            </w:rPr>
            <w:t>维</w:t>
          </w:r>
          <w:r>
            <w:t>持</w:t>
          </w:r>
          <w:r>
            <w:rPr>
              <w:spacing w:val="-3"/>
            </w:rPr>
            <w:t>高</w:t>
          </w:r>
          <w:r>
            <w:t>位</w:t>
            <w:tab/>
          </w:r>
          <w:r>
            <w:rPr>
              <w:rFonts w:ascii="Times New Roman" w:eastAsia="Times New Roman"/>
            </w:rPr>
            <w:t>15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22</w:t>
          </w:r>
          <w:r>
            <w:t>：</w:t>
          </w:r>
          <w:r>
            <w:rPr>
              <w:spacing w:val="-2"/>
            </w:rPr>
            <w:t xml:space="preserve"> </w:t>
          </w:r>
          <w:r>
            <w:t>国</w:t>
          </w:r>
          <w:r>
            <w:rPr>
              <w:spacing w:val="-3"/>
            </w:rPr>
            <w:t>内</w:t>
          </w:r>
          <w:r>
            <w:t>航</w:t>
          </w:r>
          <w:r>
            <w:rPr>
              <w:spacing w:val="-3"/>
            </w:rPr>
            <w:t>线</w:t>
          </w:r>
          <w:r>
            <w:t>历</w:t>
          </w:r>
          <w:r>
            <w:rPr>
              <w:spacing w:val="-3"/>
            </w:rPr>
            <w:t>史</w:t>
          </w:r>
          <w:r>
            <w:t>燃油</w:t>
          </w:r>
          <w:r>
            <w:rPr>
              <w:spacing w:val="-3"/>
            </w:rPr>
            <w:t>附</w:t>
          </w:r>
          <w:r>
            <w:t>加</w:t>
          </w:r>
          <w:r>
            <w:rPr>
              <w:spacing w:val="-3"/>
            </w:rPr>
            <w:t>费</w:t>
          </w:r>
          <w:r>
            <w:t>征</w:t>
          </w:r>
          <w:r>
            <w:rPr>
              <w:spacing w:val="-3"/>
            </w:rPr>
            <w:t>收</w:t>
          </w:r>
          <w:r>
            <w:t>情况</w:t>
            <w:tab/>
          </w:r>
          <w:r>
            <w:rPr>
              <w:rFonts w:ascii="Times New Roman" w:eastAsia="Times New Roman"/>
            </w:rPr>
            <w:t>15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23</w:t>
          </w:r>
          <w:r>
            <w:t>：</w:t>
          </w:r>
          <w:r>
            <w:rPr>
              <w:spacing w:val="-2"/>
            </w:rPr>
            <w:t xml:space="preserve"> </w:t>
          </w:r>
          <w:r>
            <w:t>美</w:t>
          </w:r>
          <w:r>
            <w:rPr>
              <w:spacing w:val="-3"/>
            </w:rPr>
            <w:t>元</w:t>
          </w:r>
          <w:r>
            <w:t>兑</w:t>
          </w:r>
          <w:r>
            <w:rPr>
              <w:spacing w:val="-3"/>
            </w:rPr>
            <w:t>人</w:t>
          </w:r>
          <w:r>
            <w:t>民</w:t>
          </w:r>
          <w:r>
            <w:rPr>
              <w:spacing w:val="-3"/>
            </w:rPr>
            <w:t>币</w:t>
          </w:r>
          <w:r>
            <w:t>汇率</w:t>
          </w:r>
          <w:r>
            <w:rPr>
              <w:spacing w:val="-3"/>
            </w:rPr>
            <w:t>：</w:t>
          </w:r>
          <w:r>
            <w:t>中</w:t>
          </w:r>
          <w:r>
            <w:rPr>
              <w:spacing w:val="-3"/>
            </w:rPr>
            <w:t>间</w:t>
          </w:r>
          <w:r>
            <w:t>价</w:t>
            <w:tab/>
          </w:r>
          <w:r>
            <w:rPr>
              <w:rFonts w:ascii="Times New Roman" w:eastAsia="Times New Roman"/>
            </w:rPr>
            <w:t>16</w:t>
          </w:r>
        </w:p>
        <w:p>
          <w:pPr>
            <w:pStyle w:val="TOC1"/>
            <w:tabs>
              <w:tab w:val="right" w:leader="dot" w:pos="9763"/>
            </w:tabs>
            <w:rPr>
              <w:rFonts w:ascii="Times New Roman" w:eastAsia="Times New Roman"/>
            </w:rPr>
          </w:pPr>
          <w:r>
            <w:t>图表</w:t>
          </w:r>
          <w:r>
            <w:rPr>
              <w:spacing w:val="-52"/>
            </w:rPr>
            <w:t xml:space="preserve"> </w:t>
          </w:r>
          <w:r>
            <w:rPr>
              <w:rFonts w:ascii="Times New Roman" w:eastAsia="Times New Roman"/>
            </w:rPr>
            <w:t>24</w:t>
          </w:r>
          <w:r>
            <w:t>：</w:t>
          </w:r>
          <w:r>
            <w:rPr>
              <w:spacing w:val="-2"/>
            </w:rPr>
            <w:t xml:space="preserve"> </w:t>
          </w:r>
          <w:r>
            <w:t>三</w:t>
          </w:r>
          <w:r>
            <w:rPr>
              <w:spacing w:val="-3"/>
            </w:rPr>
            <w:t>大</w:t>
          </w:r>
          <w:r>
            <w:t>航</w:t>
          </w:r>
          <w:r>
            <w:rPr>
              <w:spacing w:val="-3"/>
            </w:rPr>
            <w:t>司</w:t>
          </w:r>
          <w:r>
            <w:t>的</w:t>
          </w:r>
          <w:r>
            <w:rPr>
              <w:spacing w:val="-3"/>
            </w:rPr>
            <w:t>汇</w:t>
          </w:r>
          <w:r>
            <w:t>兑损</w:t>
          </w:r>
          <w:r>
            <w:rPr>
              <w:spacing w:val="-3"/>
            </w:rPr>
            <w:t>益</w:t>
          </w:r>
          <w:r>
            <w:t>（</w:t>
          </w:r>
          <w:r>
            <w:rPr>
              <w:spacing w:val="-3"/>
            </w:rPr>
            <w:t>正</w:t>
          </w:r>
          <w:r>
            <w:t>值</w:t>
          </w:r>
          <w:r>
            <w:rPr>
              <w:spacing w:val="-3"/>
            </w:rPr>
            <w:t>表</w:t>
          </w:r>
          <w:r>
            <w:t>示</w:t>
          </w:r>
          <w:r>
            <w:rPr>
              <w:spacing w:val="-3"/>
            </w:rPr>
            <w:t>收</w:t>
          </w:r>
          <w:r>
            <w:t>益）</w:t>
            <w:tab/>
          </w:r>
          <w:r>
            <w:rPr>
              <w:rFonts w:ascii="Times New Roman" w:eastAsia="Times New Roman"/>
            </w:rPr>
            <w:t>16</w:t>
          </w:r>
        </w:p>
      </w:sdtContent>
    </w:sdt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25"/>
        </w:rPr>
      </w:pPr>
      <w:r>
        <w:pict>
          <v:shape id="_x0000_s1025" style="width:482.25pt;height:0.1pt;margin-top:16.83pt;margin-left:56.55pt;mso-position-horizontal-relative:page;mso-wrap-distance-left:0;mso-wrap-distance-right:0;position:absolute;z-index:-251658240" coordorigin="1131,337" coordsize="9645,0" path="m1131,337l10776,337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rFonts w:ascii="Times New Roman"/>
          <w:sz w:val="25"/>
        </w:rPr>
        <w:sectPr>
          <w:headerReference w:type="default" r:id="rId4"/>
          <w:footerReference w:type="default" r:id="rId5"/>
          <w:type w:val="continuous"/>
          <w:pgSz w:w="11910" w:h="16840"/>
          <w:pgMar w:top="1660" w:right="0" w:bottom="920" w:left="1000" w:header="708" w:footer="708"/>
          <w:cols w:space="708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"/>
        <w:rPr>
          <w:rFonts w:ascii="Times New Roman"/>
        </w:rPr>
      </w:pPr>
    </w:p>
    <w:p>
      <w:pPr>
        <w:tabs>
          <w:tab w:val="right" w:leader="dot" w:pos="9763"/>
        </w:tabs>
        <w:spacing w:before="78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25</w:t>
      </w:r>
      <w:r>
        <w:rPr>
          <w:sz w:val="21"/>
        </w:rPr>
        <w:t>：</w:t>
      </w:r>
      <w:r>
        <w:rPr>
          <w:spacing w:val="-1"/>
          <w:sz w:val="21"/>
        </w:rPr>
        <w:t xml:space="preserve"> </w:t>
      </w:r>
      <w:r>
        <w:rPr>
          <w:sz w:val="21"/>
        </w:rPr>
        <w:t>上</w:t>
      </w:r>
      <w:r>
        <w:rPr>
          <w:spacing w:val="-3"/>
          <w:sz w:val="21"/>
        </w:rPr>
        <w:t>海</w:t>
      </w:r>
      <w:r>
        <w:rPr>
          <w:sz w:val="21"/>
        </w:rPr>
        <w:t>浦</w:t>
      </w:r>
      <w:r>
        <w:rPr>
          <w:spacing w:val="-3"/>
          <w:sz w:val="21"/>
        </w:rPr>
        <w:t>东</w:t>
      </w:r>
      <w:r>
        <w:rPr>
          <w:sz w:val="21"/>
        </w:rPr>
        <w:t>机</w:t>
      </w:r>
      <w:r>
        <w:rPr>
          <w:spacing w:val="-3"/>
          <w:sz w:val="21"/>
        </w:rPr>
        <w:t>场</w:t>
      </w:r>
      <w:r>
        <w:rPr>
          <w:sz w:val="21"/>
        </w:rPr>
        <w:t>月度</w:t>
      </w:r>
      <w:r>
        <w:rPr>
          <w:spacing w:val="-3"/>
          <w:sz w:val="21"/>
        </w:rPr>
        <w:t>经</w:t>
      </w:r>
      <w:r>
        <w:rPr>
          <w:sz w:val="21"/>
        </w:rPr>
        <w:t>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z w:val="21"/>
        </w:rPr>
        <w:t>万</w:t>
      </w:r>
      <w:r>
        <w:rPr>
          <w:spacing w:val="-3"/>
          <w:sz w:val="21"/>
        </w:rPr>
        <w:t>人</w:t>
      </w:r>
      <w:r>
        <w:rPr>
          <w:sz w:val="21"/>
        </w:rPr>
        <w:t>次）</w:t>
        <w:tab/>
      </w:r>
      <w:r>
        <w:rPr>
          <w:rFonts w:ascii="Times New Roman" w:eastAsia="Times New Roman"/>
          <w:sz w:val="21"/>
        </w:rPr>
        <w:t>17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26</w:t>
      </w:r>
      <w:r>
        <w:rPr>
          <w:sz w:val="21"/>
        </w:rPr>
        <w:t>：</w:t>
      </w:r>
      <w:r>
        <w:rPr>
          <w:spacing w:val="-1"/>
          <w:sz w:val="21"/>
        </w:rPr>
        <w:t xml:space="preserve"> </w:t>
      </w:r>
      <w:r>
        <w:rPr>
          <w:sz w:val="21"/>
        </w:rPr>
        <w:t>上</w:t>
      </w:r>
      <w:r>
        <w:rPr>
          <w:spacing w:val="-3"/>
          <w:sz w:val="21"/>
        </w:rPr>
        <w:t>海</w:t>
      </w:r>
      <w:r>
        <w:rPr>
          <w:sz w:val="21"/>
        </w:rPr>
        <w:t>虹</w:t>
      </w:r>
      <w:r>
        <w:rPr>
          <w:spacing w:val="-3"/>
          <w:sz w:val="21"/>
        </w:rPr>
        <w:t>桥</w:t>
      </w:r>
      <w:r>
        <w:rPr>
          <w:sz w:val="21"/>
        </w:rPr>
        <w:t>机</w:t>
      </w:r>
      <w:r>
        <w:rPr>
          <w:spacing w:val="-3"/>
          <w:sz w:val="21"/>
        </w:rPr>
        <w:t>场</w:t>
      </w:r>
      <w:r>
        <w:rPr>
          <w:sz w:val="21"/>
        </w:rPr>
        <w:t>月度</w:t>
      </w:r>
      <w:r>
        <w:rPr>
          <w:spacing w:val="-3"/>
          <w:sz w:val="21"/>
        </w:rPr>
        <w:t>经</w:t>
      </w:r>
      <w:r>
        <w:rPr>
          <w:sz w:val="21"/>
        </w:rPr>
        <w:t>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z w:val="21"/>
        </w:rPr>
        <w:t>万</w:t>
      </w:r>
      <w:r>
        <w:rPr>
          <w:spacing w:val="-3"/>
          <w:sz w:val="21"/>
        </w:rPr>
        <w:t>人</w:t>
      </w:r>
      <w:r>
        <w:rPr>
          <w:sz w:val="21"/>
        </w:rPr>
        <w:t>次）</w:t>
        <w:tab/>
      </w:r>
      <w:r>
        <w:rPr>
          <w:rFonts w:ascii="Times New Roman" w:eastAsia="Times New Roman"/>
          <w:sz w:val="21"/>
        </w:rPr>
        <w:t>17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27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首</w:t>
      </w:r>
      <w:r>
        <w:rPr>
          <w:spacing w:val="-3"/>
          <w:sz w:val="21"/>
        </w:rPr>
        <w:t>都</w:t>
      </w:r>
      <w:r>
        <w:rPr>
          <w:sz w:val="21"/>
        </w:rPr>
        <w:t>机</w:t>
      </w:r>
      <w:r>
        <w:rPr>
          <w:spacing w:val="-3"/>
          <w:sz w:val="21"/>
        </w:rPr>
        <w:t>场</w:t>
      </w:r>
      <w:r>
        <w:rPr>
          <w:sz w:val="21"/>
        </w:rPr>
        <w:t>月</w:t>
      </w:r>
      <w:r>
        <w:rPr>
          <w:spacing w:val="-3"/>
          <w:sz w:val="21"/>
        </w:rPr>
        <w:t>度</w:t>
      </w:r>
      <w:r>
        <w:rPr>
          <w:sz w:val="21"/>
        </w:rPr>
        <w:t>经营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pacing w:val="-3"/>
          <w:sz w:val="21"/>
        </w:rPr>
        <w:t>万</w:t>
      </w:r>
      <w:r>
        <w:rPr>
          <w:sz w:val="21"/>
        </w:rPr>
        <w:t>人次）</w:t>
        <w:tab/>
      </w:r>
      <w:r>
        <w:rPr>
          <w:rFonts w:ascii="Times New Roman" w:eastAsia="Times New Roman"/>
          <w:sz w:val="21"/>
        </w:rPr>
        <w:t>18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28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深</w:t>
      </w:r>
      <w:r>
        <w:rPr>
          <w:spacing w:val="-3"/>
          <w:sz w:val="21"/>
        </w:rPr>
        <w:t>圳</w:t>
      </w:r>
      <w:r>
        <w:rPr>
          <w:sz w:val="21"/>
        </w:rPr>
        <w:t>机</w:t>
      </w:r>
      <w:r>
        <w:rPr>
          <w:spacing w:val="-3"/>
          <w:sz w:val="21"/>
        </w:rPr>
        <w:t>场</w:t>
      </w:r>
      <w:r>
        <w:rPr>
          <w:sz w:val="21"/>
        </w:rPr>
        <w:t>月</w:t>
      </w:r>
      <w:r>
        <w:rPr>
          <w:spacing w:val="-3"/>
          <w:sz w:val="21"/>
        </w:rPr>
        <w:t>度</w:t>
      </w:r>
      <w:r>
        <w:rPr>
          <w:sz w:val="21"/>
        </w:rPr>
        <w:t>经营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pacing w:val="-3"/>
          <w:sz w:val="21"/>
        </w:rPr>
        <w:t>万</w:t>
      </w:r>
      <w:r>
        <w:rPr>
          <w:sz w:val="21"/>
        </w:rPr>
        <w:t>人次）</w:t>
        <w:tab/>
      </w:r>
      <w:r>
        <w:rPr>
          <w:rFonts w:ascii="Times New Roman" w:eastAsia="Times New Roman"/>
          <w:sz w:val="21"/>
        </w:rPr>
        <w:t>18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29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白</w:t>
      </w:r>
      <w:r>
        <w:rPr>
          <w:spacing w:val="-3"/>
          <w:sz w:val="21"/>
        </w:rPr>
        <w:t>云</w:t>
      </w:r>
      <w:r>
        <w:rPr>
          <w:sz w:val="21"/>
        </w:rPr>
        <w:t>机</w:t>
      </w:r>
      <w:r>
        <w:rPr>
          <w:spacing w:val="-3"/>
          <w:sz w:val="21"/>
        </w:rPr>
        <w:t>场</w:t>
      </w:r>
      <w:r>
        <w:rPr>
          <w:sz w:val="21"/>
        </w:rPr>
        <w:t>月</w:t>
      </w:r>
      <w:r>
        <w:rPr>
          <w:spacing w:val="-3"/>
          <w:sz w:val="21"/>
        </w:rPr>
        <w:t>度</w:t>
      </w:r>
      <w:r>
        <w:rPr>
          <w:sz w:val="21"/>
        </w:rPr>
        <w:t>经营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pacing w:val="-3"/>
          <w:sz w:val="21"/>
        </w:rPr>
        <w:t>万</w:t>
      </w:r>
      <w:r>
        <w:rPr>
          <w:sz w:val="21"/>
        </w:rPr>
        <w:t>人次）</w:t>
        <w:tab/>
      </w:r>
      <w:r>
        <w:rPr>
          <w:rFonts w:ascii="Times New Roman" w:eastAsia="Times New Roman"/>
          <w:sz w:val="21"/>
        </w:rPr>
        <w:t>19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30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厦</w:t>
      </w:r>
      <w:r>
        <w:rPr>
          <w:spacing w:val="-3"/>
          <w:sz w:val="21"/>
        </w:rPr>
        <w:t>门</w:t>
      </w:r>
      <w:r>
        <w:rPr>
          <w:sz w:val="21"/>
        </w:rPr>
        <w:t>空</w:t>
      </w:r>
      <w:r>
        <w:rPr>
          <w:spacing w:val="-3"/>
          <w:sz w:val="21"/>
        </w:rPr>
        <w:t>港</w:t>
      </w:r>
      <w:r>
        <w:rPr>
          <w:sz w:val="21"/>
        </w:rPr>
        <w:t>月</w:t>
      </w:r>
      <w:r>
        <w:rPr>
          <w:spacing w:val="-3"/>
          <w:sz w:val="21"/>
        </w:rPr>
        <w:t>度</w:t>
      </w:r>
      <w:r>
        <w:rPr>
          <w:sz w:val="21"/>
        </w:rPr>
        <w:t>经营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pacing w:val="-3"/>
          <w:sz w:val="21"/>
        </w:rPr>
        <w:t>万</w:t>
      </w:r>
      <w:r>
        <w:rPr>
          <w:sz w:val="21"/>
        </w:rPr>
        <w:t>人次）</w:t>
        <w:tab/>
      </w:r>
      <w:r>
        <w:rPr>
          <w:rFonts w:ascii="Times New Roman" w:eastAsia="Times New Roman"/>
          <w:sz w:val="21"/>
        </w:rPr>
        <w:t>20</w:t>
      </w:r>
    </w:p>
    <w:p>
      <w:pPr>
        <w:tabs>
          <w:tab w:val="right" w:leader="dot" w:pos="9763"/>
        </w:tabs>
        <w:spacing w:before="43"/>
        <w:ind w:left="135" w:right="0" w:firstLine="0"/>
        <w:jc w:val="left"/>
        <w:rPr>
          <w:rFonts w:ascii="Times New Roman" w:eastAsia="Times New Roman"/>
          <w:sz w:val="21"/>
        </w:rPr>
      </w:pPr>
      <w:r>
        <w:rPr>
          <w:sz w:val="21"/>
        </w:rPr>
        <w:t>图表</w:t>
      </w:r>
      <w:r>
        <w:rPr>
          <w:spacing w:val="-52"/>
          <w:sz w:val="21"/>
        </w:rPr>
        <w:t xml:space="preserve"> </w:t>
      </w:r>
      <w:r>
        <w:rPr>
          <w:rFonts w:ascii="Times New Roman" w:eastAsia="Times New Roman"/>
          <w:sz w:val="21"/>
        </w:rPr>
        <w:t>31</w:t>
      </w:r>
      <w:r>
        <w:rPr>
          <w:sz w:val="21"/>
        </w:rPr>
        <w:t>：</w:t>
      </w:r>
      <w:r>
        <w:rPr>
          <w:spacing w:val="-2"/>
          <w:sz w:val="21"/>
        </w:rPr>
        <w:t xml:space="preserve"> </w:t>
      </w:r>
      <w:r>
        <w:rPr>
          <w:sz w:val="21"/>
        </w:rPr>
        <w:t>美</w:t>
      </w:r>
      <w:r>
        <w:rPr>
          <w:spacing w:val="-3"/>
          <w:sz w:val="21"/>
        </w:rPr>
        <w:t>兰</w:t>
      </w:r>
      <w:r>
        <w:rPr>
          <w:sz w:val="21"/>
        </w:rPr>
        <w:t>机</w:t>
      </w:r>
      <w:r>
        <w:rPr>
          <w:spacing w:val="-3"/>
          <w:sz w:val="21"/>
        </w:rPr>
        <w:t>场</w:t>
      </w:r>
      <w:r>
        <w:rPr>
          <w:sz w:val="21"/>
        </w:rPr>
        <w:t>月</w:t>
      </w:r>
      <w:r>
        <w:rPr>
          <w:spacing w:val="-3"/>
          <w:sz w:val="21"/>
        </w:rPr>
        <w:t>度</w:t>
      </w:r>
      <w:r>
        <w:rPr>
          <w:sz w:val="21"/>
        </w:rPr>
        <w:t>经营</w:t>
      </w:r>
      <w:r>
        <w:rPr>
          <w:spacing w:val="-3"/>
          <w:sz w:val="21"/>
        </w:rPr>
        <w:t>数</w:t>
      </w:r>
      <w:r>
        <w:rPr>
          <w:sz w:val="21"/>
        </w:rPr>
        <w:t>据</w:t>
      </w:r>
      <w:r>
        <w:rPr>
          <w:spacing w:val="-3"/>
          <w:sz w:val="21"/>
        </w:rPr>
        <w:t>（</w:t>
      </w:r>
      <w:r>
        <w:rPr>
          <w:sz w:val="21"/>
        </w:rPr>
        <w:t>单</w:t>
      </w:r>
      <w:r>
        <w:rPr>
          <w:spacing w:val="-3"/>
          <w:sz w:val="21"/>
        </w:rPr>
        <w:t>位</w:t>
      </w:r>
      <w:r>
        <w:rPr>
          <w:sz w:val="21"/>
        </w:rPr>
        <w:t>：</w:t>
      </w:r>
      <w:r>
        <w:rPr>
          <w:spacing w:val="-3"/>
          <w:sz w:val="21"/>
        </w:rPr>
        <w:t>架</w:t>
      </w:r>
      <w:r>
        <w:rPr>
          <w:sz w:val="21"/>
        </w:rPr>
        <w:t>次</w:t>
      </w:r>
      <w:r>
        <w:rPr>
          <w:rFonts w:ascii="Times New Roman" w:eastAsia="Times New Roman"/>
          <w:sz w:val="21"/>
        </w:rPr>
        <w:t>/</w:t>
      </w:r>
      <w:r>
        <w:rPr>
          <w:spacing w:val="-3"/>
          <w:sz w:val="21"/>
        </w:rPr>
        <w:t>万</w:t>
      </w:r>
      <w:r>
        <w:rPr>
          <w:sz w:val="21"/>
        </w:rPr>
        <w:t>人次）</w:t>
        <w:tab/>
      </w:r>
      <w:r>
        <w:rPr>
          <w:rFonts w:ascii="Times New Roman" w:eastAsia="Times New Roman"/>
          <w:sz w:val="21"/>
        </w:rPr>
        <w:t>20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  <w:sz w:val="29"/>
        </w:rPr>
      </w:pPr>
      <w:r>
        <w:pict>
          <v:shape id="_x0000_s1026" style="width:482.25pt;height:0.1pt;margin-top:19.06pt;margin-left:56.55pt;mso-position-horizontal-relative:page;mso-wrap-distance-left:0;mso-wrap-distance-right:0;position:absolute;z-index:-251657216" coordorigin="1131,381" coordsize="9645,0" path="m1131,381l10776,381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rFonts w:ascii="Times New Roman"/>
          <w:sz w:val="29"/>
        </w:rPr>
        <w:sectPr>
          <w:headerReference w:type="default" r:id="rId6"/>
          <w:footerReference w:type="default" r:id="rId7"/>
          <w:pgSz w:w="11910" w:h="16840"/>
          <w:pgMar w:top="1660" w:right="0" w:bottom="920" w:left="1000" w:header="708" w:footer="708"/>
          <w:pgNumType w:start="2"/>
          <w:cols w:space="708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BodyText"/>
        <w:spacing w:line="20" w:lineRule="exact"/>
        <w:ind w:left="94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27" style="width:484.9pt;height:1pt;mso-position-horizontal-relative:char;mso-position-vertical-relative:line" coordorigin="0,0" coordsize="9698,20">
            <v:line id="_x0000_s1028" style="position:absolute" from="0,10" to="9698,10" stroked="t" strokecolor="#044e7d" strokeweight="0.96pt">
              <v:stroke dashstyle="solid"/>
            </v:line>
            <w10:wrap type="none"/>
          </v:group>
        </w:pict>
      </w:r>
    </w:p>
    <w:p>
      <w:pPr>
        <w:pStyle w:val="BodyText"/>
        <w:spacing w:before="5"/>
        <w:rPr>
          <w:rFonts w:ascii="Times New Roman"/>
          <w:sz w:val="6"/>
        </w:rPr>
      </w:pPr>
    </w:p>
    <w:p>
      <w:pPr>
        <w:pStyle w:val="Heading1"/>
        <w:spacing w:line="537" w:lineRule="exact"/>
      </w:pPr>
      <w:bookmarkStart w:id="0" w:name="_TOC_250005"/>
      <w:bookmarkEnd w:id="0"/>
      <w:r>
        <w:rPr>
          <w:color w:val="044E7D"/>
        </w:rPr>
        <w:t>一、行情综述：航空机场板块保持稳定</w:t>
      </w:r>
    </w:p>
    <w:p>
      <w:pPr>
        <w:pStyle w:val="BodyText"/>
        <w:spacing w:before="18"/>
        <w:rPr>
          <w:rFonts w:ascii="Microsoft JhengHei"/>
          <w:b/>
          <w:sz w:val="13"/>
        </w:rPr>
      </w:pPr>
    </w:p>
    <w:p>
      <w:pPr>
        <w:pStyle w:val="Heading2"/>
        <w:numPr>
          <w:ilvl w:val="1"/>
          <w:numId w:val="6"/>
        </w:numPr>
        <w:tabs>
          <w:tab w:val="left" w:pos="541"/>
        </w:tabs>
        <w:spacing w:before="0" w:after="0" w:line="493" w:lineRule="exact"/>
        <w:ind w:left="540" w:right="0" w:hanging="409"/>
        <w:jc w:val="left"/>
      </w:pPr>
      <w:bookmarkStart w:id="1" w:name="_TOC_250004"/>
      <w:r>
        <w:rPr>
          <w:rFonts w:ascii="Times New Roman" w:eastAsia="Times New Roman"/>
        </w:rPr>
        <w:t>A</w:t>
      </w:r>
      <w:r>
        <w:rPr>
          <w:rFonts w:ascii="Times New Roman" w:eastAsia="Times New Roman"/>
          <w:spacing w:val="-4"/>
        </w:rPr>
        <w:t xml:space="preserve"> </w:t>
      </w:r>
      <w:bookmarkEnd w:id="1"/>
      <w:r>
        <w:t>股市场：航空机场板块保持稳定</w:t>
      </w:r>
    </w:p>
    <w:p>
      <w:pPr>
        <w:pStyle w:val="BodyText"/>
        <w:spacing w:before="94" w:line="292" w:lineRule="auto"/>
        <w:ind w:left="132" w:right="1057" w:firstLine="401"/>
      </w:pPr>
      <w:r>
        <w:t xml:space="preserve">从交运各子板块相对沪深 </w:t>
      </w:r>
      <w:r>
        <w:rPr>
          <w:rFonts w:ascii="Times New Roman" w:eastAsia="Times New Roman"/>
        </w:rPr>
        <w:t xml:space="preserve">300 </w:t>
      </w:r>
      <w:r>
        <w:t>的表现来看，本周（</w:t>
      </w:r>
      <w:r>
        <w:rPr>
          <w:rFonts w:ascii="Times New Roman" w:eastAsia="Times New Roman"/>
        </w:rPr>
        <w:t xml:space="preserve">3 </w:t>
      </w:r>
      <w:r>
        <w:t xml:space="preserve">月 </w:t>
      </w:r>
      <w:r>
        <w:rPr>
          <w:rFonts w:ascii="Times New Roman" w:eastAsia="Times New Roman"/>
        </w:rPr>
        <w:t xml:space="preserve">4 </w:t>
      </w:r>
      <w:r>
        <w:t>日</w:t>
      </w:r>
      <w:r>
        <w:rPr>
          <w:rFonts w:ascii="Times New Roman" w:eastAsia="Times New Roman"/>
        </w:rPr>
        <w:t xml:space="preserve">-3 </w:t>
      </w:r>
      <w:r>
        <w:t xml:space="preserve">月 </w:t>
      </w:r>
      <w:r>
        <w:rPr>
          <w:rFonts w:ascii="Times New Roman" w:eastAsia="Times New Roman"/>
        </w:rPr>
        <w:t xml:space="preserve">8 </w:t>
      </w:r>
      <w:r>
        <w:t xml:space="preserve">日）交运板块整体较为稳定。本周航空板块下跌 </w:t>
      </w:r>
      <w:r>
        <w:rPr>
          <w:rFonts w:ascii="Times New Roman" w:eastAsia="Times New Roman"/>
        </w:rPr>
        <w:t>2.16%</w:t>
      </w:r>
      <w:r>
        <w:t xml:space="preserve">，机场板块下跌 </w:t>
      </w:r>
      <w:r>
        <w:rPr>
          <w:rFonts w:ascii="Times New Roman" w:eastAsia="Times New Roman"/>
        </w:rPr>
        <w:t>1.13%</w:t>
      </w:r>
      <w:r>
        <w:t>。</w:t>
      </w:r>
    </w:p>
    <w:p>
      <w:pPr>
        <w:pStyle w:val="BodyText"/>
        <w:spacing w:before="9"/>
        <w:rPr>
          <w:sz w:val="15"/>
        </w:rPr>
      </w:pPr>
    </w:p>
    <w:p>
      <w:pPr>
        <w:spacing w:before="1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</w:t>
      </w:r>
      <w:r>
        <w:rPr>
          <w:rFonts w:ascii="Microsoft JhengHei" w:eastAsia="Microsoft JhengHei" w:hint="eastAsia"/>
          <w:b/>
          <w:sz w:val="18"/>
        </w:rPr>
        <w:t xml:space="preserve">： 交通运输行业各子板块与沪深 </w:t>
      </w:r>
      <w:r>
        <w:rPr>
          <w:rFonts w:ascii="Times New Roman" w:eastAsia="Times New Roman"/>
          <w:b/>
          <w:sz w:val="18"/>
        </w:rPr>
        <w:t xml:space="preserve">300 </w:t>
      </w:r>
      <w:r>
        <w:rPr>
          <w:rFonts w:ascii="Microsoft JhengHei" w:eastAsia="Microsoft JhengHei" w:hint="eastAsia"/>
          <w:b/>
          <w:sz w:val="18"/>
        </w:rPr>
        <w:t>的超额收益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29" style="width:481.9pt;height:1.45pt;mso-position-horizontal-relative:char;mso-position-vertical-relative:line" coordorigin="0,0" coordsize="9638,29">
            <v:line id="_x0000_s1030" style="position:absolute" from="0,14" to="9637,14" stroked="t" strokecolor="#044b80" strokeweight="1.44pt">
              <v:stroke dashstyle="solid"/>
            </v:line>
            <w10:wrap type="none"/>
          </v:group>
        </w:pict>
      </w:r>
    </w:p>
    <w:p>
      <w:pPr>
        <w:spacing w:before="79" w:line="116" w:lineRule="exact"/>
        <w:ind w:left="353" w:right="0" w:firstLine="0"/>
        <w:jc w:val="left"/>
        <w:rPr>
          <w:rFonts w:ascii="Arial"/>
          <w:sz w:val="14"/>
        </w:rPr>
      </w:pPr>
      <w:r>
        <w:rPr>
          <w:rFonts w:ascii="Arial"/>
          <w:color w:val="585858"/>
          <w:w w:val="105"/>
          <w:sz w:val="14"/>
        </w:rPr>
        <w:t>150%</w:t>
      </w:r>
    </w:p>
    <w:p>
      <w:pPr>
        <w:tabs>
          <w:tab w:val="left" w:pos="2629"/>
          <w:tab w:val="left" w:pos="3535"/>
          <w:tab w:val="left" w:pos="4441"/>
          <w:tab w:val="left" w:pos="5347"/>
          <w:tab w:val="left" w:pos="6253"/>
          <w:tab w:val="left" w:pos="7159"/>
          <w:tab w:val="left" w:pos="8064"/>
          <w:tab w:val="left" w:pos="8970"/>
        </w:tabs>
        <w:spacing w:before="0" w:line="167" w:lineRule="exact"/>
        <w:ind w:left="1723" w:right="0" w:firstLine="0"/>
        <w:jc w:val="left"/>
        <w:rPr>
          <w:sz w:val="14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1171581</wp:posOffset>
            </wp:positionH>
            <wp:positionV relativeFrom="paragraph">
              <wp:posOffset>128945</wp:posOffset>
            </wp:positionV>
            <wp:extent cx="5533733" cy="121444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3733" cy="1214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1" style="mso-position-horizontal-relative:page;position:absolute;z-index:251670528" from="118.75pt,3.75pt" to="134.55pt,3.75pt" stroked="t" strokecolor="red" strokeweight="1.58pt">
            <v:stroke dashstyle="solid"/>
          </v:line>
        </w:pict>
      </w:r>
      <w:r>
        <w:pict>
          <v:line id="_x0000_s1032" style="mso-position-horizontal-relative:page;position:absolute;z-index:-251656192" from="164.05pt,3.75pt" to="179.8pt,3.75pt" stroked="t" strokecolor="#044e7d" strokeweight="1.58pt">
            <v:stroke dashstyle="solid"/>
          </v:line>
        </w:pict>
      </w:r>
      <w:r>
        <w:pict>
          <v:line id="_x0000_s1033" style="mso-position-horizontal-relative:page;position:absolute;z-index:-251655168" from="209.3pt,3.75pt" to="225.05pt,3.75pt" stroked="t" strokecolor="#ff8080" strokeweight="1.58pt">
            <v:stroke dashstyle="solid"/>
          </v:line>
        </w:pict>
      </w:r>
      <w:r>
        <w:pict>
          <v:line id="_x0000_s1034" style="mso-position-horizontal-relative:page;position:absolute;z-index:-251654144" from="254.55pt,3.75pt" to="270.35pt,3.75pt" stroked="t" strokecolor="#81a6bd" strokeweight="1.58pt">
            <v:stroke dashstyle="solid"/>
          </v:line>
        </w:pict>
      </w:r>
      <w:r>
        <w:pict>
          <v:line id="_x0000_s1035" style="mso-position-horizontal-relative:page;position:absolute;z-index:-251653120" from="299.9pt,3.75pt" to="315.7pt,3.75pt" stroked="t" strokecolor="#ffb1b1" strokeweight="1.58pt">
            <v:stroke dashstyle="solid"/>
          </v:line>
        </w:pict>
      </w:r>
      <w:r>
        <w:pict>
          <v:line id="_x0000_s1036" style="mso-position-horizontal-relative:page;position:absolute;z-index:-251652096" from="345.15pt,3.75pt" to="360.95pt,3.75pt" stroked="t" strokecolor="#b4c9d7" strokeweight="1.58pt">
            <v:stroke dashstyle="solid"/>
          </v:line>
        </w:pict>
      </w:r>
      <w:r>
        <w:pict>
          <v:line id="_x0000_s1037" style="mso-position-horizontal-relative:page;position:absolute;z-index:-251651072" from="390.45pt,3.75pt" to="406.2pt,3.75pt" stroked="t" strokecolor="#c00000" strokeweight="1.58pt">
            <v:stroke dashstyle="solid"/>
          </v:line>
        </w:pict>
      </w:r>
      <w:r>
        <w:pict>
          <v:line id="_x0000_s1038" style="mso-position-horizontal-relative:page;position:absolute;z-index:-251650048" from="435.8pt,3.75pt" to="451.55pt,3.75pt" stroked="t" strokecolor="#367097" strokeweight="1.58pt">
            <v:stroke dashstyle="solid"/>
          </v:line>
        </w:pict>
      </w:r>
      <w:r>
        <w:pict>
          <v:line id="_x0000_s1039" style="mso-position-horizontal-relative:page;position:absolute;z-index:-251649024" from="481.05pt,3.75pt" to="496.8pt,3.75pt" stroked="t" strokecolor="#7e7e7e" strokeweight="1.58pt">
            <v:stroke dashstyle="solid"/>
          </v:line>
        </w:pict>
      </w:r>
      <w:r>
        <w:rPr>
          <w:color w:val="585858"/>
          <w:w w:val="105"/>
          <w:sz w:val="14"/>
        </w:rPr>
        <w:t>公路</w:t>
        <w:tab/>
        <w:t>铁路</w:t>
        <w:tab/>
        <w:t>公交</w:t>
        <w:tab/>
        <w:t>快递</w:t>
        <w:tab/>
        <w:t>航运</w:t>
        <w:tab/>
        <w:t>港口</w:t>
        <w:tab/>
        <w:t>航空</w:t>
        <w:tab/>
        <w:t>机场</w:t>
        <w:tab/>
        <w:t>物流综合</w:t>
      </w:r>
    </w:p>
    <w:p>
      <w:pPr>
        <w:spacing w:before="117"/>
        <w:ind w:left="0" w:right="10173" w:firstLine="0"/>
        <w:jc w:val="right"/>
        <w:rPr>
          <w:rFonts w:ascii="Arial"/>
          <w:sz w:val="15"/>
        </w:rPr>
      </w:pPr>
      <w:r>
        <w:rPr>
          <w:rFonts w:ascii="Arial"/>
          <w:color w:val="585858"/>
          <w:spacing w:val="-1"/>
          <w:w w:val="95"/>
          <w:sz w:val="15"/>
        </w:rPr>
        <w:t>100%</w:t>
      </w:r>
    </w:p>
    <w:p>
      <w:pPr>
        <w:pStyle w:val="BodyText"/>
        <w:spacing w:before="4"/>
        <w:rPr>
          <w:rFonts w:ascii="Arial"/>
          <w:sz w:val="21"/>
        </w:rPr>
      </w:pPr>
    </w:p>
    <w:p>
      <w:pPr>
        <w:spacing w:before="0"/>
        <w:ind w:left="0" w:right="10174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spacing w:val="-1"/>
          <w:w w:val="105"/>
          <w:sz w:val="14"/>
        </w:rPr>
        <w:t>50%</w:t>
      </w:r>
    </w:p>
    <w:p>
      <w:pPr>
        <w:pStyle w:val="BodyText"/>
        <w:spacing w:before="7"/>
        <w:rPr>
          <w:rFonts w:ascii="Arial"/>
          <w:sz w:val="21"/>
        </w:rPr>
      </w:pPr>
    </w:p>
    <w:p>
      <w:pPr>
        <w:spacing w:before="0"/>
        <w:ind w:left="0" w:right="10171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w w:val="105"/>
          <w:sz w:val="14"/>
        </w:rPr>
        <w:t>0%</w:t>
      </w: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1"/>
        <w:ind w:left="0" w:right="10174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spacing w:val="-1"/>
          <w:w w:val="105"/>
          <w:sz w:val="14"/>
        </w:rPr>
        <w:t>-50%</w:t>
      </w: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0"/>
        <w:ind w:left="0" w:right="10173" w:firstLine="0"/>
        <w:jc w:val="right"/>
        <w:rPr>
          <w:rFonts w:ascii="Arial"/>
          <w:sz w:val="14"/>
        </w:rPr>
      </w:pPr>
      <w:r>
        <w:rPr>
          <w:rFonts w:ascii="Arial"/>
          <w:color w:val="585858"/>
          <w:spacing w:val="-1"/>
          <w:w w:val="105"/>
          <w:sz w:val="14"/>
        </w:rPr>
        <w:t>-100%</w:t>
      </w:r>
    </w:p>
    <w:p>
      <w:pPr>
        <w:pStyle w:val="BodyText"/>
        <w:spacing w:before="8"/>
        <w:rPr>
          <w:rFonts w:ascii="Arial"/>
          <w:sz w:val="12"/>
        </w:rPr>
      </w:pPr>
    </w:p>
    <w:p>
      <w:pPr>
        <w:spacing w:before="102"/>
        <w:ind w:left="303" w:right="0" w:firstLine="0"/>
        <w:jc w:val="left"/>
        <w:rPr>
          <w:rFonts w:ascii="Arial"/>
          <w:sz w:val="14"/>
        </w:rPr>
      </w:pPr>
      <w:r>
        <w:rPr>
          <w:rFonts w:ascii="Arial"/>
          <w:color w:val="585858"/>
          <w:w w:val="105"/>
          <w:sz w:val="14"/>
        </w:rPr>
        <w:t>-150%</w:t>
      </w:r>
    </w:p>
    <w:p>
      <w:pPr>
        <w:spacing w:before="6"/>
        <w:ind w:left="634" w:right="0" w:firstLine="0"/>
        <w:jc w:val="left"/>
        <w:rPr>
          <w:rFonts w:ascii="Arial"/>
          <w:sz w:val="15"/>
        </w:rPr>
      </w:pPr>
      <w:r>
        <w:rPr>
          <w:rFonts w:ascii="Arial"/>
          <w:color w:val="585858"/>
          <w:sz w:val="15"/>
        </w:rPr>
        <w:t>2019/1 2019/5 2019/9 2020/1 2020/5 2020/9 2021/1 2021/5 2021/9 2022/1 2022/5 2022/9 2023/1 2023/5 2023/9 2024/1</w:t>
      </w:r>
    </w:p>
    <w:p>
      <w:pPr>
        <w:pStyle w:val="BodyText"/>
        <w:spacing w:before="9"/>
        <w:rPr>
          <w:rFonts w:ascii="Arial"/>
          <w:sz w:val="19"/>
        </w:rPr>
      </w:pPr>
      <w:r>
        <w:pict>
          <v:shape id="_x0000_s1040" style="width:481.9pt;height:0.1pt;margin-top:13.84pt;margin-left:62.06pt;mso-position-horizontal-relative:page;mso-wrap-distance-left:0;mso-wrap-distance-right:0;position:absolute;z-index:-251648000" coordorigin="1241,277" coordsize="9638,0" path="m1241,277l10879,277e" filled="f" stroked="t" strokecolor="#044b80" strokeweight="0.96pt">
            <v:stroke dashstyle="solid"/>
            <v:path arrowok="t"/>
            <w10:wrap type="topAndBottom"/>
          </v:shape>
        </w:pict>
      </w:r>
    </w:p>
    <w:p>
      <w:pPr>
        <w:spacing w:before="16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spacing w:before="1"/>
        <w:rPr>
          <w:sz w:val="12"/>
        </w:rPr>
      </w:pPr>
    </w:p>
    <w:p>
      <w:pPr>
        <w:pStyle w:val="BodyText"/>
        <w:spacing w:before="78" w:line="292" w:lineRule="auto"/>
        <w:ind w:left="132" w:right="1133" w:firstLine="401"/>
        <w:jc w:val="both"/>
      </w:pPr>
      <w:r>
        <w:rPr>
          <w:spacing w:val="-2"/>
        </w:rPr>
        <w:t>本周</w:t>
      </w:r>
      <w:r>
        <w:t>（</w:t>
      </w:r>
      <w:r>
        <w:rPr>
          <w:rFonts w:ascii="Times New Roman" w:eastAsia="Times New Roman"/>
        </w:rPr>
        <w:t xml:space="preserve">3 </w:t>
      </w:r>
      <w:r>
        <w:rPr>
          <w:spacing w:val="-28"/>
        </w:rPr>
        <w:t xml:space="preserve">月 </w:t>
      </w:r>
      <w:r>
        <w:rPr>
          <w:rFonts w:ascii="Times New Roman" w:eastAsia="Times New Roman"/>
        </w:rPr>
        <w:t xml:space="preserve">4 </w:t>
      </w:r>
      <w:r>
        <w:t>日</w:t>
      </w:r>
      <w:r>
        <w:rPr>
          <w:rFonts w:ascii="Times New Roman" w:eastAsia="Times New Roman"/>
        </w:rPr>
        <w:t xml:space="preserve">-3 </w:t>
      </w:r>
      <w:r>
        <w:rPr>
          <w:spacing w:val="-28"/>
        </w:rPr>
        <w:t xml:space="preserve">月 </w:t>
      </w:r>
      <w:r>
        <w:rPr>
          <w:rFonts w:ascii="Times New Roman" w:eastAsia="Times New Roman"/>
        </w:rPr>
        <w:t xml:space="preserve">8 </w:t>
      </w:r>
      <w:r>
        <w:t>日）</w:t>
      </w:r>
      <w:r>
        <w:rPr>
          <w:spacing w:val="-4"/>
        </w:rPr>
        <w:t xml:space="preserve">海汽集团、新宁物流、皖通高速分别上涨 </w:t>
      </w:r>
      <w:r>
        <w:rPr>
          <w:rFonts w:ascii="Times New Roman" w:eastAsia="Times New Roman"/>
        </w:rPr>
        <w:t>17.5%</w:t>
      </w:r>
      <w:r>
        <w:rPr>
          <w:spacing w:val="-3"/>
        </w:rPr>
        <w:t>、</w:t>
      </w:r>
      <w:r>
        <w:rPr>
          <w:rFonts w:ascii="Times New Roman" w:eastAsia="Times New Roman"/>
        </w:rPr>
        <w:t>11.9%</w:t>
      </w:r>
      <w:r>
        <w:rPr>
          <w:spacing w:val="-3"/>
        </w:rPr>
        <w:t>、</w:t>
      </w:r>
      <w:r>
        <w:rPr>
          <w:rFonts w:ascii="Times New Roman" w:eastAsia="Times New Roman"/>
        </w:rPr>
        <w:t>9.3%</w:t>
      </w:r>
      <w:r>
        <w:rPr>
          <w:spacing w:val="-1"/>
        </w:rPr>
        <w:t>，密尔克卫、原</w:t>
      </w:r>
      <w:r>
        <w:rPr>
          <w:spacing w:val="-7"/>
        </w:rPr>
        <w:t xml:space="preserve">尚股份、华夏航空分别下跌 </w:t>
      </w:r>
      <w:r>
        <w:rPr>
          <w:rFonts w:ascii="Times New Roman" w:eastAsia="Times New Roman"/>
        </w:rPr>
        <w:t>14.6%</w:t>
      </w:r>
      <w:r>
        <w:rPr>
          <w:spacing w:val="-8"/>
        </w:rPr>
        <w:t>、</w:t>
      </w:r>
      <w:r>
        <w:rPr>
          <w:rFonts w:ascii="Times New Roman" w:eastAsia="Times New Roman"/>
        </w:rPr>
        <w:t>7.3%</w:t>
      </w:r>
      <w:r>
        <w:rPr>
          <w:spacing w:val="-8"/>
        </w:rPr>
        <w:t>、</w:t>
      </w:r>
      <w:r>
        <w:rPr>
          <w:rFonts w:ascii="Times New Roman" w:eastAsia="Times New Roman"/>
        </w:rPr>
        <w:t>6.8%</w:t>
      </w:r>
      <w:r>
        <w:rPr>
          <w:spacing w:val="-7"/>
        </w:rPr>
        <w:t xml:space="preserve">。本周航空板块中信海直、白云机场分别上涨 </w:t>
      </w:r>
      <w:r>
        <w:rPr>
          <w:rFonts w:ascii="Times New Roman" w:eastAsia="Times New Roman"/>
        </w:rPr>
        <w:t>6.3%</w:t>
      </w:r>
      <w:r>
        <w:rPr>
          <w:spacing w:val="-8"/>
        </w:rPr>
        <w:t>、</w:t>
      </w:r>
      <w:r>
        <w:rPr>
          <w:rFonts w:ascii="Times New Roman" w:eastAsia="Times New Roman"/>
        </w:rPr>
        <w:t>0.5%</w:t>
      </w:r>
      <w:r>
        <w:rPr>
          <w:spacing w:val="-3"/>
        </w:rPr>
        <w:t xml:space="preserve">，华夏航空、吉祥航空和东方航空分别下跌 </w:t>
      </w:r>
      <w:r>
        <w:rPr>
          <w:rFonts w:ascii="Times New Roman" w:eastAsia="Times New Roman"/>
        </w:rPr>
        <w:t>6.8%</w:t>
      </w:r>
      <w:r>
        <w:t>、</w:t>
      </w:r>
      <w:r>
        <w:rPr>
          <w:rFonts w:ascii="Times New Roman" w:eastAsia="Times New Roman"/>
        </w:rPr>
        <w:t>4.4%</w:t>
      </w:r>
      <w:r>
        <w:rPr>
          <w:spacing w:val="-25"/>
        </w:rPr>
        <w:t xml:space="preserve">和 </w:t>
      </w:r>
      <w:r>
        <w:rPr>
          <w:rFonts w:ascii="Times New Roman" w:eastAsia="Times New Roman"/>
        </w:rPr>
        <w:t>3.5%</w:t>
      </w:r>
      <w:r>
        <w:t>。</w:t>
      </w:r>
    </w:p>
    <w:p>
      <w:pPr>
        <w:pStyle w:val="BodyText"/>
        <w:spacing w:before="9"/>
        <w:rPr>
          <w:sz w:val="15"/>
        </w:rPr>
      </w:pPr>
    </w:p>
    <w:p>
      <w:pPr>
        <w:tabs>
          <w:tab w:val="left" w:pos="5253"/>
        </w:tabs>
        <w:spacing w:before="0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2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Microsoft JhengHei" w:eastAsia="Microsoft JhengHei" w:hint="eastAsia"/>
          <w:b/>
          <w:spacing w:val="4"/>
          <w:sz w:val="18"/>
        </w:rPr>
        <w:t xml:space="preserve"> </w:t>
      </w:r>
      <w:r>
        <w:rPr>
          <w:rFonts w:ascii="Microsoft JhengHei" w:eastAsia="Microsoft JhengHei" w:hint="eastAsia"/>
          <w:b/>
          <w:sz w:val="18"/>
        </w:rPr>
        <w:t>交通运输行业涨跌幅股票排名前十（单位：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  <w:tab/>
        <w:t>图表</w:t>
      </w:r>
      <w:r>
        <w:rPr>
          <w:rFonts w:ascii="Times New Roman" w:eastAsia="Times New Roman"/>
          <w:b/>
          <w:sz w:val="18"/>
        </w:rPr>
        <w:t>3</w:t>
      </w:r>
      <w:r>
        <w:rPr>
          <w:rFonts w:ascii="Microsoft JhengHei" w:eastAsia="Microsoft JhengHei" w:hint="eastAsia"/>
          <w:b/>
          <w:sz w:val="18"/>
        </w:rPr>
        <w:t>：</w:t>
      </w:r>
      <w:r>
        <w:rPr>
          <w:rFonts w:ascii="Microsoft JhengHei" w:eastAsia="Microsoft JhengHei" w:hint="eastAsia"/>
          <w:b/>
          <w:spacing w:val="1"/>
          <w:sz w:val="18"/>
        </w:rPr>
        <w:t xml:space="preserve"> </w:t>
      </w:r>
      <w:r>
        <w:rPr>
          <w:rFonts w:ascii="Microsoft JhengHei" w:eastAsia="Microsoft JhengHei" w:hint="eastAsia"/>
          <w:b/>
          <w:sz w:val="18"/>
        </w:rPr>
        <w:t>航空机场板块涨跌幅表现（单位：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41" style="width:482pt;height:1.45pt;mso-position-horizontal-relative:char;mso-position-vertical-relative:line" coordorigin="0,0" coordsize="9640,29">
            <v:line id="_x0000_s1042" style="position:absolute" from="0,14" to="4774,14" stroked="t" strokecolor="#044b80" strokeweight="1.44pt">
              <v:stroke dashstyle="solid"/>
            </v:line>
            <v:rect id="_x0000_s1043" style="width:29;height:29;left:4774;position:absolute" filled="t" fillcolor="#044b80" stroked="f">
              <v:fill type="solid"/>
            </v:rect>
            <v:line id="_x0000_s1044" style="position:absolute" from="4803,14" to="5012,14" stroked="t" strokecolor="#044b80" strokeweight="1.44pt">
              <v:stroke dashstyle="solid"/>
            </v:line>
            <v:rect id="_x0000_s1045" style="width:29;height:29;left:5012;position:absolute" filled="t" fillcolor="#044b80" stroked="f">
              <v:fill type="solid"/>
            </v:rect>
            <v:line id="_x0000_s1046" style="position:absolute" from="5041,14" to="9640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3"/>
        <w:rPr>
          <w:rFonts w:ascii="Microsoft JhengHei"/>
          <w:b/>
          <w:sz w:val="7"/>
        </w:rPr>
      </w:pPr>
    </w:p>
    <w:p>
      <w:pPr>
        <w:tabs>
          <w:tab w:val="left" w:pos="1264"/>
          <w:tab w:val="left" w:pos="2338"/>
          <w:tab w:val="left" w:pos="3170"/>
          <w:tab w:val="left" w:pos="4279"/>
        </w:tabs>
        <w:spacing w:before="0"/>
        <w:ind w:left="588" w:right="0" w:firstLine="0"/>
        <w:jc w:val="left"/>
        <w:rPr>
          <w:sz w:val="14"/>
        </w:rPr>
      </w:pPr>
      <w:r>
        <w:rPr>
          <w:sz w:val="14"/>
        </w:rPr>
        <w:t>排名</w:t>
        <w:tab/>
        <w:t>证券简称</w:t>
        <w:tab/>
        <w:t>涨幅</w:t>
        <w:tab/>
        <w:t>证券简称</w:t>
        <w:tab/>
        <w:t>跌幅</w:t>
      </w:r>
    </w:p>
    <w:p>
      <w:pPr>
        <w:spacing w:after="0"/>
        <w:jc w:val="left"/>
        <w:rPr>
          <w:sz w:val="14"/>
        </w:rPr>
        <w:sectPr>
          <w:headerReference w:type="default" r:id="rId9"/>
          <w:footerReference w:type="default" r:id="rId10"/>
          <w:pgSz w:w="11910" w:h="16840"/>
          <w:pgMar w:top="1660" w:right="0" w:bottom="920" w:left="1000" w:header="708" w:footer="708"/>
          <w:pgNumType w:start="3"/>
          <w:cols w:space="708"/>
        </w:sectPr>
      </w:pP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3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海汽集团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2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新宁物流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2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皖通高速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2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重庆路桥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2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中远海能</w:t>
      </w:r>
    </w:p>
    <w:p>
      <w:pPr>
        <w:pStyle w:val="ListParagraph"/>
        <w:numPr>
          <w:ilvl w:val="2"/>
          <w:numId w:val="6"/>
        </w:numPr>
        <w:tabs>
          <w:tab w:val="left" w:pos="1334"/>
          <w:tab w:val="left" w:pos="1335"/>
        </w:tabs>
        <w:spacing w:before="32" w:after="0" w:line="240" w:lineRule="auto"/>
        <w:ind w:left="1334" w:right="0" w:hanging="643"/>
        <w:jc w:val="left"/>
        <w:rPr>
          <w:sz w:val="14"/>
        </w:rPr>
      </w:pPr>
      <w:r>
        <w:rPr>
          <w:sz w:val="14"/>
        </w:rPr>
        <w:t>唐山港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2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中信海直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2" w:after="0" w:line="240" w:lineRule="auto"/>
        <w:ind w:left="1264" w:right="0" w:hanging="573"/>
        <w:jc w:val="left"/>
        <w:rPr>
          <w:sz w:val="14"/>
        </w:rPr>
      </w:pPr>
      <w:r>
        <w:rPr>
          <w:spacing w:val="-1"/>
          <w:w w:val="95"/>
          <w:sz w:val="14"/>
        </w:rPr>
        <w:t>东航物流</w:t>
      </w:r>
    </w:p>
    <w:p>
      <w:pPr>
        <w:pStyle w:val="ListParagraph"/>
        <w:numPr>
          <w:ilvl w:val="2"/>
          <w:numId w:val="6"/>
        </w:numPr>
        <w:tabs>
          <w:tab w:val="left" w:pos="1299"/>
          <w:tab w:val="left" w:pos="1300"/>
        </w:tabs>
        <w:spacing w:before="32" w:after="0" w:line="240" w:lineRule="auto"/>
        <w:ind w:left="1299" w:right="0" w:hanging="608"/>
        <w:jc w:val="left"/>
        <w:rPr>
          <w:sz w:val="14"/>
        </w:rPr>
      </w:pPr>
      <w:r>
        <w:rPr>
          <w:spacing w:val="-1"/>
          <w:w w:val="95"/>
          <w:sz w:val="14"/>
        </w:rPr>
        <w:t>粤高速A</w:t>
      </w:r>
    </w:p>
    <w:p>
      <w:pPr>
        <w:pStyle w:val="ListParagraph"/>
        <w:numPr>
          <w:ilvl w:val="2"/>
          <w:numId w:val="6"/>
        </w:numPr>
        <w:tabs>
          <w:tab w:val="left" w:pos="1264"/>
          <w:tab w:val="left" w:pos="1265"/>
        </w:tabs>
        <w:spacing w:before="33" w:after="0" w:line="240" w:lineRule="auto"/>
        <w:ind w:left="1264" w:right="0" w:hanging="607"/>
        <w:jc w:val="left"/>
        <w:rPr>
          <w:sz w:val="14"/>
        </w:rPr>
      </w:pPr>
      <w:r>
        <w:rPr>
          <w:spacing w:val="-1"/>
          <w:w w:val="95"/>
          <w:sz w:val="14"/>
        </w:rPr>
        <w:t>招商公路</w:t>
      </w:r>
    </w:p>
    <w:p>
      <w:pPr>
        <w:tabs>
          <w:tab w:val="left" w:pos="1429"/>
          <w:tab w:val="left" w:pos="2373"/>
        </w:tabs>
        <w:spacing w:before="33"/>
        <w:ind w:left="658" w:right="0" w:firstLine="0"/>
        <w:jc w:val="left"/>
        <w:rPr>
          <w:sz w:val="14"/>
        </w:rPr>
      </w:pPr>
      <w:r>
        <w:br w:type="column"/>
      </w:r>
      <w:r>
        <w:rPr>
          <w:sz w:val="14"/>
        </w:rPr>
        <w:t>密尔克卫</w:t>
        <w:tab/>
      </w:r>
      <w:r>
        <w:rPr>
          <w:sz w:val="14"/>
          <w:shd w:val="clear" w:color="auto" w:fill="00AF50"/>
        </w:rPr>
        <w:t>-14.6</w:t>
        <w:tab/>
      </w:r>
    </w:p>
    <w:p>
      <w:pPr>
        <w:tabs>
          <w:tab w:val="left" w:pos="1732"/>
          <w:tab w:val="left" w:pos="2373"/>
        </w:tabs>
        <w:spacing w:before="32"/>
        <w:ind w:left="658" w:right="0" w:firstLine="0"/>
        <w:jc w:val="left"/>
        <w:rPr>
          <w:sz w:val="14"/>
        </w:rPr>
      </w:pPr>
      <w:r>
        <w:pict>
          <v:group id="_x0000_s1047" style="width:47.25pt;height:104.05pt;margin-top:-9.79pt;margin-left:150.06pt;mso-position-horizontal-relative:page;position:absolute;z-index:251671552" coordorigin="3001,-196" coordsize="945,2081">
            <v:shape id="_x0000_s1048" style="width:945;height:2078;left:3001;position:absolute;top:-196" coordorigin="3001,-196" coordsize="945,2078" path="m3296,1708l3001,1708,3001,1882,3296,1882,3296,1708m3296,1496l3001,1496,3001,1671,3296,1671,3296,1496m3296,1284l3001,1284,3001,1459,3296,1459,3296,1284m3339,1073l3001,1073,3001,1248,3339,1248,3339,1073m3417,862l3001,862,3001,1036,3417,1036,3417,862m3434,650l3001,650,3001,825,3434,825,3434,650m3469,439l3001,439,3001,613,3469,613,3469,439m3504,227l3001,227,3001,402,3504,402,3504,227m3642,16l3001,16,3001,190,3642,190,3642,16m3945,-196l3001,-196,3001,-21,3945,-21,3945,-196e" filled="t" fillcolor="#ee7679" stroked="f">
              <v:fill typ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width:945;height:2081;left:3001;position:absolute;top:-196" filled="f" stroked="f">
              <v:textbox inset="0,0,0,0">
                <w:txbxContent>
                  <w:p>
                    <w:pPr>
                      <w:spacing w:before="16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17.5</w:t>
                    </w:r>
                  </w:p>
                  <w:p>
                    <w:pPr>
                      <w:spacing w:before="32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11.9</w:t>
                    </w:r>
                  </w:p>
                  <w:p>
                    <w:pPr>
                      <w:spacing w:before="32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9.3</w:t>
                    </w:r>
                  </w:p>
                  <w:p>
                    <w:pPr>
                      <w:spacing w:before="32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8.7</w:t>
                    </w:r>
                  </w:p>
                  <w:p>
                    <w:pPr>
                      <w:spacing w:before="32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8.0</w:t>
                    </w:r>
                  </w:p>
                  <w:p>
                    <w:pPr>
                      <w:spacing w:before="33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7.7</w:t>
                    </w:r>
                  </w:p>
                  <w:p>
                    <w:pPr>
                      <w:spacing w:before="31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6.3</w:t>
                    </w:r>
                  </w:p>
                  <w:p>
                    <w:pPr>
                      <w:spacing w:before="33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5.5</w:t>
                    </w:r>
                  </w:p>
                  <w:p>
                    <w:pPr>
                      <w:spacing w:before="32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5.4</w:t>
                    </w:r>
                  </w:p>
                  <w:p>
                    <w:pPr>
                      <w:spacing w:before="32" w:line="161" w:lineRule="exact"/>
                      <w:ind w:left="283" w:right="342" w:firstLine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5.4</w:t>
                    </w:r>
                  </w:p>
                </w:txbxContent>
              </v:textbox>
            </v:shape>
          </v:group>
        </w:pict>
      </w:r>
      <w:r>
        <w:pict>
          <v:shape id="_x0000_s1050" type="#_x0000_t202" style="width:209.9pt;height:65.6pt;margin-top:4.81pt;margin-left:329.97pt;mso-position-horizontal-relative:page;position:absolute;z-index:25167564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31"/>
                    <w:gridCol w:w="877"/>
                    <w:gridCol w:w="973"/>
                    <w:gridCol w:w="817"/>
                    <w:gridCol w:w="99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0"/>
                      <w:jc w:val="left"/>
                    </w:trPr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18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排名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证券简称</w:t>
                        </w:r>
                      </w:p>
                    </w:tc>
                    <w:tc>
                      <w:tcPr>
                        <w:tcW w:w="97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涨幅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4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证券简称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2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跌幅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2"/>
                      <w:jc w:val="left"/>
                    </w:trPr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30"/>
                          <w:ind w:right="13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before="30"/>
                          <w:ind w:right="8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中信海直</w:t>
                        </w:r>
                      </w:p>
                    </w:tc>
                    <w:tc>
                      <w:tcPr>
                        <w:tcW w:w="973" w:type="dxa"/>
                      </w:tcPr>
                      <w:p>
                        <w:pPr>
                          <w:pStyle w:val="TableParagraph"/>
                          <w:tabs>
                            <w:tab w:val="left" w:pos="744"/>
                          </w:tabs>
                          <w:spacing w:before="30"/>
                          <w:ind w:right="57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EE7679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EE7679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14"/>
                            <w:shd w:val="clear" w:color="auto" w:fill="EE7679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4"/>
                            <w:shd w:val="clear" w:color="auto" w:fill="EE7679"/>
                          </w:rPr>
                          <w:t>6.3</w:t>
                        </w:r>
                        <w:r>
                          <w:rPr>
                            <w:sz w:val="14"/>
                            <w:shd w:val="clear" w:color="auto" w:fill="EE7679"/>
                          </w:rPr>
                          <w:tab/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before="40"/>
                          <w:ind w:right="141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华夏航空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tabs>
                            <w:tab w:val="left" w:pos="805"/>
                          </w:tabs>
                          <w:spacing w:before="30"/>
                          <w:ind w:right="4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14"/>
                            <w:shd w:val="clear" w:color="auto" w:fill="00AF5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14"/>
                            <w:shd w:val="clear" w:color="auto" w:fill="00AF50"/>
                          </w:rPr>
                          <w:t>-6.8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7"/>
                      <w:jc w:val="left"/>
                    </w:trPr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37"/>
                          <w:ind w:right="13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spacing w:before="37"/>
                          <w:ind w:right="82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白云机场</w:t>
                        </w:r>
                      </w:p>
                    </w:tc>
                    <w:tc>
                      <w:tcPr>
                        <w:tcW w:w="973" w:type="dxa"/>
                      </w:tcPr>
                      <w:p>
                        <w:pPr>
                          <w:pStyle w:val="TableParagraph"/>
                          <w:spacing w:before="37"/>
                          <w:ind w:right="12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0.5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before="35"/>
                          <w:ind w:right="141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吉祥航空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tabs>
                            <w:tab w:val="left" w:pos="576"/>
                          </w:tabs>
                          <w:spacing w:before="37"/>
                          <w:ind w:right="4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-</w:t>
                        </w:r>
                        <w:r>
                          <w:rPr>
                            <w:w w:val="105"/>
                            <w:sz w:val="14"/>
                            <w:shd w:val="clear" w:color="auto" w:fill="00AF50"/>
                          </w:rPr>
                          <w:t>4.4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6"/>
                      <w:jc w:val="left"/>
                    </w:trPr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25" w:line="142" w:lineRule="exact"/>
                          <w:ind w:right="13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9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before="23" w:line="144" w:lineRule="exact"/>
                          <w:ind w:right="141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东方航空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tabs>
                            <w:tab w:val="left" w:pos="576"/>
                          </w:tabs>
                          <w:spacing w:before="25" w:line="142" w:lineRule="exact"/>
                          <w:ind w:right="4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-3</w:t>
                        </w:r>
                        <w:r>
                          <w:rPr>
                            <w:w w:val="105"/>
                            <w:sz w:val="14"/>
                            <w:shd w:val="clear" w:color="auto" w:fill="00AF50"/>
                          </w:rPr>
                          <w:t>.5</w:t>
                        </w:r>
                        <w:r>
                          <w:rPr>
                            <w:sz w:val="14"/>
                            <w:shd w:val="clear" w:color="auto" w:fill="00AF50"/>
                          </w:rPr>
                          <w:tab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0"/>
                      <w:jc w:val="left"/>
                    </w:trPr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before="64"/>
                          <w:ind w:right="13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9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before="62"/>
                          <w:ind w:right="141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中国国航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before="64"/>
                          <w:ind w:left="350" w:right="31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-2.2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3"/>
                      <w:jc w:val="left"/>
                    </w:trPr>
                    <w:tc>
                      <w:tcPr>
                        <w:tcW w:w="531" w:type="dxa"/>
                      </w:tcPr>
                      <w:p>
                        <w:pPr>
                          <w:pStyle w:val="TableParagraph"/>
                          <w:spacing w:line="143" w:lineRule="exact"/>
                          <w:ind w:right="139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87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9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line="143" w:lineRule="exact"/>
                          <w:ind w:right="141"/>
                          <w:jc w:val="right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春秋航空</w:t>
                        </w:r>
                      </w:p>
                    </w:tc>
                    <w:tc>
                      <w:tcPr>
                        <w:tcW w:w="999" w:type="dxa"/>
                      </w:tcPr>
                      <w:p>
                        <w:pPr>
                          <w:pStyle w:val="TableParagraph"/>
                          <w:spacing w:line="143" w:lineRule="exact"/>
                          <w:ind w:left="350" w:right="31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-2.1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14"/>
        </w:rPr>
        <w:t>原尚股份</w:t>
        <w:tab/>
        <w:t>-7</w:t>
      </w:r>
      <w:r>
        <w:rPr>
          <w:sz w:val="14"/>
          <w:shd w:val="clear" w:color="auto" w:fill="00AF50"/>
        </w:rPr>
        <w:t>.3</w:t>
        <w:tab/>
      </w:r>
    </w:p>
    <w:p>
      <w:pPr>
        <w:tabs>
          <w:tab w:val="left" w:pos="1732"/>
          <w:tab w:val="left" w:pos="2373"/>
        </w:tabs>
        <w:spacing w:before="32"/>
        <w:ind w:left="658" w:right="0" w:firstLine="0"/>
        <w:jc w:val="left"/>
        <w:rPr>
          <w:sz w:val="14"/>
        </w:rPr>
      </w:pPr>
      <w:r>
        <w:pict>
          <v:shape id="_x0000_s1051" style="width:19.5pt;height:72.2pt;margin-top:11.37pt;margin-left:274.83pt;mso-position-horizontal-relative:page;position:absolute;z-index:251672576" coordorigin="5497,227" coordsize="390,1444" path="m5886,1496l5609,1496,5609,1671,5886,1671,5886,1496m5886,1285l5600,1285,5600,1459,5886,1459,5886,1285m5886,1073l5566,1073,5566,1248,5886,1248,5886,1073m5886,862l5566,862,5566,1037,5886,1037,5886,862m5886,650l5566,650,5566,825,5886,825,5886,650m5886,439l5557,439,5557,613,5886,613,5886,439m5886,227l5497,227,5497,402,5886,402,5886,227e" filled="t" fillcolor="#00af50" stroked="f">
            <v:fill type="solid"/>
            <v:path arrowok="t"/>
          </v:shape>
        </w:pict>
      </w:r>
      <w:r>
        <w:rPr>
          <w:sz w:val="14"/>
        </w:rPr>
        <w:t>华夏航空</w:t>
        <w:tab/>
        <w:t>-6.</w:t>
      </w:r>
      <w:r>
        <w:rPr>
          <w:sz w:val="14"/>
          <w:shd w:val="clear" w:color="auto" w:fill="00AF50"/>
        </w:rPr>
        <w:t>8</w:t>
        <w:tab/>
      </w:r>
    </w:p>
    <w:p>
      <w:pPr>
        <w:tabs>
          <w:tab w:val="left" w:pos="1732"/>
        </w:tabs>
        <w:spacing w:before="32"/>
        <w:ind w:left="658" w:right="0" w:firstLine="0"/>
        <w:jc w:val="left"/>
        <w:rPr>
          <w:sz w:val="14"/>
        </w:rPr>
      </w:pPr>
      <w:r>
        <w:pict>
          <v:line id="_x0000_s1052" style="mso-position-horizontal-relative:page;position:absolute;z-index:251673600" from="406.05pt,6.45pt" to="406.05pt,15.35pt" stroked="t" strokecolor="#ee7679" strokeweight="3pt">
            <v:stroke dashstyle="solid"/>
          </v:line>
        </w:pict>
      </w:r>
      <w:r>
        <w:rPr>
          <w:sz w:val="14"/>
        </w:rPr>
        <w:t>龙江交通</w:t>
        <w:tab/>
        <w:t>-6.0</w:t>
      </w:r>
    </w:p>
    <w:p>
      <w:pPr>
        <w:tabs>
          <w:tab w:val="left" w:pos="1732"/>
        </w:tabs>
        <w:spacing w:before="32"/>
        <w:ind w:left="658" w:right="0" w:firstLine="0"/>
        <w:jc w:val="left"/>
        <w:rPr>
          <w:sz w:val="14"/>
        </w:rPr>
      </w:pPr>
      <w:r>
        <w:rPr>
          <w:sz w:val="14"/>
        </w:rPr>
        <w:t>宏川智慧</w:t>
        <w:tab/>
        <w:t>-5.1</w:t>
      </w:r>
    </w:p>
    <w:p>
      <w:pPr>
        <w:tabs>
          <w:tab w:val="left" w:pos="1732"/>
        </w:tabs>
        <w:spacing w:before="32"/>
        <w:ind w:left="658" w:right="0" w:firstLine="0"/>
        <w:jc w:val="left"/>
        <w:rPr>
          <w:sz w:val="14"/>
        </w:rPr>
      </w:pPr>
      <w:r>
        <w:pict>
          <v:shape id="_x0000_s1053" style="width:13.25pt;height:20.25pt;margin-top:7.89pt;margin-left:524.13pt;mso-position-horizontal-relative:page;position:absolute;z-index:251674624" coordorigin="10483,158" coordsize="265,405" path="m10747,383l10495,383,10495,562,10747,562,10747,383m10747,158l10483,158,10483,336,10747,336,10747,158e" filled="t" fillcolor="#00af50" stroked="f">
            <v:fill type="solid"/>
            <v:path arrowok="t"/>
          </v:shape>
        </w:pict>
      </w:r>
      <w:r>
        <w:rPr>
          <w:sz w:val="14"/>
        </w:rPr>
        <w:t>炬申股份</w:t>
        <w:tab/>
        <w:t>-5.0</w:t>
      </w:r>
    </w:p>
    <w:p>
      <w:pPr>
        <w:tabs>
          <w:tab w:val="left" w:pos="1732"/>
        </w:tabs>
        <w:spacing w:before="32"/>
        <w:ind w:left="727" w:right="0" w:firstLine="0"/>
        <w:jc w:val="left"/>
        <w:rPr>
          <w:sz w:val="14"/>
        </w:rPr>
      </w:pPr>
      <w:r>
        <w:rPr>
          <w:sz w:val="14"/>
        </w:rPr>
        <w:t>ST天顺</w:t>
        <w:tab/>
        <w:t>-4.9</w:t>
      </w:r>
    </w:p>
    <w:p>
      <w:pPr>
        <w:tabs>
          <w:tab w:val="left" w:pos="1732"/>
        </w:tabs>
        <w:spacing w:before="32"/>
        <w:ind w:left="658" w:right="0" w:firstLine="0"/>
        <w:jc w:val="left"/>
        <w:rPr>
          <w:sz w:val="14"/>
        </w:rPr>
      </w:pPr>
      <w:r>
        <w:rPr>
          <w:sz w:val="14"/>
        </w:rPr>
        <w:t>海晨股份</w:t>
        <w:tab/>
        <w:t>-4.9</w:t>
      </w:r>
    </w:p>
    <w:p>
      <w:pPr>
        <w:tabs>
          <w:tab w:val="left" w:pos="1732"/>
        </w:tabs>
        <w:spacing w:before="32"/>
        <w:ind w:left="658" w:right="0" w:firstLine="0"/>
        <w:jc w:val="left"/>
        <w:rPr>
          <w:sz w:val="14"/>
        </w:rPr>
      </w:pPr>
      <w:r>
        <w:rPr>
          <w:sz w:val="14"/>
        </w:rPr>
        <w:t>吉祥航空</w:t>
        <w:tab/>
        <w:t>-4.4</w:t>
      </w:r>
    </w:p>
    <w:p>
      <w:pPr>
        <w:tabs>
          <w:tab w:val="left" w:pos="1732"/>
        </w:tabs>
        <w:spacing w:before="33"/>
        <w:ind w:left="727" w:right="0" w:firstLine="0"/>
        <w:jc w:val="left"/>
        <w:rPr>
          <w:sz w:val="14"/>
        </w:rPr>
      </w:pPr>
      <w:r>
        <w:rPr>
          <w:sz w:val="14"/>
        </w:rPr>
        <w:t>怡亚通</w:t>
        <w:tab/>
        <w:t>-4.3</w:t>
      </w:r>
    </w:p>
    <w:p>
      <w:pPr>
        <w:spacing w:after="0"/>
        <w:jc w:val="left"/>
        <w:rPr>
          <w:sz w:val="14"/>
        </w:rPr>
        <w:sectPr>
          <w:headerReference w:type="default" r:id="rId11"/>
          <w:footerReference w:type="default" r:id="rId12"/>
          <w:type w:val="continuous"/>
          <w:pgSz w:w="11910" w:h="16840"/>
          <w:pgMar w:top="1660" w:right="0" w:bottom="920" w:left="1000" w:header="708" w:footer="708"/>
          <w:pgNumType w:start="4"/>
          <w:cols w:num="2" w:space="708" w:equalWidth="0">
            <w:col w:w="1860" w:space="653"/>
            <w:col w:w="8397" w:space="0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line="20" w:lineRule="exact"/>
        <w:ind w:left="231"/>
        <w:rPr>
          <w:sz w:val="2"/>
        </w:rPr>
      </w:pPr>
      <w:r>
        <w:rPr>
          <w:sz w:val="2"/>
        </w:rPr>
        <w:pict>
          <v:group id="_x0000_i1054" style="width:482pt;height:1pt;mso-position-horizontal-relative:char;mso-position-vertical-relative:line" coordorigin="0,0" coordsize="9640,20">
            <v:line id="_x0000_s1055" style="position:absolute" from="0,10" to="4774,10" stroked="t" strokecolor="#044b80" strokeweight="0.96pt">
              <v:stroke dashstyle="solid"/>
            </v:line>
            <v:rect id="_x0000_s1056" style="width:20;height:20;left:4774;position:absolute" filled="t" fillcolor="#044b80" stroked="f">
              <v:fill type="solid"/>
            </v:rect>
            <v:line id="_x0000_s1057" style="position:absolute" from="4793,10" to="5012,10" stroked="t" strokecolor="#044b80" strokeweight="0.96pt">
              <v:stroke dashstyle="solid"/>
            </v:line>
            <v:rect id="_x0000_s1058" style="width:20;height:20;left:5012;position:absolute" filled="t" fillcolor="#044b80" stroked="f">
              <v:fill type="solid"/>
            </v:rect>
            <v:line id="_x0000_s1059" style="position:absolute" from="5031,10" to="9640,10" stroked="t" strokecolor="#044b80" strokeweight="0.96pt">
              <v:stroke dashstyle="solid"/>
            </v:line>
            <w10:wrap type="none"/>
          </v:group>
        </w:pict>
      </w:r>
    </w:p>
    <w:p>
      <w:pPr>
        <w:tabs>
          <w:tab w:val="left" w:pos="5253"/>
        </w:tabs>
        <w:spacing w:before="45"/>
        <w:ind w:left="241" w:right="0" w:firstLine="0"/>
        <w:jc w:val="left"/>
        <w:rPr>
          <w:sz w:val="17"/>
        </w:rPr>
      </w:pPr>
      <w:r>
        <w:t xml:space="preserve">资料来源： ， </w:t>
        <w:tab/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8"/>
        </w:rPr>
      </w:pPr>
      <w:r>
        <w:pict>
          <v:shape id="_x0000_s1060" style="width:482.25pt;height:0.1pt;margin-top:20.75pt;margin-left:56.55pt;mso-position-horizontal-relative:page;mso-wrap-distance-left:0;mso-wrap-distance-right:0;position:absolute;z-index:-251639808" coordorigin="1131,415" coordsize="9645,0" path="m1131,415l10776,415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8"/>
        </w:rPr>
        <w:sectPr>
          <w:headerReference w:type="default" r:id="rId13"/>
          <w:footerReference w:type="default" r:id="rId14"/>
          <w:type w:val="continuous"/>
          <w:pgSz w:w="11910" w:h="16840"/>
          <w:pgMar w:top="1660" w:right="0" w:bottom="920" w:left="1000" w:header="708" w:footer="708"/>
          <w:pgNumType w:start="5"/>
          <w:cols w:space="708"/>
        </w:sectPr>
      </w:pPr>
    </w:p>
    <w:p>
      <w:pPr>
        <w:spacing w:before="89"/>
        <w:ind w:left="0" w:right="1191" w:firstLine="0"/>
        <w:jc w:val="right"/>
        <w:rPr>
          <w:sz w:val="16"/>
        </w:rPr>
      </w:pPr>
      <w:r>
        <w:rPr>
          <w:color w:val="044E7D"/>
          <w:sz w:val="16"/>
        </w:rPr>
        <w:t>行业动态研究报告</w:t>
      </w:r>
    </w:p>
    <w:p>
      <w:pPr>
        <w:pStyle w:val="BodyText"/>
        <w:spacing w:before="7"/>
        <w:rPr>
          <w:sz w:val="14"/>
        </w:rPr>
      </w:pPr>
    </w:p>
    <w:p>
      <w:pPr>
        <w:spacing w:before="21" w:after="14"/>
        <w:ind w:left="132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等线" w:eastAsia="等线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4</w:t>
      </w:r>
      <w:r>
        <w:rPr>
          <w:rFonts w:ascii="等线" w:eastAsia="等线" w:hint="eastAsia"/>
          <w:b/>
          <w:sz w:val="18"/>
        </w:rPr>
        <w:t xml:space="preserve">： </w:t>
      </w:r>
      <w:r>
        <w:rPr>
          <w:rFonts w:ascii="Times New Roman" w:eastAsia="Times New Roman"/>
          <w:b/>
          <w:sz w:val="18"/>
        </w:rPr>
        <w:t xml:space="preserve">A </w:t>
      </w:r>
      <w:r>
        <w:rPr>
          <w:rFonts w:ascii="Microsoft JhengHei" w:eastAsia="Microsoft JhengHei" w:hint="eastAsia"/>
          <w:b/>
          <w:sz w:val="18"/>
        </w:rPr>
        <w:t>股市场航空机场板块主要标的股价表现及估值</w:t>
      </w:r>
    </w:p>
    <w:tbl>
      <w:tblPr>
        <w:tblStyle w:val="TableNormal1"/>
        <w:tblW w:w="0" w:type="auto"/>
        <w:jc w:val="left"/>
        <w:tblInd w:w="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4"/>
        <w:gridCol w:w="963"/>
        <w:gridCol w:w="1108"/>
        <w:gridCol w:w="1546"/>
        <w:gridCol w:w="1131"/>
        <w:gridCol w:w="1373"/>
        <w:gridCol w:w="1111"/>
        <w:gridCol w:w="529"/>
        <w:gridCol w:w="1092"/>
      </w:tblGrid>
      <w:tr>
        <w:tblPrEx>
          <w:tblW w:w="0" w:type="auto"/>
          <w:jc w:val="left"/>
          <w:tblInd w:w="1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"/>
          <w:jc w:val="left"/>
        </w:trPr>
        <w:tc>
          <w:tcPr>
            <w:tcW w:w="794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4" w:right="110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细分行业</w:t>
            </w:r>
          </w:p>
        </w:tc>
        <w:tc>
          <w:tcPr>
            <w:tcW w:w="963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112" w:right="170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上市公司</w:t>
            </w:r>
          </w:p>
        </w:tc>
        <w:tc>
          <w:tcPr>
            <w:tcW w:w="1108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230"/>
              <w:jc w:val="left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股票代码</w:t>
            </w:r>
          </w:p>
        </w:tc>
        <w:tc>
          <w:tcPr>
            <w:tcW w:w="1546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174" w:right="211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市值（亿美元）</w:t>
            </w:r>
          </w:p>
        </w:tc>
        <w:tc>
          <w:tcPr>
            <w:tcW w:w="1131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211" w:right="239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周涨跌幅</w:t>
            </w:r>
          </w:p>
        </w:tc>
        <w:tc>
          <w:tcPr>
            <w:tcW w:w="1373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239" w:right="133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年初至今涨幅</w:t>
            </w:r>
          </w:p>
        </w:tc>
        <w:tc>
          <w:tcPr>
            <w:tcW w:w="1111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33"/>
              <w:ind w:left="130" w:right="52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Times New Roman" w:eastAsia="Times New Roman"/>
                <w:b/>
                <w:sz w:val="16"/>
              </w:rPr>
              <w:t>PE</w:t>
            </w:r>
            <w:r>
              <w:rPr>
                <w:rFonts w:ascii="Microsoft JhengHei" w:eastAsia="Microsoft JhengHei" w:hint="eastAsia"/>
                <w:b/>
                <w:sz w:val="16"/>
              </w:rPr>
              <w:t>（</w:t>
            </w:r>
            <w:r>
              <w:rPr>
                <w:rFonts w:ascii="Times New Roman" w:eastAsia="Times New Roman"/>
                <w:b/>
                <w:sz w:val="16"/>
              </w:rPr>
              <w:t>TTM</w:t>
            </w:r>
            <w:r>
              <w:rPr>
                <w:rFonts w:ascii="Microsoft JhengHei" w:eastAsia="Microsoft JhengHei" w:hint="eastAsia"/>
                <w:b/>
                <w:sz w:val="16"/>
              </w:rPr>
              <w:t>）</w:t>
            </w:r>
          </w:p>
        </w:tc>
        <w:tc>
          <w:tcPr>
            <w:tcW w:w="529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97"/>
              <w:ind w:left="91" w:right="117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z w:val="16"/>
              </w:rPr>
              <w:t>PB</w:t>
            </w:r>
          </w:p>
        </w:tc>
        <w:tc>
          <w:tcPr>
            <w:tcW w:w="1092" w:type="dxa"/>
            <w:tcBorders>
              <w:top w:val="single" w:sz="12" w:space="0" w:color="044B80"/>
              <w:bottom w:val="single" w:sz="8" w:space="0" w:color="000000"/>
            </w:tcBorders>
          </w:tcPr>
          <w:p>
            <w:pPr>
              <w:pStyle w:val="TableParagraph"/>
              <w:spacing w:before="97"/>
              <w:ind w:left="77" w:right="93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z w:val="16"/>
              </w:rPr>
              <w:t>EV/EBITDA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4"/>
          <w:jc w:val="left"/>
        </w:trPr>
        <w:tc>
          <w:tcPr>
            <w:tcW w:w="794" w:type="dxa"/>
            <w:tcBorders>
              <w:top w:val="single" w:sz="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55"/>
              <w:ind w:left="112" w:right="170"/>
              <w:rPr>
                <w:sz w:val="16"/>
              </w:rPr>
            </w:pPr>
            <w:r>
              <w:rPr>
                <w:sz w:val="16"/>
              </w:rPr>
              <w:t>中国国航</w:t>
            </w:r>
          </w:p>
        </w:tc>
        <w:tc>
          <w:tcPr>
            <w:tcW w:w="110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601111.SH</w:t>
            </w:r>
          </w:p>
        </w:tc>
        <w:tc>
          <w:tcPr>
            <w:tcW w:w="1546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174" w:right="21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142.04</w:t>
            </w:r>
          </w:p>
        </w:tc>
        <w:tc>
          <w:tcPr>
            <w:tcW w:w="113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-2.19%</w:t>
            </w:r>
          </w:p>
        </w:tc>
        <w:tc>
          <w:tcPr>
            <w:tcW w:w="137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-2.72%</w:t>
            </w:r>
          </w:p>
        </w:tc>
        <w:tc>
          <w:tcPr>
            <w:tcW w:w="1111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70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-12.18</w:t>
            </w:r>
          </w:p>
        </w:tc>
        <w:tc>
          <w:tcPr>
            <w:tcW w:w="529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5.03</w:t>
            </w:r>
          </w:p>
        </w:tc>
        <w:tc>
          <w:tcPr>
            <w:tcW w:w="109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64"/>
              <w:ind w:left="77" w:right="9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-16.36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2"/>
          <w:jc w:val="left"/>
        </w:trPr>
        <w:tc>
          <w:tcPr>
            <w:tcW w:w="794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62"/>
              <w:ind w:left="112" w:right="170"/>
              <w:rPr>
                <w:sz w:val="16"/>
              </w:rPr>
            </w:pPr>
            <w:r>
              <w:rPr>
                <w:sz w:val="16"/>
              </w:rPr>
              <w:t>南方航空</w:t>
            </w:r>
          </w:p>
        </w:tc>
        <w:tc>
          <w:tcPr>
            <w:tcW w:w="1108" w:type="dxa"/>
          </w:tcPr>
          <w:p>
            <w:pPr>
              <w:pStyle w:val="TableParagraph"/>
              <w:spacing w:before="70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600029.SH</w:t>
            </w:r>
          </w:p>
        </w:tc>
        <w:tc>
          <w:tcPr>
            <w:tcW w:w="1546" w:type="dxa"/>
          </w:tcPr>
          <w:p>
            <w:pPr>
              <w:pStyle w:val="TableParagraph"/>
              <w:spacing w:before="70"/>
              <w:ind w:left="174" w:right="21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123.28</w:t>
            </w:r>
          </w:p>
        </w:tc>
        <w:tc>
          <w:tcPr>
            <w:tcW w:w="1131" w:type="dxa"/>
          </w:tcPr>
          <w:p>
            <w:pPr>
              <w:pStyle w:val="TableParagraph"/>
              <w:spacing w:before="70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-1.58%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0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-2.43%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0"/>
              <w:ind w:left="72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-7.39</w:t>
            </w:r>
          </w:p>
        </w:tc>
        <w:tc>
          <w:tcPr>
            <w:tcW w:w="529" w:type="dxa"/>
          </w:tcPr>
          <w:p>
            <w:pPr>
              <w:pStyle w:val="TableParagraph"/>
              <w:spacing w:before="70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2.47</w:t>
            </w:r>
          </w:p>
        </w:tc>
        <w:tc>
          <w:tcPr>
            <w:tcW w:w="1092" w:type="dxa"/>
          </w:tcPr>
          <w:p>
            <w:pPr>
              <w:pStyle w:val="TableParagraph"/>
              <w:spacing w:before="70"/>
              <w:ind w:left="77" w:right="9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-205.28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2"/>
          <w:jc w:val="left"/>
        </w:trPr>
        <w:tc>
          <w:tcPr>
            <w:tcW w:w="794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63"/>
              <w:ind w:left="112" w:right="170"/>
              <w:rPr>
                <w:sz w:val="16"/>
              </w:rPr>
            </w:pPr>
            <w:r>
              <w:rPr>
                <w:sz w:val="16"/>
              </w:rPr>
              <w:t>东方航空</w:t>
            </w:r>
          </w:p>
        </w:tc>
        <w:tc>
          <w:tcPr>
            <w:tcW w:w="1108" w:type="dxa"/>
          </w:tcPr>
          <w:p>
            <w:pPr>
              <w:pStyle w:val="TableParagraph"/>
              <w:spacing w:before="71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600115.SH</w:t>
            </w:r>
          </w:p>
        </w:tc>
        <w:tc>
          <w:tcPr>
            <w:tcW w:w="1546" w:type="dxa"/>
          </w:tcPr>
          <w:p>
            <w:pPr>
              <w:pStyle w:val="TableParagraph"/>
              <w:spacing w:before="71"/>
              <w:ind w:left="174" w:right="21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100.13</w:t>
            </w:r>
          </w:p>
        </w:tc>
        <w:tc>
          <w:tcPr>
            <w:tcW w:w="1131" w:type="dxa"/>
          </w:tcPr>
          <w:p>
            <w:pPr>
              <w:pStyle w:val="TableParagraph"/>
              <w:spacing w:before="71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-3.47%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1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-6.70%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1"/>
              <w:ind w:left="72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-6.79</w:t>
            </w:r>
          </w:p>
        </w:tc>
        <w:tc>
          <w:tcPr>
            <w:tcW w:w="529" w:type="dxa"/>
          </w:tcPr>
          <w:p>
            <w:pPr>
              <w:pStyle w:val="TableParagraph"/>
              <w:spacing w:before="71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2.58</w:t>
            </w:r>
          </w:p>
        </w:tc>
        <w:tc>
          <w:tcPr>
            <w:tcW w:w="1092" w:type="dxa"/>
          </w:tcPr>
          <w:p>
            <w:pPr>
              <w:pStyle w:val="TableParagraph"/>
              <w:spacing w:before="71"/>
              <w:ind w:left="77" w:right="9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-20.19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3"/>
          <w:jc w:val="left"/>
        </w:trPr>
        <w:tc>
          <w:tcPr>
            <w:tcW w:w="794" w:type="dxa"/>
          </w:tcPr>
          <w:p>
            <w:pPr>
              <w:pStyle w:val="TableParagraph"/>
              <w:spacing w:before="7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4" w:right="109"/>
              <w:rPr>
                <w:sz w:val="16"/>
              </w:rPr>
            </w:pPr>
            <w:r>
              <w:rPr>
                <w:sz w:val="16"/>
              </w:rPr>
              <w:t>航空</w:t>
            </w:r>
          </w:p>
        </w:tc>
        <w:tc>
          <w:tcPr>
            <w:tcW w:w="963" w:type="dxa"/>
          </w:tcPr>
          <w:p>
            <w:pPr>
              <w:pStyle w:val="TableParagraph"/>
              <w:spacing w:before="62"/>
              <w:ind w:left="129"/>
              <w:jc w:val="left"/>
              <w:rPr>
                <w:sz w:val="16"/>
              </w:rPr>
            </w:pPr>
            <w:r>
              <w:rPr>
                <w:sz w:val="16"/>
              </w:rPr>
              <w:t>海航控股</w:t>
            </w:r>
          </w:p>
          <w:p>
            <w:pPr>
              <w:pStyle w:val="TableParagraph"/>
              <w:spacing w:before="126"/>
              <w:ind w:left="129"/>
              <w:jc w:val="left"/>
              <w:rPr>
                <w:sz w:val="16"/>
              </w:rPr>
            </w:pPr>
            <w:r>
              <w:rPr>
                <w:sz w:val="16"/>
              </w:rPr>
              <w:t>春秋航空</w:t>
            </w:r>
          </w:p>
        </w:tc>
        <w:tc>
          <w:tcPr>
            <w:tcW w:w="1108" w:type="dxa"/>
          </w:tcPr>
          <w:p>
            <w:pPr>
              <w:pStyle w:val="TableParagraph"/>
              <w:spacing w:before="70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600221.SH</w:t>
            </w:r>
          </w:p>
          <w:p>
            <w:pPr>
              <w:pStyle w:val="TableParagraph"/>
              <w:spacing w:before="147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601021.SH</w:t>
            </w:r>
          </w:p>
        </w:tc>
        <w:tc>
          <w:tcPr>
            <w:tcW w:w="1546" w:type="dxa"/>
          </w:tcPr>
          <w:p>
            <w:pPr>
              <w:pStyle w:val="TableParagraph"/>
              <w:spacing w:before="70"/>
              <w:ind w:left="174" w:right="2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85.22</w:t>
            </w:r>
          </w:p>
          <w:p>
            <w:pPr>
              <w:pStyle w:val="TableParagraph"/>
              <w:spacing w:before="147"/>
              <w:ind w:left="174" w:right="2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75.30</w:t>
            </w:r>
          </w:p>
        </w:tc>
        <w:tc>
          <w:tcPr>
            <w:tcW w:w="1131" w:type="dxa"/>
          </w:tcPr>
          <w:p>
            <w:pPr>
              <w:pStyle w:val="TableParagraph"/>
              <w:spacing w:before="70"/>
              <w:ind w:left="317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-1.41%</w:t>
            </w:r>
          </w:p>
          <w:p>
            <w:pPr>
              <w:pStyle w:val="TableParagraph"/>
              <w:spacing w:before="147"/>
              <w:ind w:left="317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-2.13%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0"/>
              <w:ind w:left="533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2.19%</w:t>
            </w:r>
          </w:p>
          <w:p>
            <w:pPr>
              <w:pStyle w:val="TableParagraph"/>
              <w:spacing w:before="147"/>
              <w:ind w:left="533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8.80%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0"/>
              <w:ind w:left="384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40.96</w:t>
            </w:r>
          </w:p>
          <w:p>
            <w:pPr>
              <w:pStyle w:val="TableParagraph"/>
              <w:spacing w:before="147"/>
              <w:ind w:left="384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38.76</w:t>
            </w:r>
          </w:p>
        </w:tc>
        <w:tc>
          <w:tcPr>
            <w:tcW w:w="529" w:type="dxa"/>
          </w:tcPr>
          <w:p>
            <w:pPr>
              <w:pStyle w:val="TableParagraph"/>
              <w:spacing w:before="70"/>
              <w:ind w:left="6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51.96</w:t>
            </w:r>
          </w:p>
          <w:p>
            <w:pPr>
              <w:pStyle w:val="TableParagraph"/>
              <w:spacing w:before="147"/>
              <w:ind w:left="10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3.90</w:t>
            </w:r>
          </w:p>
        </w:tc>
        <w:tc>
          <w:tcPr>
            <w:tcW w:w="1092" w:type="dxa"/>
          </w:tcPr>
          <w:p>
            <w:pPr>
              <w:pStyle w:val="TableParagraph"/>
              <w:spacing w:before="70"/>
              <w:ind w:left="331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-11.78</w:t>
            </w:r>
          </w:p>
          <w:p>
            <w:pPr>
              <w:pStyle w:val="TableParagraph"/>
              <w:spacing w:before="147"/>
              <w:ind w:left="290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-113.07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2"/>
          <w:jc w:val="left"/>
        </w:trPr>
        <w:tc>
          <w:tcPr>
            <w:tcW w:w="794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63"/>
              <w:ind w:left="112" w:right="170"/>
              <w:rPr>
                <w:sz w:val="16"/>
              </w:rPr>
            </w:pPr>
            <w:r>
              <w:rPr>
                <w:sz w:val="16"/>
              </w:rPr>
              <w:t>吉祥航空</w:t>
            </w:r>
          </w:p>
        </w:tc>
        <w:tc>
          <w:tcPr>
            <w:tcW w:w="1108" w:type="dxa"/>
          </w:tcPr>
          <w:p>
            <w:pPr>
              <w:pStyle w:val="TableParagraph"/>
              <w:spacing w:before="71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603885.SH</w:t>
            </w:r>
          </w:p>
        </w:tc>
        <w:tc>
          <w:tcPr>
            <w:tcW w:w="1546" w:type="dxa"/>
          </w:tcPr>
          <w:p>
            <w:pPr>
              <w:pStyle w:val="TableParagraph"/>
              <w:spacing w:before="71"/>
              <w:ind w:left="174" w:right="2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38.71</w:t>
            </w:r>
          </w:p>
        </w:tc>
        <w:tc>
          <w:tcPr>
            <w:tcW w:w="1131" w:type="dxa"/>
          </w:tcPr>
          <w:p>
            <w:pPr>
              <w:pStyle w:val="TableParagraph"/>
              <w:spacing w:before="71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-4.39%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1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3.42%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1"/>
              <w:ind w:left="70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-663.29</w:t>
            </w:r>
          </w:p>
        </w:tc>
        <w:tc>
          <w:tcPr>
            <w:tcW w:w="529" w:type="dxa"/>
          </w:tcPr>
          <w:p>
            <w:pPr>
              <w:pStyle w:val="TableParagraph"/>
              <w:spacing w:before="71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2.88</w:t>
            </w:r>
          </w:p>
        </w:tc>
        <w:tc>
          <w:tcPr>
            <w:tcW w:w="1092" w:type="dxa"/>
          </w:tcPr>
          <w:p>
            <w:pPr>
              <w:pStyle w:val="TableParagraph"/>
              <w:spacing w:before="71"/>
              <w:ind w:left="77" w:right="9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-31.42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1"/>
          <w:jc w:val="left"/>
        </w:trPr>
        <w:tc>
          <w:tcPr>
            <w:tcW w:w="794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62"/>
              <w:ind w:left="112" w:right="170"/>
              <w:rPr>
                <w:sz w:val="16"/>
              </w:rPr>
            </w:pPr>
            <w:r>
              <w:rPr>
                <w:sz w:val="16"/>
              </w:rPr>
              <w:t>华夏航空</w:t>
            </w:r>
          </w:p>
        </w:tc>
        <w:tc>
          <w:tcPr>
            <w:tcW w:w="1108" w:type="dxa"/>
          </w:tcPr>
          <w:p>
            <w:pPr>
              <w:pStyle w:val="TableParagraph"/>
              <w:spacing w:before="70"/>
              <w:ind w:left="19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002928.SZ</w:t>
            </w:r>
          </w:p>
        </w:tc>
        <w:tc>
          <w:tcPr>
            <w:tcW w:w="1546" w:type="dxa"/>
          </w:tcPr>
          <w:p>
            <w:pPr>
              <w:pStyle w:val="TableParagraph"/>
              <w:spacing w:before="70"/>
              <w:ind w:left="174" w:right="21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9.42</w:t>
            </w:r>
          </w:p>
        </w:tc>
        <w:tc>
          <w:tcPr>
            <w:tcW w:w="1131" w:type="dxa"/>
          </w:tcPr>
          <w:p>
            <w:pPr>
              <w:pStyle w:val="TableParagraph"/>
              <w:spacing w:before="70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-6.77%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0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-26.75%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0"/>
              <w:ind w:left="72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-5.76</w:t>
            </w:r>
          </w:p>
        </w:tc>
        <w:tc>
          <w:tcPr>
            <w:tcW w:w="529" w:type="dxa"/>
          </w:tcPr>
          <w:p>
            <w:pPr>
              <w:pStyle w:val="TableParagraph"/>
              <w:spacing w:before="70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1.65</w:t>
            </w:r>
          </w:p>
        </w:tc>
        <w:tc>
          <w:tcPr>
            <w:tcW w:w="1092" w:type="dxa"/>
          </w:tcPr>
          <w:p>
            <w:pPr>
              <w:pStyle w:val="TableParagraph"/>
              <w:spacing w:before="70"/>
              <w:ind w:left="77" w:right="9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-25.87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794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62"/>
              <w:ind w:left="112" w:right="170"/>
              <w:rPr>
                <w:sz w:val="16"/>
              </w:rPr>
            </w:pPr>
            <w:r>
              <w:rPr>
                <w:sz w:val="16"/>
              </w:rPr>
              <w:t>中信海直</w:t>
            </w:r>
          </w:p>
        </w:tc>
        <w:tc>
          <w:tcPr>
            <w:tcW w:w="1108" w:type="dxa"/>
          </w:tcPr>
          <w:p>
            <w:pPr>
              <w:pStyle w:val="TableParagraph"/>
              <w:spacing w:before="70"/>
              <w:ind w:left="19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000099.SZ</w:t>
            </w:r>
          </w:p>
        </w:tc>
        <w:tc>
          <w:tcPr>
            <w:tcW w:w="1546" w:type="dxa"/>
          </w:tcPr>
          <w:p>
            <w:pPr>
              <w:pStyle w:val="TableParagraph"/>
              <w:spacing w:before="70"/>
              <w:ind w:left="174" w:right="2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11.48</w:t>
            </w:r>
          </w:p>
        </w:tc>
        <w:tc>
          <w:tcPr>
            <w:tcW w:w="1131" w:type="dxa"/>
          </w:tcPr>
          <w:p>
            <w:pPr>
              <w:pStyle w:val="TableParagraph"/>
              <w:spacing w:before="70"/>
              <w:ind w:left="211" w:right="23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6.28%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0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19.32%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0"/>
              <w:ind w:left="70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36.73</w:t>
            </w:r>
          </w:p>
        </w:tc>
        <w:tc>
          <w:tcPr>
            <w:tcW w:w="529" w:type="dxa"/>
          </w:tcPr>
          <w:p>
            <w:pPr>
              <w:pStyle w:val="TableParagraph"/>
              <w:spacing w:before="70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1.66</w:t>
            </w:r>
          </w:p>
        </w:tc>
        <w:tc>
          <w:tcPr>
            <w:tcW w:w="1092" w:type="dxa"/>
          </w:tcPr>
          <w:p>
            <w:pPr>
              <w:pStyle w:val="TableParagraph"/>
              <w:spacing w:before="70"/>
              <w:ind w:left="77" w:right="9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11.75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2"/>
          <w:jc w:val="left"/>
        </w:trPr>
        <w:tc>
          <w:tcPr>
            <w:tcW w:w="794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</w:tcPr>
          <w:p>
            <w:pPr>
              <w:pStyle w:val="TableParagraph"/>
              <w:spacing w:before="52"/>
              <w:ind w:left="112" w:right="170"/>
              <w:rPr>
                <w:sz w:val="16"/>
              </w:rPr>
            </w:pPr>
            <w:r>
              <w:rPr>
                <w:sz w:val="16"/>
              </w:rPr>
              <w:t>上海机场</w:t>
            </w:r>
          </w:p>
        </w:tc>
        <w:tc>
          <w:tcPr>
            <w:tcW w:w="1108" w:type="dxa"/>
          </w:tcPr>
          <w:p>
            <w:pPr>
              <w:pStyle w:val="TableParagraph"/>
              <w:spacing w:before="61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600009.SH</w:t>
            </w:r>
          </w:p>
        </w:tc>
        <w:tc>
          <w:tcPr>
            <w:tcW w:w="1546" w:type="dxa"/>
          </w:tcPr>
          <w:p>
            <w:pPr>
              <w:pStyle w:val="TableParagraph"/>
              <w:spacing w:before="61"/>
              <w:ind w:left="174" w:right="21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122.22</w:t>
            </w:r>
          </w:p>
        </w:tc>
        <w:tc>
          <w:tcPr>
            <w:tcW w:w="1131" w:type="dxa"/>
          </w:tcPr>
          <w:p>
            <w:pPr>
              <w:pStyle w:val="TableParagraph"/>
              <w:spacing w:before="61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-0.20%</w:t>
            </w:r>
          </w:p>
        </w:tc>
        <w:tc>
          <w:tcPr>
            <w:tcW w:w="1373" w:type="dxa"/>
          </w:tcPr>
          <w:p>
            <w:pPr>
              <w:pStyle w:val="TableParagraph"/>
              <w:spacing w:before="61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6.35%</w:t>
            </w:r>
          </w:p>
        </w:tc>
        <w:tc>
          <w:tcPr>
            <w:tcW w:w="1111" w:type="dxa"/>
          </w:tcPr>
          <w:p>
            <w:pPr>
              <w:pStyle w:val="TableParagraph"/>
              <w:spacing w:before="61"/>
              <w:ind w:left="70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91.67</w:t>
            </w:r>
          </w:p>
        </w:tc>
        <w:tc>
          <w:tcPr>
            <w:tcW w:w="529" w:type="dxa"/>
          </w:tcPr>
          <w:p>
            <w:pPr>
              <w:pStyle w:val="TableParagraph"/>
              <w:spacing w:before="61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2.19</w:t>
            </w:r>
          </w:p>
        </w:tc>
        <w:tc>
          <w:tcPr>
            <w:tcW w:w="1092" w:type="dxa"/>
          </w:tcPr>
          <w:p>
            <w:pPr>
              <w:pStyle w:val="TableParagraph"/>
              <w:spacing w:before="61"/>
              <w:ind w:left="77" w:right="9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-158.92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3"/>
          <w:jc w:val="left"/>
        </w:trPr>
        <w:tc>
          <w:tcPr>
            <w:tcW w:w="794" w:type="dxa"/>
          </w:tcPr>
          <w:p>
            <w:pPr>
              <w:pStyle w:val="TableParagraph"/>
              <w:spacing w:before="8"/>
              <w:jc w:val="left"/>
              <w:rPr>
                <w:rFonts w:ascii="Microsoft JhengHei"/>
                <w:b/>
                <w:sz w:val="12"/>
              </w:rPr>
            </w:pPr>
          </w:p>
          <w:p>
            <w:pPr>
              <w:pStyle w:val="TableParagraph"/>
              <w:ind w:left="4" w:right="109"/>
              <w:rPr>
                <w:sz w:val="16"/>
              </w:rPr>
            </w:pPr>
            <w:r>
              <w:rPr>
                <w:sz w:val="16"/>
              </w:rPr>
              <w:t>机场</w:t>
            </w:r>
          </w:p>
        </w:tc>
        <w:tc>
          <w:tcPr>
            <w:tcW w:w="963" w:type="dxa"/>
          </w:tcPr>
          <w:p>
            <w:pPr>
              <w:pStyle w:val="TableParagraph"/>
              <w:spacing w:before="63"/>
              <w:ind w:left="129"/>
              <w:jc w:val="left"/>
              <w:rPr>
                <w:sz w:val="16"/>
              </w:rPr>
            </w:pPr>
            <w:r>
              <w:rPr>
                <w:sz w:val="16"/>
              </w:rPr>
              <w:t>白云机场</w:t>
            </w:r>
          </w:p>
          <w:p>
            <w:pPr>
              <w:pStyle w:val="TableParagraph"/>
              <w:spacing w:before="126"/>
              <w:ind w:left="129"/>
              <w:jc w:val="left"/>
              <w:rPr>
                <w:sz w:val="16"/>
              </w:rPr>
            </w:pPr>
            <w:r>
              <w:rPr>
                <w:sz w:val="16"/>
              </w:rPr>
              <w:t>深圳机场</w:t>
            </w:r>
          </w:p>
        </w:tc>
        <w:tc>
          <w:tcPr>
            <w:tcW w:w="1108" w:type="dxa"/>
          </w:tcPr>
          <w:p>
            <w:pPr>
              <w:pStyle w:val="TableParagraph"/>
              <w:spacing w:before="71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600004.SH</w:t>
            </w:r>
          </w:p>
          <w:p>
            <w:pPr>
              <w:pStyle w:val="TableParagraph"/>
              <w:spacing w:before="148"/>
              <w:ind w:left="19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000089.SZ</w:t>
            </w:r>
          </w:p>
        </w:tc>
        <w:tc>
          <w:tcPr>
            <w:tcW w:w="1546" w:type="dxa"/>
          </w:tcPr>
          <w:p>
            <w:pPr>
              <w:pStyle w:val="TableParagraph"/>
              <w:spacing w:before="71"/>
              <w:ind w:left="174" w:right="2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33.74</w:t>
            </w:r>
          </w:p>
          <w:p>
            <w:pPr>
              <w:pStyle w:val="TableParagraph"/>
              <w:spacing w:before="148"/>
              <w:ind w:left="174" w:right="2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18.49</w:t>
            </w:r>
          </w:p>
        </w:tc>
        <w:tc>
          <w:tcPr>
            <w:tcW w:w="1131" w:type="dxa"/>
          </w:tcPr>
          <w:p>
            <w:pPr>
              <w:pStyle w:val="TableParagraph"/>
              <w:spacing w:before="71"/>
              <w:ind w:left="343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0.50%</w:t>
            </w:r>
          </w:p>
          <w:p>
            <w:pPr>
              <w:pStyle w:val="TableParagraph"/>
              <w:spacing w:before="148"/>
              <w:ind w:left="317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-1.54%</w:t>
            </w:r>
          </w:p>
        </w:tc>
        <w:tc>
          <w:tcPr>
            <w:tcW w:w="1373" w:type="dxa"/>
          </w:tcPr>
          <w:p>
            <w:pPr>
              <w:pStyle w:val="TableParagraph"/>
              <w:spacing w:before="71"/>
              <w:ind w:left="533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3.48%</w:t>
            </w:r>
          </w:p>
          <w:p>
            <w:pPr>
              <w:pStyle w:val="TableParagraph"/>
              <w:spacing w:before="148"/>
              <w:ind w:left="50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-0.47%</w:t>
            </w:r>
          </w:p>
        </w:tc>
        <w:tc>
          <w:tcPr>
            <w:tcW w:w="1111" w:type="dxa"/>
          </w:tcPr>
          <w:p>
            <w:pPr>
              <w:pStyle w:val="TableParagraph"/>
              <w:spacing w:before="71"/>
              <w:ind w:left="31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-140.93</w:t>
            </w:r>
          </w:p>
          <w:p>
            <w:pPr>
              <w:pStyle w:val="TableParagraph"/>
              <w:spacing w:before="148"/>
              <w:ind w:left="31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-147.51</w:t>
            </w:r>
          </w:p>
        </w:tc>
        <w:tc>
          <w:tcPr>
            <w:tcW w:w="529" w:type="dxa"/>
          </w:tcPr>
          <w:p>
            <w:pPr>
              <w:pStyle w:val="TableParagraph"/>
              <w:spacing w:before="71"/>
              <w:ind w:left="10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1.39</w:t>
            </w:r>
          </w:p>
          <w:p>
            <w:pPr>
              <w:pStyle w:val="TableParagraph"/>
              <w:spacing w:before="148"/>
              <w:ind w:left="10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1.23</w:t>
            </w:r>
          </w:p>
        </w:tc>
        <w:tc>
          <w:tcPr>
            <w:tcW w:w="1092" w:type="dxa"/>
          </w:tcPr>
          <w:p>
            <w:pPr>
              <w:pStyle w:val="TableParagraph"/>
              <w:spacing w:before="71"/>
              <w:ind w:left="357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44.68</w:t>
            </w:r>
          </w:p>
          <w:p>
            <w:pPr>
              <w:pStyle w:val="TableParagraph"/>
              <w:spacing w:before="148"/>
              <w:ind w:left="31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252.96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7"/>
          <w:jc w:val="left"/>
        </w:trPr>
        <w:tc>
          <w:tcPr>
            <w:tcW w:w="794" w:type="dxa"/>
            <w:tcBorders>
              <w:bottom w:val="single" w:sz="8" w:space="0" w:color="044B8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963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2"/>
              <w:ind w:left="112" w:right="170"/>
              <w:rPr>
                <w:sz w:val="16"/>
              </w:rPr>
            </w:pPr>
            <w:r>
              <w:rPr>
                <w:sz w:val="16"/>
              </w:rPr>
              <w:t>厦门空港</w:t>
            </w:r>
          </w:p>
        </w:tc>
        <w:tc>
          <w:tcPr>
            <w:tcW w:w="1108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18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600897.SH</w:t>
            </w:r>
          </w:p>
        </w:tc>
        <w:tc>
          <w:tcPr>
            <w:tcW w:w="1546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174" w:right="21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7.58</w:t>
            </w:r>
          </w:p>
        </w:tc>
        <w:tc>
          <w:tcPr>
            <w:tcW w:w="1131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211" w:right="23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-0.15%</w:t>
            </w:r>
          </w:p>
        </w:tc>
        <w:tc>
          <w:tcPr>
            <w:tcW w:w="1373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239" w:right="13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3.28%</w:t>
            </w:r>
          </w:p>
        </w:tc>
        <w:tc>
          <w:tcPr>
            <w:tcW w:w="1111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70" w:right="5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19.78</w:t>
            </w:r>
          </w:p>
        </w:tc>
        <w:tc>
          <w:tcPr>
            <w:tcW w:w="529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91" w:right="11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1.41</w:t>
            </w:r>
          </w:p>
        </w:tc>
        <w:tc>
          <w:tcPr>
            <w:tcW w:w="1092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70"/>
              <w:ind w:left="77" w:right="9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16.54</w:t>
            </w:r>
          </w:p>
        </w:tc>
      </w:tr>
    </w:tbl>
    <w:p>
      <w:pPr>
        <w:spacing w:before="39"/>
        <w:ind w:left="132" w:right="0" w:firstLine="0"/>
        <w:jc w:val="left"/>
        <w:rPr>
          <w:sz w:val="17"/>
        </w:rPr>
      </w:pPr>
      <w:r>
        <w:t xml:space="preserve">资料来源： ， </w:t>
      </w:r>
    </w:p>
    <w:p>
      <w:pPr>
        <w:spacing w:before="94"/>
        <w:ind w:left="132" w:right="0" w:firstLine="0"/>
        <w:jc w:val="left"/>
        <w:rPr>
          <w:sz w:val="17"/>
        </w:rPr>
      </w:pPr>
      <w:r>
        <w:t>注：均为   客观数据，不包含预测数据</w:t>
      </w:r>
    </w:p>
    <w:p>
      <w:pPr>
        <w:pStyle w:val="BodyText"/>
      </w:pPr>
    </w:p>
    <w:p>
      <w:pPr>
        <w:pStyle w:val="Heading2"/>
        <w:numPr>
          <w:ilvl w:val="1"/>
          <w:numId w:val="6"/>
        </w:numPr>
        <w:tabs>
          <w:tab w:val="left" w:pos="626"/>
        </w:tabs>
        <w:spacing w:before="151" w:after="0" w:line="240" w:lineRule="auto"/>
        <w:ind w:left="625" w:right="0" w:hanging="494"/>
        <w:jc w:val="left"/>
      </w:pPr>
      <w:bookmarkStart w:id="2" w:name="_TOC_250003"/>
      <w:bookmarkEnd w:id="2"/>
      <w:r>
        <w:t>港股及海外市场：航空机场保持稳定</w:t>
      </w:r>
    </w:p>
    <w:p>
      <w:pPr>
        <w:pStyle w:val="BodyText"/>
        <w:spacing w:before="92" w:line="292" w:lineRule="auto"/>
        <w:ind w:left="132" w:right="1131" w:firstLine="401"/>
        <w:jc w:val="both"/>
      </w:pPr>
      <w:r>
        <w:t>本周（</w:t>
      </w:r>
      <w:r>
        <w:rPr>
          <w:rFonts w:ascii="Times New Roman" w:eastAsia="Times New Roman"/>
        </w:rPr>
        <w:t xml:space="preserve">3 </w:t>
      </w:r>
      <w:r>
        <w:rPr>
          <w:spacing w:val="-21"/>
        </w:rPr>
        <w:t xml:space="preserve">月 </w:t>
      </w:r>
      <w:r>
        <w:rPr>
          <w:rFonts w:ascii="Times New Roman" w:eastAsia="Times New Roman"/>
        </w:rPr>
        <w:t xml:space="preserve">4 </w:t>
      </w:r>
      <w:r>
        <w:t>日</w:t>
      </w:r>
      <w:r>
        <w:rPr>
          <w:rFonts w:ascii="Times New Roman" w:eastAsia="Times New Roman"/>
        </w:rPr>
        <w:t xml:space="preserve">-3 </w:t>
      </w:r>
      <w:r>
        <w:rPr>
          <w:spacing w:val="-21"/>
        </w:rPr>
        <w:t xml:space="preserve">月 </w:t>
      </w:r>
      <w:r>
        <w:rPr>
          <w:rFonts w:ascii="Times New Roman" w:eastAsia="Times New Roman"/>
        </w:rPr>
        <w:t xml:space="preserve">8 </w:t>
      </w:r>
      <w:r>
        <w:t>日）港股及海外市场航空机场板块整体保持稳定。航空客运板块中，捷蓝航空上涨</w:t>
      </w:r>
      <w:r>
        <w:rPr>
          <w:rFonts w:ascii="Times New Roman" w:eastAsia="Times New Roman"/>
        </w:rPr>
        <w:t>11.1%</w:t>
      </w:r>
      <w:r>
        <w:rPr>
          <w:spacing w:val="-4"/>
        </w:rPr>
        <w:t xml:space="preserve">，美国航空、中国国航分别下跌 </w:t>
      </w:r>
      <w:r>
        <w:rPr>
          <w:rFonts w:ascii="Times New Roman" w:eastAsia="Times New Roman"/>
        </w:rPr>
        <w:t>6.3%</w:t>
      </w:r>
      <w:r>
        <w:t>、</w:t>
      </w:r>
      <w:r>
        <w:rPr>
          <w:rFonts w:ascii="Times New Roman" w:eastAsia="Times New Roman"/>
        </w:rPr>
        <w:t>5.3%</w:t>
      </w:r>
      <w:r>
        <w:rPr>
          <w:spacing w:val="-1"/>
        </w:rPr>
        <w:t xml:space="preserve">。航空货运板块中， </w:t>
      </w:r>
      <w:r>
        <w:rPr>
          <w:rFonts w:ascii="Times New Roman" w:eastAsia="Times New Roman"/>
        </w:rPr>
        <w:t>INFINITY L&amp;T</w:t>
      </w:r>
      <w:r>
        <w:t>、美国航空运输服务分</w:t>
      </w:r>
      <w:r>
        <w:rPr>
          <w:spacing w:val="-14"/>
        </w:rPr>
        <w:t xml:space="preserve">别上涨 </w:t>
      </w:r>
      <w:r>
        <w:rPr>
          <w:rFonts w:ascii="Times New Roman" w:eastAsia="Times New Roman"/>
        </w:rPr>
        <w:t>24.6%</w:t>
      </w:r>
      <w:r>
        <w:rPr>
          <w:spacing w:val="-3"/>
        </w:rPr>
        <w:t>、</w:t>
      </w:r>
      <w:r>
        <w:rPr>
          <w:rFonts w:ascii="Times New Roman" w:eastAsia="Times New Roman"/>
        </w:rPr>
        <w:t>8.5%</w:t>
      </w:r>
      <w:r>
        <w:rPr>
          <w:spacing w:val="-7"/>
        </w:rPr>
        <w:t xml:space="preserve">，福沃运输下跌 </w:t>
      </w:r>
      <w:r>
        <w:rPr>
          <w:rFonts w:ascii="Times New Roman" w:eastAsia="Times New Roman"/>
        </w:rPr>
        <w:t>5.1%</w:t>
      </w:r>
      <w:r>
        <w:rPr>
          <w:spacing w:val="-3"/>
        </w:rPr>
        <w:t>。机场板块中，亚洲实业集团、北京首都机场股份和美兰空港分别下</w:t>
      </w:r>
      <w:r>
        <w:rPr>
          <w:spacing w:val="-27"/>
        </w:rPr>
        <w:t xml:space="preserve">跌 </w:t>
      </w:r>
      <w:r>
        <w:rPr>
          <w:rFonts w:ascii="Times New Roman" w:eastAsia="Times New Roman"/>
        </w:rPr>
        <w:t>7.4%</w:t>
      </w:r>
      <w:r>
        <w:t>、</w:t>
      </w:r>
      <w:r>
        <w:rPr>
          <w:rFonts w:ascii="Times New Roman" w:eastAsia="Times New Roman"/>
        </w:rPr>
        <w:t>6.7%</w:t>
      </w:r>
      <w:r>
        <w:rPr>
          <w:spacing w:val="-25"/>
        </w:rPr>
        <w:t xml:space="preserve">和 </w:t>
      </w:r>
      <w:r>
        <w:rPr>
          <w:rFonts w:ascii="Times New Roman" w:eastAsia="Times New Roman"/>
        </w:rPr>
        <w:t>5.7%</w:t>
      </w:r>
      <w: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0"/>
        </w:rPr>
      </w:pPr>
      <w:r>
        <w:pict>
          <v:shape id="_x0000_s1061" style="width:482.25pt;height:0.1pt;margin-top:8.94pt;margin-left:56.55pt;mso-position-horizontal-relative:page;mso-wrap-distance-left:0;mso-wrap-distance-right:0;position:absolute;z-index:-251638784" coordorigin="1131,179" coordsize="9645,0" path="m1131,179l10776,179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0"/>
        </w:rPr>
        <w:sectPr>
          <w:headerReference w:type="default" r:id="rId15"/>
          <w:footerReference w:type="default" r:id="rId16"/>
          <w:pgSz w:w="11910" w:h="16840"/>
          <w:pgMar w:top="1660" w:right="0" w:bottom="920" w:left="1000" w:header="708" w:footer="708"/>
          <w:pgNumType w:start="6"/>
          <w:cols w:space="708"/>
        </w:sectPr>
      </w:pPr>
    </w:p>
    <w:p>
      <w:pPr>
        <w:pStyle w:val="BodyText"/>
      </w:pPr>
    </w:p>
    <w:p>
      <w:pPr>
        <w:pStyle w:val="BodyText"/>
        <w:spacing w:before="6"/>
        <w:rPr>
          <w:sz w:val="17"/>
        </w:rPr>
      </w:pPr>
    </w:p>
    <w:p>
      <w:pPr>
        <w:spacing w:before="21" w:after="15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5</w:t>
      </w:r>
      <w:r>
        <w:rPr>
          <w:rFonts w:ascii="Microsoft JhengHei" w:eastAsia="Microsoft JhengHei" w:hint="eastAsia"/>
          <w:b/>
          <w:sz w:val="18"/>
        </w:rPr>
        <w:t>： 港股及海外市场航空机场板块主要标的股价表现及估值</w:t>
      </w:r>
    </w:p>
    <w:tbl>
      <w:tblPr>
        <w:tblStyle w:val="TableNormal2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1"/>
        <w:gridCol w:w="1805"/>
        <w:gridCol w:w="959"/>
        <w:gridCol w:w="1285"/>
        <w:gridCol w:w="827"/>
        <w:gridCol w:w="1102"/>
        <w:gridCol w:w="1037"/>
        <w:gridCol w:w="605"/>
        <w:gridCol w:w="1059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961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101" w:right="176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细分行业</w:t>
            </w:r>
          </w:p>
        </w:tc>
        <w:tc>
          <w:tcPr>
            <w:tcW w:w="1805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174" w:right="148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上市公司</w:t>
            </w:r>
          </w:p>
        </w:tc>
        <w:tc>
          <w:tcPr>
            <w:tcW w:w="959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146" w:right="46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股票代码</w:t>
            </w:r>
          </w:p>
        </w:tc>
        <w:tc>
          <w:tcPr>
            <w:tcW w:w="1285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54" w:right="71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市值（亿美元）</w:t>
            </w:r>
          </w:p>
        </w:tc>
        <w:tc>
          <w:tcPr>
            <w:tcW w:w="827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73" w:right="74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周涨跌幅</w:t>
            </w:r>
          </w:p>
        </w:tc>
        <w:tc>
          <w:tcPr>
            <w:tcW w:w="1102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76" w:right="25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Microsoft JhengHei" w:eastAsia="Microsoft JhengHei" w:hint="eastAsia"/>
                <w:b/>
                <w:sz w:val="16"/>
              </w:rPr>
              <w:t>年初至今涨幅</w:t>
            </w:r>
          </w:p>
        </w:tc>
        <w:tc>
          <w:tcPr>
            <w:tcW w:w="1037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5" w:line="289" w:lineRule="exact"/>
              <w:ind w:left="26" w:right="82"/>
              <w:rPr>
                <w:rFonts w:ascii="Microsoft JhengHei" w:eastAsia="Microsoft JhengHei" w:hint="eastAsia"/>
                <w:b/>
                <w:sz w:val="16"/>
              </w:rPr>
            </w:pPr>
            <w:r>
              <w:rPr>
                <w:rFonts w:ascii="Times New Roman" w:eastAsia="Times New Roman"/>
                <w:b/>
                <w:sz w:val="16"/>
              </w:rPr>
              <w:t>PE</w:t>
            </w:r>
            <w:r>
              <w:rPr>
                <w:rFonts w:ascii="Microsoft JhengHei" w:eastAsia="Microsoft JhengHei" w:hint="eastAsia"/>
                <w:b/>
                <w:sz w:val="16"/>
              </w:rPr>
              <w:t>（</w:t>
            </w:r>
            <w:r>
              <w:rPr>
                <w:rFonts w:ascii="Times New Roman" w:eastAsia="Times New Roman"/>
                <w:b/>
                <w:sz w:val="16"/>
              </w:rPr>
              <w:t>TTM</w:t>
            </w:r>
            <w:r>
              <w:rPr>
                <w:rFonts w:ascii="Microsoft JhengHei" w:eastAsia="Microsoft JhengHei" w:hint="eastAsia"/>
                <w:b/>
                <w:sz w:val="16"/>
              </w:rPr>
              <w:t>）</w:t>
            </w:r>
          </w:p>
        </w:tc>
        <w:tc>
          <w:tcPr>
            <w:tcW w:w="605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68"/>
              <w:ind w:right="216"/>
              <w:jc w:val="right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z w:val="16"/>
              </w:rPr>
              <w:t>PB</w:t>
            </w:r>
          </w:p>
        </w:tc>
        <w:tc>
          <w:tcPr>
            <w:tcW w:w="1059" w:type="dxa"/>
            <w:tcBorders>
              <w:top w:val="single" w:sz="12" w:space="0" w:color="044B80"/>
              <w:bottom w:val="single" w:sz="4" w:space="0" w:color="000000"/>
            </w:tcBorders>
          </w:tcPr>
          <w:p>
            <w:pPr>
              <w:pStyle w:val="TableParagraph"/>
              <w:spacing w:before="68"/>
              <w:ind w:left="119" w:right="18"/>
              <w:rPr>
                <w:rFonts w:ascii="Times New Roman"/>
                <w:b/>
                <w:sz w:val="16"/>
              </w:rPr>
            </w:pPr>
            <w:r>
              <w:rPr>
                <w:rFonts w:ascii="Times New Roman"/>
                <w:b/>
                <w:sz w:val="16"/>
              </w:rPr>
              <w:t>EV/EBITDA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961" w:type="dxa"/>
            <w:tcBorders>
              <w:top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6"/>
              <w:ind w:left="176" w:right="145"/>
              <w:rPr>
                <w:sz w:val="16"/>
              </w:rPr>
            </w:pPr>
            <w:r>
              <w:rPr>
                <w:sz w:val="16"/>
              </w:rPr>
              <w:t>西南航空</w:t>
            </w:r>
          </w:p>
        </w:tc>
        <w:tc>
          <w:tcPr>
            <w:tcW w:w="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LUV.N</w:t>
            </w:r>
          </w:p>
        </w:tc>
        <w:tc>
          <w:tcPr>
            <w:tcW w:w="128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204.42</w:t>
            </w:r>
          </w:p>
        </w:tc>
        <w:tc>
          <w:tcPr>
            <w:tcW w:w="82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1.4%</w:t>
            </w:r>
          </w:p>
        </w:tc>
        <w:tc>
          <w:tcPr>
            <w:tcW w:w="110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19.3%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43.96</w:t>
            </w:r>
          </w:p>
        </w:tc>
        <w:tc>
          <w:tcPr>
            <w:tcW w:w="6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1.94</w:t>
            </w:r>
          </w:p>
        </w:tc>
        <w:tc>
          <w:tcPr>
            <w:tcW w:w="10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10.60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2" w:right="148"/>
              <w:rPr>
                <w:rFonts w:ascii="Times New Roman" w:eastAsia="Times New Roman"/>
                <w:sz w:val="16"/>
              </w:rPr>
            </w:pPr>
            <w:r>
              <w:rPr>
                <w:sz w:val="16"/>
              </w:rPr>
              <w:t>达美航空</w:t>
            </w:r>
            <w:r>
              <w:rPr>
                <w:rFonts w:ascii="Times New Roman" w:eastAsia="Times New Roman"/>
                <w:sz w:val="16"/>
              </w:rPr>
              <w:t>(DELTA)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DAL.N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271.74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0.2%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5.2%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5.90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2.45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5.60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1"/>
              <w:ind w:left="176" w:right="145"/>
              <w:rPr>
                <w:sz w:val="16"/>
              </w:rPr>
            </w:pPr>
            <w:r>
              <w:rPr>
                <w:sz w:val="16"/>
              </w:rPr>
              <w:t>瑞安航空</w:t>
            </w:r>
          </w:p>
        </w:tc>
        <w:tc>
          <w:tcPr>
            <w:tcW w:w="959" w:type="dxa"/>
          </w:tcPr>
          <w:p>
            <w:pPr>
              <w:pStyle w:val="TableParagraph"/>
              <w:spacing w:before="59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RYAAY.O</w:t>
            </w:r>
          </w:p>
        </w:tc>
        <w:tc>
          <w:tcPr>
            <w:tcW w:w="1285" w:type="dxa"/>
          </w:tcPr>
          <w:p>
            <w:pPr>
              <w:pStyle w:val="TableParagraph"/>
              <w:spacing w:before="59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254.37</w:t>
            </w:r>
          </w:p>
        </w:tc>
        <w:tc>
          <w:tcPr>
            <w:tcW w:w="827" w:type="dxa"/>
          </w:tcPr>
          <w:p>
            <w:pPr>
              <w:pStyle w:val="TableParagraph"/>
              <w:spacing w:before="59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4.1%</w:t>
            </w:r>
          </w:p>
        </w:tc>
        <w:tc>
          <w:tcPr>
            <w:tcW w:w="1102" w:type="dxa"/>
          </w:tcPr>
          <w:p>
            <w:pPr>
              <w:pStyle w:val="TableParagraph"/>
              <w:spacing w:before="59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7.1%</w:t>
            </w:r>
          </w:p>
        </w:tc>
        <w:tc>
          <w:tcPr>
            <w:tcW w:w="1037" w:type="dxa"/>
          </w:tcPr>
          <w:p>
            <w:pPr>
              <w:pStyle w:val="TableParagraph"/>
              <w:spacing w:before="59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14.26</w:t>
            </w:r>
          </w:p>
        </w:tc>
        <w:tc>
          <w:tcPr>
            <w:tcW w:w="605" w:type="dxa"/>
          </w:tcPr>
          <w:p>
            <w:pPr>
              <w:pStyle w:val="TableParagraph"/>
              <w:spacing w:before="59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5.25</w:t>
            </w:r>
          </w:p>
        </w:tc>
        <w:tc>
          <w:tcPr>
            <w:tcW w:w="1059" w:type="dxa"/>
          </w:tcPr>
          <w:p>
            <w:pPr>
              <w:pStyle w:val="TableParagraph"/>
              <w:spacing w:before="59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9.75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rFonts w:ascii="Times New Roman" w:eastAsia="Times New Roman"/>
                <w:sz w:val="16"/>
              </w:rPr>
              <w:t xml:space="preserve">Volaris </w:t>
            </w:r>
            <w:r>
              <w:rPr>
                <w:sz w:val="16"/>
              </w:rPr>
              <w:t>航空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VLRS.N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85.29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1.8%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-21.1%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-67.45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40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36.33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16.73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1"/>
              <w:ind w:left="176" w:right="145"/>
              <w:rPr>
                <w:sz w:val="16"/>
              </w:rPr>
            </w:pPr>
            <w:r>
              <w:rPr>
                <w:sz w:val="16"/>
              </w:rPr>
              <w:t>中国国航</w:t>
            </w:r>
          </w:p>
        </w:tc>
        <w:tc>
          <w:tcPr>
            <w:tcW w:w="959" w:type="dxa"/>
          </w:tcPr>
          <w:p>
            <w:pPr>
              <w:pStyle w:val="TableParagraph"/>
              <w:spacing w:before="59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0753.HK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59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142.04</w:t>
            </w:r>
          </w:p>
        </w:tc>
        <w:tc>
          <w:tcPr>
            <w:tcW w:w="827" w:type="dxa"/>
          </w:tcPr>
          <w:p>
            <w:pPr>
              <w:pStyle w:val="TableParagraph"/>
              <w:spacing w:before="59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-5.3%</w:t>
            </w:r>
          </w:p>
        </w:tc>
        <w:tc>
          <w:tcPr>
            <w:tcW w:w="1102" w:type="dxa"/>
          </w:tcPr>
          <w:p>
            <w:pPr>
              <w:pStyle w:val="TableParagraph"/>
              <w:spacing w:before="59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-20.2%</w:t>
            </w:r>
          </w:p>
        </w:tc>
        <w:tc>
          <w:tcPr>
            <w:tcW w:w="1037" w:type="dxa"/>
          </w:tcPr>
          <w:p>
            <w:pPr>
              <w:pStyle w:val="TableParagraph"/>
              <w:spacing w:before="59"/>
              <w:ind w:left="26" w:right="1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-6.17</w:t>
            </w:r>
          </w:p>
        </w:tc>
        <w:tc>
          <w:tcPr>
            <w:tcW w:w="605" w:type="dxa"/>
          </w:tcPr>
          <w:p>
            <w:pPr>
              <w:pStyle w:val="TableParagraph"/>
              <w:spacing w:before="59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2.48</w:t>
            </w:r>
          </w:p>
        </w:tc>
        <w:tc>
          <w:tcPr>
            <w:tcW w:w="1059" w:type="dxa"/>
          </w:tcPr>
          <w:p>
            <w:pPr>
              <w:pStyle w:val="TableParagraph"/>
              <w:spacing w:before="59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-11.88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sz w:val="16"/>
              </w:rPr>
              <w:t>美联航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UAL.O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142.04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-3.4%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5.43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1.52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5.56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spacing w:before="52"/>
              <w:ind w:left="103" w:right="175"/>
              <w:rPr>
                <w:sz w:val="16"/>
              </w:rPr>
            </w:pPr>
            <w:r>
              <w:rPr>
                <w:sz w:val="16"/>
              </w:rPr>
              <w:t>航空客运</w:t>
            </w: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中国南方航空股份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1055.HK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123.28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-2.4%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-15.7%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-3.36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1.09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-108.19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3"/>
              <w:ind w:left="176" w:right="145"/>
              <w:rPr>
                <w:sz w:val="16"/>
              </w:rPr>
            </w:pPr>
            <w:r>
              <w:rPr>
                <w:sz w:val="16"/>
              </w:rPr>
              <w:t>中国东方航空股份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0670.HK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100.13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-13.8%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-3.34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1.23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-18.25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美国航空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AAL.O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96.12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-6.3%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6.8%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11.69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5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-1.85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8.51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勒莫国航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GOL.N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国泰航空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0293.HK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69.48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25.92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1.22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13.62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sz w:val="16"/>
              </w:rPr>
              <w:t>阿拉斯加航空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ALK.N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46.12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-1.1%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-6.3%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19.63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1.12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8.71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5"/>
          <w:jc w:val="left"/>
        </w:trPr>
        <w:tc>
          <w:tcPr>
            <w:tcW w:w="961" w:type="dxa"/>
            <w:tcBorders>
              <w:bottom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捷蓝航空</w:t>
            </w:r>
          </w:p>
        </w:tc>
        <w:tc>
          <w:tcPr>
            <w:tcW w:w="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6" w:right="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JBLU.O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24.39</w:t>
            </w:r>
          </w:p>
        </w:tc>
        <w:tc>
          <w:tcPr>
            <w:tcW w:w="82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73" w:right="7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11.1%</w:t>
            </w:r>
          </w:p>
        </w:tc>
        <w:tc>
          <w:tcPr>
            <w:tcW w:w="110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29.5%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6" w:right="1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-7.87</w:t>
            </w:r>
          </w:p>
        </w:tc>
        <w:tc>
          <w:tcPr>
            <w:tcW w:w="60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0.73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14.68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7"/>
          <w:jc w:val="left"/>
        </w:trPr>
        <w:tc>
          <w:tcPr>
            <w:tcW w:w="961" w:type="dxa"/>
            <w:tcBorders>
              <w:top w:val="single" w:sz="6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8"/>
              <w:ind w:left="176" w:right="145"/>
              <w:rPr>
                <w:sz w:val="16"/>
              </w:rPr>
            </w:pPr>
            <w:r>
              <w:rPr>
                <w:sz w:val="16"/>
              </w:rPr>
              <w:t>嘉里物流</w:t>
            </w:r>
          </w:p>
        </w:tc>
        <w:tc>
          <w:tcPr>
            <w:tcW w:w="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0636.HK</w:t>
            </w:r>
          </w:p>
        </w:tc>
        <w:tc>
          <w:tcPr>
            <w:tcW w:w="128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19.55</w:t>
            </w:r>
          </w:p>
        </w:tc>
        <w:tc>
          <w:tcPr>
            <w:tcW w:w="82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-2.9%</w:t>
            </w:r>
          </w:p>
        </w:tc>
        <w:tc>
          <w:tcPr>
            <w:tcW w:w="110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2.9%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9.76</w:t>
            </w:r>
          </w:p>
        </w:tc>
        <w:tc>
          <w:tcPr>
            <w:tcW w:w="6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0.83</w:t>
            </w:r>
          </w:p>
        </w:tc>
        <w:tc>
          <w:tcPr>
            <w:tcW w:w="10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6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2.11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中国外运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0598.HK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54.36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2.7%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6.1%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6.30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0.65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福沃运输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FWRD.O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7.80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-5.1%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-51.6%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7.19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961" w:type="dxa"/>
          </w:tcPr>
          <w:p>
            <w:pPr>
              <w:pStyle w:val="TableParagraph"/>
              <w:spacing w:before="6"/>
              <w:jc w:val="left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ind w:left="103" w:right="175"/>
              <w:rPr>
                <w:sz w:val="16"/>
              </w:rPr>
            </w:pPr>
            <w:r>
              <w:rPr>
                <w:sz w:val="16"/>
              </w:rPr>
              <w:t>航空货运</w:t>
            </w: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美国航空运输服务</w:t>
            </w:r>
          </w:p>
          <w:p>
            <w:pPr>
              <w:pStyle w:val="TableParagraph"/>
              <w:spacing w:before="107"/>
              <w:ind w:left="176" w:right="145"/>
              <w:rPr>
                <w:sz w:val="16"/>
              </w:rPr>
            </w:pPr>
            <w:r>
              <w:rPr>
                <w:sz w:val="16"/>
              </w:rPr>
              <w:t>嘉泓物流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244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ATSG.O</w:t>
            </w:r>
          </w:p>
          <w:p>
            <w:pPr>
              <w:pStyle w:val="TableParagraph"/>
              <w:spacing w:before="128"/>
              <w:ind w:left="234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2130.HK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8.64</w:t>
            </w:r>
          </w:p>
          <w:p>
            <w:pPr>
              <w:pStyle w:val="TableParagraph"/>
              <w:spacing w:before="128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2.31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24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8.5%</w:t>
            </w:r>
          </w:p>
          <w:p>
            <w:pPr>
              <w:pStyle w:val="TableParagraph"/>
              <w:spacing w:before="128"/>
              <w:ind w:left="24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343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-25.3%</w:t>
            </w:r>
          </w:p>
          <w:p>
            <w:pPr>
              <w:pStyle w:val="TableParagraph"/>
              <w:spacing w:before="128"/>
              <w:ind w:left="382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-1.3%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326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7.32</w:t>
            </w:r>
          </w:p>
          <w:p>
            <w:pPr>
              <w:pStyle w:val="TableParagraph"/>
              <w:spacing w:before="128"/>
              <w:ind w:left="288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37.12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left="142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  <w:p>
            <w:pPr>
              <w:pStyle w:val="TableParagraph"/>
              <w:spacing w:before="128"/>
              <w:ind w:left="142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5.12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43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  <w:p>
            <w:pPr>
              <w:pStyle w:val="TableParagraph"/>
              <w:spacing w:before="128"/>
              <w:ind w:left="439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7.06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61"/>
              <w:ind w:left="175" w:right="148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INFINITY L&amp;T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1442.HK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1.13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24.6%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-43.4%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16.96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1.63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9.78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3"/>
              <w:ind w:left="176" w:right="148"/>
              <w:rPr>
                <w:sz w:val="16"/>
              </w:rPr>
            </w:pPr>
            <w:r>
              <w:rPr>
                <w:sz w:val="16"/>
              </w:rPr>
              <w:t>先丰服务集团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0500.HK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0.71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-0.4%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2.2%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6.83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1.57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11.23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961" w:type="dxa"/>
            <w:tcBorders>
              <w:bottom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sz w:val="16"/>
              </w:rPr>
              <w:t>圆通速递国际</w:t>
            </w:r>
          </w:p>
        </w:tc>
        <w:tc>
          <w:tcPr>
            <w:tcW w:w="9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6123.HK</w:t>
            </w:r>
          </w:p>
        </w:tc>
        <w:tc>
          <w:tcPr>
            <w:tcW w:w="128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0.66</w:t>
            </w:r>
          </w:p>
        </w:tc>
        <w:tc>
          <w:tcPr>
            <w:tcW w:w="82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0.8%</w:t>
            </w:r>
          </w:p>
        </w:tc>
        <w:tc>
          <w:tcPr>
            <w:tcW w:w="110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-4.7%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26" w:right="12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4.19</w:t>
            </w:r>
          </w:p>
        </w:tc>
        <w:tc>
          <w:tcPr>
            <w:tcW w:w="605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0.43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-3.51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961" w:type="dxa"/>
            <w:tcBorders>
              <w:top w:val="single" w:sz="4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6"/>
              <w:ind w:left="176" w:right="148"/>
              <w:rPr>
                <w:sz w:val="16"/>
              </w:rPr>
            </w:pPr>
            <w:r>
              <w:rPr>
                <w:sz w:val="16"/>
              </w:rPr>
              <w:t>泰国机场公司</w:t>
            </w:r>
          </w:p>
        </w:tc>
        <w:tc>
          <w:tcPr>
            <w:tcW w:w="9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AOT.THA</w:t>
            </w:r>
          </w:p>
        </w:tc>
        <w:tc>
          <w:tcPr>
            <w:tcW w:w="128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261.97</w:t>
            </w:r>
          </w:p>
        </w:tc>
        <w:tc>
          <w:tcPr>
            <w:tcW w:w="82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-0.8%</w:t>
            </w:r>
          </w:p>
        </w:tc>
        <w:tc>
          <w:tcPr>
            <w:tcW w:w="1102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8.8%</w:t>
            </w:r>
          </w:p>
        </w:tc>
        <w:tc>
          <w:tcPr>
            <w:tcW w:w="103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-83.75</w:t>
            </w:r>
          </w:p>
        </w:tc>
        <w:tc>
          <w:tcPr>
            <w:tcW w:w="605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9.16</w:t>
            </w:r>
          </w:p>
        </w:tc>
        <w:tc>
          <w:tcPr>
            <w:tcW w:w="105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64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太平洋航空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6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PAC.N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71.77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-3.9%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-18.9%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14.10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7.50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sz w:val="16"/>
              </w:rPr>
              <w:t>墨西哥坎昆国际机场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6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ASR.N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88.23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2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1.9%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-0.1%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14.35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4.13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9.26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61" w:type="dxa"/>
          </w:tcPr>
          <w:p>
            <w:pPr>
              <w:pStyle w:val="TableParagraph"/>
              <w:spacing w:before="52"/>
              <w:ind w:left="103" w:right="175"/>
              <w:rPr>
                <w:sz w:val="16"/>
              </w:rPr>
            </w:pPr>
            <w:r>
              <w:rPr>
                <w:sz w:val="16"/>
              </w:rPr>
              <w:t>机场</w:t>
            </w: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sz w:val="16"/>
              </w:rPr>
              <w:t>北方中心机场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OMAB.O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32.83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-2.9%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6" w:right="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-19.6%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11.88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7.64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9.31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北京首都机场股份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0694.HK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13.94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-6.7%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3.9%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-3.18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0.59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-8.35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961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spacing w:before="52"/>
              <w:ind w:left="176" w:right="145"/>
              <w:rPr>
                <w:sz w:val="16"/>
              </w:rPr>
            </w:pPr>
            <w:r>
              <w:rPr>
                <w:sz w:val="16"/>
              </w:rPr>
              <w:t>美兰空港</w:t>
            </w:r>
          </w:p>
        </w:tc>
        <w:tc>
          <w:tcPr>
            <w:tcW w:w="959" w:type="dxa"/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0357.HK</w:t>
            </w:r>
          </w:p>
        </w:tc>
        <w:tc>
          <w:tcPr>
            <w:tcW w:w="1285" w:type="dxa"/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4.18</w:t>
            </w:r>
          </w:p>
        </w:tc>
        <w:tc>
          <w:tcPr>
            <w:tcW w:w="827" w:type="dxa"/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-5.7%</w:t>
            </w:r>
          </w:p>
        </w:tc>
        <w:tc>
          <w:tcPr>
            <w:tcW w:w="1102" w:type="dxa"/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-0.4%</w:t>
            </w:r>
          </w:p>
        </w:tc>
        <w:tc>
          <w:tcPr>
            <w:tcW w:w="1037" w:type="dxa"/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-15.51</w:t>
            </w:r>
          </w:p>
        </w:tc>
        <w:tc>
          <w:tcPr>
            <w:tcW w:w="605" w:type="dxa"/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0.66</w:t>
            </w:r>
          </w:p>
        </w:tc>
        <w:tc>
          <w:tcPr>
            <w:tcW w:w="1059" w:type="dxa"/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0.00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961" w:type="dxa"/>
            <w:tcBorders>
              <w:bottom w:val="single" w:sz="8" w:space="0" w:color="044B80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05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52"/>
              <w:ind w:left="176" w:right="148"/>
              <w:rPr>
                <w:sz w:val="16"/>
              </w:rPr>
            </w:pPr>
            <w:r>
              <w:rPr>
                <w:sz w:val="16"/>
              </w:rPr>
              <w:t>亚洲实业集团</w:t>
            </w:r>
          </w:p>
        </w:tc>
        <w:tc>
          <w:tcPr>
            <w:tcW w:w="959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146" w:right="4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1737.HK</w:t>
            </w:r>
          </w:p>
        </w:tc>
        <w:tc>
          <w:tcPr>
            <w:tcW w:w="1285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54" w:right="70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0.13</w:t>
            </w:r>
          </w:p>
        </w:tc>
        <w:tc>
          <w:tcPr>
            <w:tcW w:w="827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73" w:right="71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-7.4%</w:t>
            </w:r>
          </w:p>
        </w:tc>
        <w:tc>
          <w:tcPr>
            <w:tcW w:w="1102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75" w:right="25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-2.9%</w:t>
            </w:r>
          </w:p>
        </w:tc>
        <w:tc>
          <w:tcPr>
            <w:tcW w:w="1037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26" w:right="123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11.80</w:t>
            </w:r>
          </w:p>
        </w:tc>
        <w:tc>
          <w:tcPr>
            <w:tcW w:w="605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right="179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0.48</w:t>
            </w:r>
          </w:p>
        </w:tc>
        <w:tc>
          <w:tcPr>
            <w:tcW w:w="1059" w:type="dxa"/>
            <w:tcBorders>
              <w:bottom w:val="single" w:sz="8" w:space="0" w:color="044B80"/>
            </w:tcBorders>
          </w:tcPr>
          <w:p>
            <w:pPr>
              <w:pStyle w:val="TableParagraph"/>
              <w:spacing w:before="61"/>
              <w:ind w:left="119" w:right="1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0.36</w:t>
            </w:r>
          </w:p>
        </w:tc>
      </w:tr>
    </w:tbl>
    <w:p>
      <w:pPr>
        <w:spacing w:before="38"/>
        <w:ind w:left="241" w:right="0" w:firstLine="0"/>
        <w:jc w:val="left"/>
        <w:rPr>
          <w:sz w:val="17"/>
        </w:rPr>
      </w:pPr>
      <w:r>
        <w:t xml:space="preserve">资料来源： ，Bloomberg， </w:t>
      </w:r>
    </w:p>
    <w:p>
      <w:pPr>
        <w:spacing w:before="95"/>
        <w:ind w:left="241" w:right="0" w:firstLine="0"/>
        <w:jc w:val="left"/>
        <w:rPr>
          <w:sz w:val="17"/>
        </w:rPr>
      </w:pPr>
      <w:r>
        <w:t>注：均为   和 Bloomberg 客观数据，不包含预测数据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6"/>
        </w:rPr>
      </w:pPr>
      <w:r>
        <w:pict>
          <v:shape id="_x0000_s1062" style="width:482.25pt;height:0.1pt;margin-top:12.91pt;margin-left:56.55pt;mso-position-horizontal-relative:page;mso-wrap-distance-left:0;mso-wrap-distance-right:0;position:absolute;z-index:-251637760" coordorigin="1131,258" coordsize="9645,0" path="m1131,258l10776,258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6"/>
        </w:rPr>
        <w:sectPr>
          <w:headerReference w:type="default" r:id="rId17"/>
          <w:footerReference w:type="default" r:id="rId18"/>
          <w:pgSz w:w="11910" w:h="16840"/>
          <w:pgMar w:top="1660" w:right="0" w:bottom="920" w:left="1000" w:header="708" w:footer="708"/>
          <w:pgNumType w:start="7"/>
          <w:cols w:space="708"/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0" w:lineRule="exact"/>
        <w:ind w:left="94"/>
        <w:rPr>
          <w:sz w:val="2"/>
        </w:rPr>
      </w:pPr>
      <w:r>
        <w:rPr>
          <w:sz w:val="2"/>
        </w:rPr>
        <w:pict>
          <v:group id="_x0000_i1063" style="width:484.9pt;height:1pt;mso-position-horizontal-relative:char;mso-position-vertical-relative:line" coordorigin="0,0" coordsize="9698,20">
            <v:line id="_x0000_s1064" style="position:absolute" from="0,10" to="9698,10" stroked="t" strokecolor="#044e7d" strokeweight="0.96pt">
              <v:stroke dashstyle="solid"/>
            </v:line>
            <w10:wrap type="none"/>
          </v:group>
        </w:pict>
      </w:r>
    </w:p>
    <w:p>
      <w:pPr>
        <w:pStyle w:val="Heading1"/>
        <w:spacing w:before="22"/>
      </w:pPr>
      <w:bookmarkStart w:id="3" w:name="_TOC_250002"/>
      <w:r>
        <w:rPr>
          <w:color w:val="044E7D"/>
        </w:rPr>
        <w:t>二、行业动态：</w:t>
      </w:r>
      <w:r>
        <w:rPr>
          <w:rFonts w:ascii="Times New Roman" w:eastAsia="Times New Roman"/>
          <w:color w:val="044E7D"/>
        </w:rPr>
        <w:t xml:space="preserve">2024 </w:t>
      </w:r>
      <w:bookmarkEnd w:id="3"/>
      <w:r>
        <w:rPr>
          <w:color w:val="044E7D"/>
        </w:rPr>
        <w:t>年春节民航旅客运输量、航班量均创历史新高</w:t>
      </w:r>
    </w:p>
    <w:p>
      <w:pPr>
        <w:pStyle w:val="BodyText"/>
        <w:rPr>
          <w:rFonts w:ascii="Microsoft JhengHei"/>
          <w:b/>
          <w:sz w:val="14"/>
        </w:rPr>
      </w:pPr>
    </w:p>
    <w:p>
      <w:pPr>
        <w:pStyle w:val="Heading2"/>
        <w:numPr>
          <w:ilvl w:val="1"/>
          <w:numId w:val="5"/>
        </w:numPr>
        <w:tabs>
          <w:tab w:val="left" w:pos="626"/>
        </w:tabs>
        <w:spacing w:before="0" w:after="0" w:line="493" w:lineRule="exact"/>
        <w:ind w:left="625" w:right="0" w:hanging="494"/>
        <w:jc w:val="left"/>
        <w:rPr>
          <w:rFonts w:ascii="Times New Roman" w:eastAsia="Times New Roman"/>
        </w:rPr>
      </w:pPr>
      <w:bookmarkStart w:id="4" w:name="_TOC_250001"/>
      <w:r>
        <w:t>航空客运：</w:t>
      </w:r>
      <w:r>
        <w:rPr>
          <w:rFonts w:ascii="Times New Roman" w:eastAsia="Times New Roman"/>
        </w:rPr>
        <w:t>2024</w:t>
      </w:r>
      <w:r>
        <w:rPr>
          <w:rFonts w:ascii="Times New Roman" w:eastAsia="Times New Roman"/>
          <w:spacing w:val="1"/>
        </w:rPr>
        <w:t xml:space="preserve"> </w:t>
      </w:r>
      <w:bookmarkEnd w:id="4"/>
      <w:r>
        <w:t>年春节民航旅客运输量、航班量均创历史新高</w:t>
      </w:r>
    </w:p>
    <w:p>
      <w:pPr>
        <w:pStyle w:val="Heading3"/>
        <w:spacing w:before="28"/>
        <w:ind w:left="536"/>
      </w:pPr>
      <w:r>
        <w:rPr>
          <w:rFonts w:ascii="Times New Roman" w:eastAsia="Times New Roman"/>
        </w:rPr>
        <w:t xml:space="preserve">2024 </w:t>
      </w:r>
      <w:r>
        <w:t xml:space="preserve">年前后历时 </w:t>
      </w:r>
      <w:r>
        <w:rPr>
          <w:rFonts w:ascii="Times New Roman" w:eastAsia="Times New Roman"/>
        </w:rPr>
        <w:t xml:space="preserve">40 </w:t>
      </w:r>
      <w:r>
        <w:t>天的春运</w:t>
      </w:r>
      <w:r>
        <w:rPr>
          <w:rFonts w:ascii="Times New Roman" w:eastAsia="Times New Roman"/>
        </w:rPr>
        <w:t>(1.26-3.05)</w:t>
      </w:r>
      <w:r>
        <w:t xml:space="preserve">已经结束，根据航班管家测算，民航旅客运输总量达 </w:t>
      </w:r>
      <w:r>
        <w:rPr>
          <w:rFonts w:ascii="Times New Roman" w:eastAsia="Times New Roman"/>
        </w:rPr>
        <w:t xml:space="preserve">8345 </w:t>
      </w:r>
      <w:r>
        <w:t>万人次，</w:t>
      </w:r>
    </w:p>
    <w:p>
      <w:pPr>
        <w:spacing w:before="0" w:line="340" w:lineRule="exact"/>
        <w:ind w:left="132" w:right="0" w:firstLine="0"/>
        <w:jc w:val="left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sz w:val="20"/>
        </w:rPr>
        <w:t xml:space="preserve">日均达 </w:t>
      </w:r>
      <w:r>
        <w:rPr>
          <w:rFonts w:ascii="Times New Roman" w:eastAsia="Times New Roman"/>
          <w:b/>
          <w:sz w:val="20"/>
        </w:rPr>
        <w:t xml:space="preserve">208.6 </w:t>
      </w:r>
      <w:r>
        <w:rPr>
          <w:rFonts w:ascii="Microsoft JhengHei" w:eastAsia="Microsoft JhengHei" w:hint="eastAsia"/>
          <w:b/>
          <w:sz w:val="20"/>
        </w:rPr>
        <w:t xml:space="preserve">万人次，为历年春运最高水平，同比 </w:t>
      </w:r>
      <w:r>
        <w:rPr>
          <w:rFonts w:ascii="Times New Roman" w:eastAsia="Times New Roman"/>
          <w:b/>
          <w:sz w:val="20"/>
        </w:rPr>
        <w:t xml:space="preserve">2019 </w:t>
      </w:r>
      <w:r>
        <w:rPr>
          <w:rFonts w:ascii="Microsoft JhengHei" w:eastAsia="Microsoft JhengHei" w:hint="eastAsia"/>
          <w:b/>
          <w:sz w:val="20"/>
        </w:rPr>
        <w:t xml:space="preserve">年春运增长 </w:t>
      </w:r>
      <w:r>
        <w:rPr>
          <w:rFonts w:ascii="Times New Roman" w:eastAsia="Times New Roman"/>
          <w:b/>
          <w:sz w:val="20"/>
        </w:rPr>
        <w:t>14.5%</w:t>
      </w:r>
      <w:r>
        <w:rPr>
          <w:rFonts w:ascii="Microsoft JhengHei" w:eastAsia="Microsoft JhengHei" w:hint="eastAsia"/>
          <w:b/>
          <w:sz w:val="20"/>
        </w:rPr>
        <w:t xml:space="preserve">、同比 </w:t>
      </w:r>
      <w:r>
        <w:rPr>
          <w:rFonts w:ascii="Times New Roman" w:eastAsia="Times New Roman"/>
          <w:b/>
          <w:sz w:val="20"/>
        </w:rPr>
        <w:t xml:space="preserve">2023 </w:t>
      </w:r>
      <w:r>
        <w:rPr>
          <w:rFonts w:ascii="Microsoft JhengHei" w:eastAsia="Microsoft JhengHei" w:hint="eastAsia"/>
          <w:b/>
          <w:sz w:val="20"/>
        </w:rPr>
        <w:t xml:space="preserve">年增长 </w:t>
      </w:r>
      <w:r>
        <w:rPr>
          <w:rFonts w:ascii="Times New Roman" w:eastAsia="Times New Roman"/>
          <w:b/>
          <w:sz w:val="20"/>
        </w:rPr>
        <w:t>51.1%</w:t>
      </w:r>
      <w:r>
        <w:rPr>
          <w:rFonts w:ascii="Microsoft JhengHei" w:eastAsia="Microsoft JhengHei" w:hint="eastAsia"/>
          <w:b/>
          <w:sz w:val="20"/>
        </w:rPr>
        <w:t>。</w:t>
      </w:r>
    </w:p>
    <w:p>
      <w:pPr>
        <w:pStyle w:val="BodyText"/>
        <w:spacing w:before="2"/>
        <w:rPr>
          <w:rFonts w:ascii="Microsoft JhengHei"/>
          <w:b/>
          <w:sz w:val="14"/>
        </w:rPr>
      </w:pPr>
    </w:p>
    <w:p>
      <w:pPr>
        <w:pStyle w:val="BodyText"/>
        <w:spacing w:line="292" w:lineRule="auto"/>
        <w:ind w:left="132" w:right="1128" w:firstLine="401"/>
        <w:jc w:val="both"/>
      </w:pPr>
      <w:r>
        <w:rPr>
          <w:rFonts w:ascii="Times New Roman" w:eastAsia="Times New Roman"/>
        </w:rPr>
        <w:t xml:space="preserve">2024 </w:t>
      </w:r>
      <w:r>
        <w:t>年春运期间</w:t>
      </w:r>
      <w:r>
        <w:rPr>
          <w:rFonts w:ascii="Times New Roman" w:eastAsia="Times New Roman"/>
        </w:rPr>
        <w:t>(1.26-3.05)</w:t>
      </w:r>
      <w:r>
        <w:rPr>
          <w:spacing w:val="-6"/>
        </w:rPr>
        <w:t xml:space="preserve">民航客运航班总量达 </w:t>
      </w:r>
      <w:r>
        <w:rPr>
          <w:rFonts w:ascii="Times New Roman" w:eastAsia="Times New Roman"/>
        </w:rPr>
        <w:t xml:space="preserve">62.4 </w:t>
      </w:r>
      <w:r>
        <w:rPr>
          <w:spacing w:val="-11"/>
        </w:rPr>
        <w:t xml:space="preserve">万班次，日均达 </w:t>
      </w:r>
      <w:r>
        <w:rPr>
          <w:rFonts w:ascii="Times New Roman" w:eastAsia="Times New Roman"/>
        </w:rPr>
        <w:t xml:space="preserve">1.56 </w:t>
      </w:r>
      <w:r>
        <w:rPr>
          <w:spacing w:val="-10"/>
        </w:rPr>
        <w:t xml:space="preserve">万班次，创历史新高，同比 </w:t>
      </w:r>
      <w:r>
        <w:rPr>
          <w:rFonts w:ascii="Times New Roman" w:eastAsia="Times New Roman"/>
        </w:rPr>
        <w:t xml:space="preserve">2019 </w:t>
      </w:r>
      <w:r>
        <w:rPr>
          <w:spacing w:val="-9"/>
        </w:rPr>
        <w:t xml:space="preserve">年春运增长 </w:t>
      </w:r>
      <w:r>
        <w:rPr>
          <w:rFonts w:ascii="Times New Roman" w:eastAsia="Times New Roman"/>
        </w:rPr>
        <w:t>5.0%</w:t>
      </w:r>
      <w:r>
        <w:rPr>
          <w:spacing w:val="-20"/>
        </w:rPr>
        <w:t xml:space="preserve">、同比 </w:t>
      </w:r>
      <w:r>
        <w:rPr>
          <w:rFonts w:ascii="Times New Roman" w:eastAsia="Times New Roman"/>
        </w:rPr>
        <w:t xml:space="preserve">2023 </w:t>
      </w:r>
      <w:r>
        <w:rPr>
          <w:spacing w:val="-13"/>
        </w:rPr>
        <w:t xml:space="preserve">年增长 </w:t>
      </w:r>
      <w:r>
        <w:rPr>
          <w:rFonts w:ascii="Times New Roman" w:eastAsia="Times New Roman"/>
          <w:spacing w:val="-4"/>
        </w:rPr>
        <w:t>31.5%</w:t>
      </w:r>
      <w:r>
        <w:rPr>
          <w:spacing w:val="-6"/>
        </w:rPr>
        <w:t>；从日趋势上观察，航班高峰集中在春节前夕与春节末尾，分别对应返乡高峰与返程高峰，除此之外，在正月十六又迎来一波返程小高峰，春运末尾日航班量有一定的降幅，并未</w:t>
      </w:r>
      <w:r>
        <w:rPr>
          <w:spacing w:val="-18"/>
        </w:rPr>
        <w:t xml:space="preserve">表现出 </w:t>
      </w:r>
      <w:r>
        <w:rPr>
          <w:rFonts w:ascii="Times New Roman" w:eastAsia="Times New Roman"/>
        </w:rPr>
        <w:t xml:space="preserve">2019 </w:t>
      </w:r>
      <w:r>
        <w:t>年的平稳，淡季市场恢复情况有待进一步观察。</w:t>
      </w:r>
    </w:p>
    <w:p>
      <w:pPr>
        <w:pStyle w:val="BodyText"/>
        <w:spacing w:before="4"/>
        <w:rPr>
          <w:sz w:val="19"/>
        </w:rPr>
      </w:pPr>
    </w:p>
    <w:p>
      <w:pPr>
        <w:pStyle w:val="BodyText"/>
        <w:spacing w:before="1" w:line="292" w:lineRule="auto"/>
        <w:ind w:left="132" w:right="1131" w:firstLine="401"/>
        <w:jc w:val="both"/>
      </w:pPr>
      <w:r>
        <w:rPr>
          <w:rFonts w:ascii="Times New Roman" w:eastAsia="Times New Roman"/>
        </w:rPr>
        <w:t>2024</w:t>
      </w:r>
      <w:r>
        <w:rPr>
          <w:rFonts w:ascii="Times New Roman" w:eastAsia="Times New Roman"/>
          <w:spacing w:val="15"/>
        </w:rPr>
        <w:t xml:space="preserve"> </w:t>
      </w:r>
      <w:r>
        <w:t>年春运期间</w:t>
      </w:r>
      <w:r>
        <w:rPr>
          <w:rFonts w:ascii="Times New Roman" w:eastAsia="Times New Roman"/>
        </w:rPr>
        <w:t>(1.26-3.05)</w:t>
      </w:r>
      <w:r>
        <w:rPr>
          <w:spacing w:val="-4"/>
        </w:rPr>
        <w:t xml:space="preserve">，客运航班境内承运人 </w:t>
      </w:r>
      <w:r>
        <w:rPr>
          <w:rFonts w:ascii="Times New Roman" w:eastAsia="Times New Roman"/>
        </w:rPr>
        <w:t>40</w:t>
      </w:r>
      <w:r>
        <w:rPr>
          <w:rFonts w:ascii="Times New Roman" w:eastAsia="Times New Roman"/>
          <w:spacing w:val="16"/>
        </w:rPr>
        <w:t xml:space="preserve"> </w:t>
      </w:r>
      <w:r>
        <w:rPr>
          <w:spacing w:val="-2"/>
        </w:rPr>
        <w:t xml:space="preserve">家，其中除桂林航空与幸福航空外，同比 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16"/>
        </w:rPr>
        <w:t xml:space="preserve"> </w:t>
      </w:r>
      <w:r>
        <w:t>年皆</w:t>
      </w:r>
      <w:r>
        <w:rPr>
          <w:spacing w:val="-5"/>
        </w:rPr>
        <w:t xml:space="preserve">有不同程度的增长；同比 </w:t>
      </w:r>
      <w:r>
        <w:rPr>
          <w:rFonts w:ascii="Times New Roman" w:eastAsia="Times New Roman"/>
        </w:rPr>
        <w:t>2019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13"/>
        </w:rPr>
        <w:t xml:space="preserve">年仍有 </w:t>
      </w:r>
      <w:r>
        <w:rPr>
          <w:rFonts w:ascii="Times New Roman" w:eastAsia="Times New Roman"/>
        </w:rPr>
        <w:t>13</w:t>
      </w:r>
      <w:r>
        <w:rPr>
          <w:rFonts w:ascii="Times New Roman" w:eastAsia="Times New Roman"/>
          <w:spacing w:val="1"/>
        </w:rPr>
        <w:t xml:space="preserve"> </w:t>
      </w:r>
      <w:r>
        <w:t>家航司负增长，</w:t>
      </w:r>
      <w:r>
        <w:rPr>
          <w:rFonts w:ascii="Times New Roman" w:eastAsia="Times New Roman"/>
        </w:rPr>
        <w:t>TOP10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9"/>
        </w:rPr>
        <w:t xml:space="preserve">中海航下降 </w:t>
      </w:r>
      <w:r>
        <w:rPr>
          <w:rFonts w:ascii="Times New Roman" w:eastAsia="Times New Roman"/>
        </w:rPr>
        <w:t>6.6%</w:t>
      </w:r>
      <w:r>
        <w:rPr>
          <w:spacing w:val="-9"/>
        </w:rPr>
        <w:t xml:space="preserve">、厦航下降 </w:t>
      </w:r>
      <w:r>
        <w:rPr>
          <w:rFonts w:ascii="Times New Roman" w:eastAsia="Times New Roman"/>
        </w:rPr>
        <w:t>2.7%</w:t>
      </w:r>
      <w:r>
        <w:t>。</w:t>
      </w:r>
    </w:p>
    <w:p>
      <w:pPr>
        <w:pStyle w:val="BodyText"/>
        <w:spacing w:before="9"/>
        <w:rPr>
          <w:sz w:val="15"/>
        </w:rPr>
      </w:pPr>
    </w:p>
    <w:p>
      <w:pPr>
        <w:tabs>
          <w:tab w:val="left" w:pos="5238"/>
        </w:tabs>
        <w:spacing w:before="0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group id="_x0000_s1065" style="width:483.7pt;height:1.45pt;margin-top:16.53pt;margin-left:62.06pt;mso-position-horizontal-relative:page;position:absolute;z-index:251679744" coordorigin="1241,331" coordsize="9674,29">
            <v:line id="_x0000_s1066" style="position:absolute" from="1241,345" to="5955,345" stroked="t" strokecolor="#044b80" strokeweight="1.44pt">
              <v:stroke dashstyle="solid"/>
            </v:line>
            <v:rect id="_x0000_s1067" style="width:29;height:29;left:5955;position:absolute;top:330" filled="t" fillcolor="#044b80" stroked="f">
              <v:fill type="solid"/>
            </v:rect>
            <v:line id="_x0000_s1068" style="position:absolute" from="5984,345" to="6237,345" stroked="t" strokecolor="#044b80" strokeweight="1.44pt">
              <v:stroke dashstyle="solid"/>
            </v:line>
            <v:rect id="_x0000_s1069" style="width:29;height:29;left:6236;position:absolute;top:330" filled="t" fillcolor="#044b80" stroked="f">
              <v:fill type="solid"/>
            </v:rect>
            <v:line id="_x0000_s1070" style="position:absolute" from="6265,345" to="10915,345" stroked="t" strokecolor="#044b80" strokeweight="1.44pt">
              <v:stroke dashstyle="solid"/>
            </v:line>
          </v:group>
        </w:pict>
      </w: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6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Microsoft JhengHei" w:eastAsia="Microsoft JhengHei" w:hint="eastAsia"/>
          <w:b/>
          <w:spacing w:val="2"/>
          <w:sz w:val="18"/>
        </w:rPr>
        <w:t xml:space="preserve"> </w:t>
      </w:r>
      <w:r>
        <w:rPr>
          <w:rFonts w:ascii="Microsoft JhengHei" w:eastAsia="Microsoft JhengHei" w:hint="eastAsia"/>
          <w:b/>
          <w:sz w:val="18"/>
        </w:rPr>
        <w:t>三大航司客座率（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  <w:tab/>
        <w:t>图表</w:t>
      </w:r>
      <w:r>
        <w:rPr>
          <w:rFonts w:ascii="Times New Roman" w:eastAsia="Times New Roman"/>
          <w:b/>
          <w:sz w:val="18"/>
        </w:rPr>
        <w:t>7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Microsoft JhengHei" w:eastAsia="Microsoft JhengHei" w:hint="eastAsia"/>
          <w:b/>
          <w:spacing w:val="10"/>
          <w:sz w:val="18"/>
        </w:rPr>
        <w:t xml:space="preserve"> </w:t>
      </w:r>
      <w:r>
        <w:rPr>
          <w:rFonts w:ascii="Microsoft JhengHei" w:eastAsia="Microsoft JhengHei" w:hint="eastAsia"/>
          <w:b/>
          <w:sz w:val="18"/>
        </w:rPr>
        <w:t>三大航司可用座公里同比增速（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</w:r>
    </w:p>
    <w:p>
      <w:pPr>
        <w:spacing w:after="0"/>
        <w:jc w:val="left"/>
        <w:rPr>
          <w:rFonts w:ascii="Microsoft JhengHei" w:eastAsia="Microsoft JhengHei" w:hint="eastAsia"/>
          <w:sz w:val="18"/>
        </w:rPr>
        <w:sectPr>
          <w:headerReference w:type="default" r:id="rId19"/>
          <w:footerReference w:type="default" r:id="rId20"/>
          <w:pgSz w:w="11910" w:h="16840"/>
          <w:pgMar w:top="1660" w:right="0" w:bottom="920" w:left="1000" w:header="708" w:footer="708"/>
          <w:pgNumType w:start="8"/>
          <w:cols w:space="708"/>
        </w:sectPr>
      </w:pPr>
    </w:p>
    <w:p>
      <w:pPr>
        <w:pStyle w:val="BodyText"/>
        <w:rPr>
          <w:rFonts w:ascii="Microsoft JhengHei"/>
          <w:b/>
          <w:sz w:val="8"/>
        </w:rPr>
      </w:pPr>
    </w:p>
    <w:p>
      <w:pPr>
        <w:pStyle w:val="BodyText"/>
        <w:spacing w:before="2"/>
        <w:rPr>
          <w:rFonts w:ascii="Microsoft JhengHei"/>
          <w:b/>
          <w:sz w:val="8"/>
        </w:rPr>
      </w:pPr>
    </w:p>
    <w:p>
      <w:pPr>
        <w:spacing w:before="1"/>
        <w:ind w:left="363" w:right="0" w:firstLine="0"/>
        <w:jc w:val="left"/>
        <w:rPr>
          <w:rFonts w:ascii="Calibri"/>
          <w:b/>
          <w:sz w:val="9"/>
        </w:rPr>
      </w:pPr>
      <w:r>
        <w:rPr>
          <w:rFonts w:ascii="Calibri"/>
          <w:b/>
          <w:color w:val="585858"/>
          <w:w w:val="95"/>
          <w:sz w:val="9"/>
        </w:rPr>
        <w:t>100.00</w:t>
      </w:r>
    </w:p>
    <w:p>
      <w:pPr>
        <w:pStyle w:val="BodyText"/>
        <w:rPr>
          <w:rFonts w:ascii="Calibri"/>
          <w:b/>
          <w:sz w:val="8"/>
        </w:rPr>
      </w:pPr>
    </w:p>
    <w:p>
      <w:pPr>
        <w:pStyle w:val="BodyText"/>
        <w:spacing w:before="1"/>
        <w:rPr>
          <w:rFonts w:ascii="Calibri"/>
          <w:b/>
          <w:sz w:val="10"/>
        </w:rPr>
      </w:pPr>
    </w:p>
    <w:p>
      <w:pPr>
        <w:spacing w:before="0"/>
        <w:ind w:left="404" w:right="0" w:firstLine="0"/>
        <w:jc w:val="left"/>
        <w:rPr>
          <w:rFonts w:ascii="Calibri"/>
          <w:b/>
          <w:sz w:val="9"/>
        </w:rPr>
      </w:pPr>
      <w:r>
        <w:pict>
          <v:group id="_x0000_s1071" style="width:207.65pt;height:68.15pt;margin-top:6.34pt;margin-left:83.08pt;mso-position-horizontal-relative:page;position:absolute;z-index:251681792" coordorigin="1662,127" coordsize="4153,1363">
            <v:shape id="_x0000_s1072" style="width:4134;height:1241;left:1671;position:absolute;top:136" coordorigin="1671,136" coordsize="4134,1241" path="m1671,441l1692,458,1714,381,1736,385,1757,620,1778,613,1800,564,1822,637,1843,493,1865,418,1886,540,1908,637,1929,534,1951,434,1972,553,1993,450,2016,643,2037,590,2058,450,2080,391,2102,616,2123,330,2145,434,2166,586,2187,553,2210,477,2231,441,2252,405,2274,474,2296,401,2317,289,2338,275,2360,305,2381,216,2403,420,2425,364,2446,394,2467,335,2489,302,2511,235,2532,308,2554,272,2575,136,2597,170,2619,249,2640,219,2661,325,2682,411,2705,345,2726,454,2747,361,2769,269,2791,405,2812,332,2834,216,2855,278,2876,321,2899,335,2920,434,2941,435,2963,448,2985,213,3006,216,3028,329,3049,364,3070,308,3092,345,3114,243,3135,345,3156,292,3178,434,3200,480,3221,361,3243,146,3264,368,3286,332,3308,348,3329,368,3350,348,3372,345,3394,364,3415,332,3437,391,3458,461,3480,437,3501,265,3523,232,3544,299,3565,361,3588,361,3609,335,3630,265,3652,332,3674,259,3695,335,3717,424,3738,368,3759,278,3782,351,3803,302,3824,345,3846,282,3867,292,3889,219,3910,252,3932,213,3953,315,3975,361,3997,315,4018,213,4039,289,4061,305,4083,335,4104,256,4126,275,4147,259,4169,348,4191,272,4212,275,4233,342,4254,381,4277,235,4298,262,4319,282,4341,398,4363,325,4384,305,4406,179,4427,321,4448,245,4471,351,4492,428,4513,405,4535,189,4556,329,4578,308,4600,342,4621,321,4642,289,4664,189,4686,332,4707,245,4728,358,4750,405,4772,514,4793,1377,4815,1023,4836,828,4858,768,4880,805,4901,646,4922,590,4944,484,4966,521,4987,609,5009,772,5030,1003,5051,970,5073,607,5095,547,5116,506,5137,639,5160,570,5181,1126,5202,841,5224,729,5245,1037,5267,904,5289,1033,5310,844,5331,1083,5354,1229,5375,1195,5396,951,5418,848,5439,824,5461,904,5482,917,5504,984,5525,990,5547,725,5569,637,5590,736,5611,702,5633,734,5655,715,5676,696,5698,677,5719,657,5740,638,5763,609,5784,543,5805,471e" filled="f" stroked="t" strokecolor="red" strokeweight="0.95pt">
              <v:stroke dashstyle="solid"/>
              <v:path arrowok="t"/>
            </v:shape>
            <v:shape id="_x0000_s1073" style="width:4134;height:1288;left:1671;position:absolute;top:192" coordorigin="1671,192" coordsize="4134,1288" path="m1671,600l1692,592,1714,573,1736,564,1757,725,1778,676,1800,553,1822,666,1843,517,1865,506,1886,560,1908,652,1929,573,1951,444,1972,536,1993,511,2016,669,2037,633,2058,549,2080,477,2102,650,2123,448,2145,474,2166,586,2187,528,2210,458,2231,381,2252,441,2274,557,2296,418,2317,342,2338,299,2360,394,2381,318,2403,506,2425,407,2446,431,2467,381,2489,372,2511,299,2532,391,2554,364,2575,226,2597,269,2619,358,2640,342,2661,428,2682,463,2705,375,2726,441,2747,420,2769,348,2791,480,2812,391,2834,295,2855,282,2876,381,2899,437,2920,454,2941,454,2963,484,2985,302,3006,332,3028,391,3049,441,3070,378,3092,375,3114,278,3135,415,3156,431,3178,549,3200,547,3221,431,3243,271,3264,458,3286,409,3308,472,3329,461,3350,383,3372,350,3394,424,3415,419,3437,405,3458,463,3480,447,3501,287,3523,305,3544,329,3565,412,3588,399,3609,357,3630,280,3652,411,3674,373,3695,440,3717,492,3738,449,3759,356,3782,403,3803,336,3824,424,3846,366,3867,379,3889,282,3910,363,3932,339,3953,415,3975,394,3997,318,4018,258,4039,338,4061,302,4083,364,4104,302,4126,325,4147,264,4169,375,4191,325,4212,314,4233,331,4254,388,4277,276,4298,272,4319,250,4341,366,4363,311,4384,320,4406,197,4427,321,4448,305,4471,373,4492,357,4513,378,4535,219,4556,287,4578,293,4600,344,4621,296,4642,289,4664,192,4686,333,4707,287,4728,323,4750,344,4772,500,4793,1479,4815,1114,4836,942,4858,828,4880,756,4901,639,4922,616,4944,471,4966,509,4987,598,5009,706,5030,922,5051,896,5073,558,5095,486,5116,449,5137,541,5160,506,5181,1043,5202,760,5224,736,5245,946,5267,890,5289,954,5310,780,5331,916,5354,1146,5375,1026,5396,820,5418,723,5439,758,5461,779,5482,824,5504,868,5525,837,5547,634,5569,504,5590,588,5611,526,5633,560,5655,571,5676,582,5698,591,5719,602,5740,613,5763,426,5784,412,5805,357e" filled="f" stroked="t" strokecolor="#044e7d" strokeweight="0.95pt">
              <v:stroke dashstyle="solid"/>
              <v:path arrowok="t"/>
            </v:shape>
            <v:shape id="_x0000_s1074" style="width:4134;height:1191;left:1671;position:absolute;top:184" coordorigin="1671,184" coordsize="4134,1191" path="m1671,670l1692,692,1714,626,1736,623,1757,787,1778,719,1800,621,1822,740,1843,690,1865,653,1886,731,1908,799,1929,714,1951,651,1972,713,1993,638,2016,739,2037,713,2058,647,2080,463,2102,718,2123,547,2145,600,2166,701,2187,665,2210,549,2231,480,2252,539,2274,565,2296,387,2317,284,2338,271,2360,424,2381,360,2403,532,2425,497,2446,526,2467,478,2489,472,2511,389,2532,448,2554,438,2575,292,2597,303,2619,420,2640,400,2661,468,2682,527,2705,443,2726,452,2747,423,2769,352,2791,480,2812,383,2834,311,2855,274,2876,379,2899,401,2920,440,2941,477,2963,536,2985,343,3006,326,3028,431,3049,485,3070,366,3092,393,3114,302,3135,388,3156,447,3178,517,3200,524,3221,430,3243,288,3264,405,3286,385,3308,430,3329,417,3350,379,3372,363,3394,434,3415,413,3437,443,3458,527,3480,524,3501,339,3523,300,3544,333,3565,403,3588,378,3609,331,3630,223,3652,387,3674,372,3695,448,3717,498,3738,430,3759,364,3782,345,3803,321,3824,401,3846,318,3867,305,3889,216,3910,345,3932,344,3953,420,3975,430,3997,333,4018,306,4039,368,4061,348,4083,383,4104,344,4126,351,4147,284,4169,386,4191,389,4212,378,4233,410,4254,429,4277,299,4298,280,4319,238,4341,344,4363,275,4384,280,4406,184,4427,350,4448,331,4471,393,4492,400,4513,368,4535,245,4556,301,4578,275,4600,324,4621,300,4642,326,4664,215,4686,398,4707,364,4728,388,4750,387,4772,543,4793,1374,4815,1193,4836,914,4858,900,4880,840,4901,628,4922,613,4944,495,4966,526,4987,692,5009,781,5030,1071,5051,1003,5073,626,5095,577,5116,537,5137,602,5160,563,5181,1191,5202,894,5224,897,5245,1108,5267,1087,5289,1181,5310,916,5331,1072,5354,1156,5375,1027,5396,894,5418,822,5439,820,5461,768,5482,861,5504,884,5525,945,5547,777,5569,623,5590,708,5611,653,5633,546,5655,481,5676,416,5698,351,5719,286,5740,221,5763,517,5784,522,5805,477e" filled="f" stroked="t" strokecolor="#ff8080" strokeweight="0.95pt">
              <v:stroke dashstyle="solid"/>
              <v:path arrowok="t"/>
            </v:shape>
          </v:group>
        </w:pict>
      </w:r>
      <w:r>
        <w:rPr>
          <w:rFonts w:ascii="Calibri"/>
          <w:b/>
          <w:color w:val="585858"/>
          <w:sz w:val="9"/>
        </w:rPr>
        <w:t>90.00</w:t>
      </w:r>
    </w:p>
    <w:p>
      <w:pPr>
        <w:pStyle w:val="BodyText"/>
        <w:rPr>
          <w:rFonts w:ascii="Calibri"/>
          <w:b/>
          <w:sz w:val="8"/>
        </w:rPr>
      </w:pPr>
    </w:p>
    <w:p>
      <w:pPr>
        <w:pStyle w:val="BodyText"/>
        <w:spacing w:before="1"/>
        <w:rPr>
          <w:rFonts w:ascii="Calibri"/>
          <w:b/>
          <w:sz w:val="10"/>
        </w:rPr>
      </w:pPr>
    </w:p>
    <w:p>
      <w:pPr>
        <w:spacing w:before="0"/>
        <w:ind w:left="404" w:right="0" w:firstLine="0"/>
        <w:jc w:val="left"/>
        <w:rPr>
          <w:rFonts w:ascii="Calibri"/>
          <w:b/>
          <w:sz w:val="9"/>
        </w:rPr>
      </w:pPr>
      <w:r>
        <w:rPr>
          <w:rFonts w:ascii="Calibri"/>
          <w:b/>
          <w:color w:val="585858"/>
          <w:sz w:val="9"/>
        </w:rPr>
        <w:t>80.00</w:t>
      </w:r>
    </w:p>
    <w:p>
      <w:pPr>
        <w:pStyle w:val="BodyText"/>
        <w:rPr>
          <w:rFonts w:ascii="Calibri"/>
          <w:b/>
          <w:sz w:val="8"/>
        </w:rPr>
      </w:pPr>
    </w:p>
    <w:p>
      <w:pPr>
        <w:pStyle w:val="BodyText"/>
        <w:spacing w:before="2"/>
        <w:rPr>
          <w:rFonts w:ascii="Calibri"/>
          <w:b/>
          <w:sz w:val="10"/>
        </w:rPr>
      </w:pPr>
    </w:p>
    <w:p>
      <w:pPr>
        <w:spacing w:before="0"/>
        <w:ind w:left="404" w:right="0" w:firstLine="0"/>
        <w:jc w:val="left"/>
        <w:rPr>
          <w:rFonts w:ascii="Calibri"/>
          <w:b/>
          <w:sz w:val="9"/>
        </w:rPr>
      </w:pPr>
      <w:r>
        <w:rPr>
          <w:rFonts w:ascii="Calibri"/>
          <w:b/>
          <w:color w:val="585858"/>
          <w:sz w:val="9"/>
        </w:rPr>
        <w:t>70.00</w:t>
      </w:r>
    </w:p>
    <w:p>
      <w:pPr>
        <w:pStyle w:val="BodyText"/>
        <w:rPr>
          <w:rFonts w:ascii="Calibri"/>
          <w:b/>
          <w:sz w:val="8"/>
        </w:rPr>
      </w:pPr>
    </w:p>
    <w:p>
      <w:pPr>
        <w:pStyle w:val="BodyText"/>
        <w:spacing w:before="1"/>
        <w:rPr>
          <w:rFonts w:ascii="Calibri"/>
          <w:b/>
          <w:sz w:val="10"/>
        </w:rPr>
      </w:pPr>
    </w:p>
    <w:p>
      <w:pPr>
        <w:spacing w:before="0"/>
        <w:ind w:left="404" w:right="0" w:firstLine="0"/>
        <w:jc w:val="left"/>
        <w:rPr>
          <w:rFonts w:ascii="Calibri"/>
          <w:b/>
          <w:sz w:val="9"/>
        </w:rPr>
      </w:pPr>
      <w:r>
        <w:rPr>
          <w:rFonts w:ascii="Calibri"/>
          <w:b/>
          <w:color w:val="585858"/>
          <w:sz w:val="9"/>
        </w:rPr>
        <w:t>60.00</w:t>
      </w:r>
    </w:p>
    <w:p>
      <w:pPr>
        <w:pStyle w:val="BodyText"/>
        <w:rPr>
          <w:rFonts w:ascii="Calibri"/>
          <w:b/>
          <w:sz w:val="8"/>
        </w:rPr>
      </w:pPr>
    </w:p>
    <w:p>
      <w:pPr>
        <w:pStyle w:val="BodyText"/>
        <w:spacing w:before="2"/>
        <w:rPr>
          <w:rFonts w:ascii="Calibri"/>
          <w:b/>
          <w:sz w:val="10"/>
        </w:rPr>
      </w:pPr>
    </w:p>
    <w:p>
      <w:pPr>
        <w:spacing w:before="0"/>
        <w:ind w:left="404" w:right="0" w:firstLine="0"/>
        <w:jc w:val="left"/>
        <w:rPr>
          <w:rFonts w:ascii="Calibri"/>
          <w:b/>
          <w:sz w:val="9"/>
        </w:rPr>
      </w:pPr>
      <w:r>
        <w:rPr>
          <w:rFonts w:ascii="Calibri"/>
          <w:b/>
          <w:color w:val="585858"/>
          <w:sz w:val="9"/>
        </w:rPr>
        <w:t>50.00</w:t>
      </w:r>
    </w:p>
    <w:p>
      <w:pPr>
        <w:pStyle w:val="BodyText"/>
        <w:rPr>
          <w:rFonts w:ascii="Calibri"/>
          <w:b/>
          <w:sz w:val="8"/>
        </w:rPr>
      </w:pPr>
    </w:p>
    <w:p>
      <w:pPr>
        <w:pStyle w:val="BodyText"/>
        <w:spacing w:before="1"/>
        <w:rPr>
          <w:rFonts w:ascii="Calibri"/>
          <w:b/>
          <w:sz w:val="10"/>
        </w:rPr>
      </w:pPr>
    </w:p>
    <w:p>
      <w:pPr>
        <w:spacing w:before="0"/>
        <w:ind w:left="404" w:right="0" w:firstLine="0"/>
        <w:jc w:val="left"/>
        <w:rPr>
          <w:rFonts w:ascii="Calibri"/>
          <w:b/>
          <w:sz w:val="9"/>
        </w:rPr>
      </w:pPr>
      <w:r>
        <w:pict>
          <v:shape id="_x0000_s1075" type="#_x0000_t202" style="width:212.75pt;height:17pt;margin-top:4.86pt;margin-left:80.9pt;mso-position-horizontal-relative:page;position:absolute;z-index:251683840" filled="f" stroked="f">
            <v:textbox style="layout-flow:vertical;mso-layout-flow-alt:bottom-to-top" inset="0,0,0,0">
              <w:txbxContent>
                <w:p>
                  <w:pPr>
                    <w:spacing w:before="3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2008-01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2008-07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2009-01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2009-07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2010-01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2010-07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2011-01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2011-07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2012-01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2012-07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2013-01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2013-07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2014-01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2014-07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2015-01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2015-07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2016-01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2016-07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2017-01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2017-07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2018-01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2018-07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2019-01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2019-07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2020-01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2020-07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2021-01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2021-07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2022-01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2022-07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2023-01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2023-07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Calibri"/>
                      <w:b/>
                      <w:sz w:val="8"/>
                    </w:rPr>
                  </w:pPr>
                  <w:r>
                    <w:rPr>
                      <w:rFonts w:ascii="Calibri"/>
                      <w:b/>
                      <w:color w:val="585858"/>
                      <w:w w:val="110"/>
                      <w:sz w:val="8"/>
                    </w:rPr>
                    <w:t>2024-01</w:t>
                  </w:r>
                </w:p>
              </w:txbxContent>
            </v:textbox>
          </v:shape>
        </w:pict>
      </w:r>
      <w:r>
        <w:rPr>
          <w:rFonts w:ascii="Calibri"/>
          <w:b/>
          <w:color w:val="585858"/>
          <w:sz w:val="9"/>
        </w:rPr>
        <w:t>40.00</w:t>
      </w:r>
    </w:p>
    <w:p>
      <w:pPr>
        <w:pStyle w:val="BodyText"/>
        <w:spacing w:before="8"/>
        <w:rPr>
          <w:rFonts w:ascii="Calibri"/>
          <w:b/>
          <w:sz w:val="10"/>
        </w:rPr>
      </w:pPr>
      <w:r>
        <w:br w:type="column"/>
      </w:r>
    </w:p>
    <w:p>
      <w:pPr>
        <w:spacing w:before="0"/>
        <w:ind w:left="363" w:right="0" w:firstLine="0"/>
        <w:jc w:val="left"/>
        <w:rPr>
          <w:rFonts w:ascii="等线" w:eastAsia="等线" w:hint="eastAsia"/>
          <w:b/>
          <w:sz w:val="9"/>
        </w:rPr>
      </w:pPr>
      <w:r>
        <w:rPr>
          <w:rFonts w:ascii="Times New Roman" w:eastAsia="Times New Roman"/>
          <w:color w:val="585858"/>
          <w:w w:val="88"/>
          <w:sz w:val="9"/>
          <w:u w:val="single" w:color="FF0000"/>
        </w:rPr>
        <w:t xml:space="preserve"> </w:t>
      </w:r>
      <w:r>
        <w:rPr>
          <w:rFonts w:ascii="Times New Roman" w:eastAsia="Times New Roman"/>
          <w:color w:val="585858"/>
          <w:sz w:val="9"/>
          <w:u w:val="single" w:color="FF0000"/>
        </w:rPr>
        <w:t xml:space="preserve">       </w:t>
      </w:r>
      <w:r>
        <w:rPr>
          <w:rFonts w:ascii="等线" w:eastAsia="等线" w:hint="eastAsia"/>
          <w:b/>
          <w:color w:val="585858"/>
          <w:sz w:val="9"/>
        </w:rPr>
        <w:t>中国国航</w:t>
      </w:r>
      <w:r>
        <w:rPr>
          <w:rFonts w:ascii="Calibri" w:eastAsia="Calibri"/>
          <w:b/>
          <w:color w:val="585858"/>
          <w:sz w:val="9"/>
        </w:rPr>
        <w:t>:</w:t>
      </w:r>
      <w:r>
        <w:rPr>
          <w:rFonts w:ascii="等线" w:eastAsia="等线" w:hint="eastAsia"/>
          <w:b/>
          <w:color w:val="585858"/>
          <w:sz w:val="9"/>
        </w:rPr>
        <w:t>客座率</w:t>
      </w:r>
      <w:r>
        <w:rPr>
          <w:rFonts w:ascii="等线" w:eastAsia="等线" w:hint="eastAsia"/>
          <w:b/>
          <w:color w:val="585858"/>
          <w:sz w:val="9"/>
          <w:u w:val="single" w:color="044E7D"/>
        </w:rPr>
        <w:t xml:space="preserve"> </w:t>
      </w:r>
      <w:r>
        <w:rPr>
          <w:rFonts w:ascii="等线" w:eastAsia="等线" w:hint="eastAsia"/>
          <w:b/>
          <w:color w:val="585858"/>
          <w:sz w:val="9"/>
        </w:rPr>
        <w:t>南方航空</w:t>
      </w:r>
      <w:r>
        <w:rPr>
          <w:rFonts w:ascii="Calibri" w:eastAsia="Calibri"/>
          <w:b/>
          <w:color w:val="585858"/>
          <w:sz w:val="9"/>
        </w:rPr>
        <w:t>:</w:t>
      </w:r>
      <w:r>
        <w:rPr>
          <w:rFonts w:ascii="等线" w:eastAsia="等线" w:hint="eastAsia"/>
          <w:b/>
          <w:color w:val="585858"/>
          <w:sz w:val="9"/>
        </w:rPr>
        <w:t>客座率</w:t>
      </w:r>
      <w:r>
        <w:rPr>
          <w:rFonts w:ascii="等线" w:eastAsia="等线" w:hint="eastAsia"/>
          <w:b/>
          <w:color w:val="585858"/>
          <w:sz w:val="9"/>
          <w:u w:val="single" w:color="FF8080"/>
        </w:rPr>
        <w:t xml:space="preserve"> </w:t>
      </w:r>
      <w:r>
        <w:rPr>
          <w:rFonts w:ascii="等线" w:eastAsia="等线" w:hint="eastAsia"/>
          <w:b/>
          <w:color w:val="585858"/>
          <w:sz w:val="9"/>
        </w:rPr>
        <w:t>东方航空</w:t>
      </w:r>
      <w:r>
        <w:rPr>
          <w:rFonts w:ascii="Calibri" w:eastAsia="Calibri"/>
          <w:b/>
          <w:color w:val="585858"/>
          <w:sz w:val="9"/>
        </w:rPr>
        <w:t>:</w:t>
      </w:r>
      <w:r>
        <w:rPr>
          <w:rFonts w:ascii="等线" w:eastAsia="等线" w:hint="eastAsia"/>
          <w:b/>
          <w:color w:val="585858"/>
          <w:sz w:val="9"/>
        </w:rPr>
        <w:t>客座率</w:t>
      </w:r>
    </w:p>
    <w:p>
      <w:pPr>
        <w:spacing w:before="94"/>
        <w:ind w:left="0" w:right="5134" w:firstLine="0"/>
        <w:jc w:val="right"/>
        <w:rPr>
          <w:rFonts w:ascii="Arial"/>
          <w:sz w:val="11"/>
        </w:rPr>
      </w:pPr>
      <w:r>
        <w:br w:type="column"/>
      </w:r>
      <w:r>
        <w:rPr>
          <w:rFonts w:ascii="Arial"/>
          <w:spacing w:val="-1"/>
          <w:w w:val="105"/>
          <w:sz w:val="11"/>
        </w:rPr>
        <w:t>800%</w:t>
      </w:r>
    </w:p>
    <w:p>
      <w:pPr>
        <w:spacing w:before="82"/>
        <w:ind w:left="0" w:right="5132" w:firstLine="0"/>
        <w:jc w:val="right"/>
        <w:rPr>
          <w:rFonts w:ascii="Arial"/>
          <w:sz w:val="11"/>
        </w:rPr>
      </w:pPr>
      <w:r>
        <w:pict>
          <v:group id="_x0000_s1076" style="width:189.95pt;height:97pt;margin-top:-6.41pt;margin-left:343.4pt;mso-position-horizontal-relative:page;position:absolute;z-index:251682816" coordorigin="6868,-128" coordsize="3799,1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7" type="#_x0000_t75" style="width:3799;height:1767;left:6867;position:absolute;top:45" stroked="f">
              <v:imagedata r:id="rId21" o:title=""/>
            </v:shape>
            <v:line id="_x0000_s1078" style="position:absolute" from="8233,0" to="8479,0" stroked="t" strokecolor="#044e7d" strokeweight="1.28pt">
              <v:stroke dashstyle="solid"/>
            </v:line>
            <v:line id="_x0000_s1079" style="position:absolute" from="9118,0" to="9364,0" stroked="t" strokecolor="#ff8080" strokeweight="1.28pt">
              <v:stroke dashstyle="solid"/>
            </v:line>
            <v:shape id="_x0000_s1080" type="#_x0000_t202" style="width:754;height:186;left:7348;position:absolute;top:-129" filled="f" stroked="f">
              <v:textbox inset="0,0,0,0">
                <w:txbxContent>
                  <w:p>
                    <w:pPr>
                      <w:tabs>
                        <w:tab w:val="left" w:pos="271"/>
                      </w:tabs>
                      <w:spacing w:before="59" w:line="126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rFonts w:ascii="Arial" w:eastAsia="Arial"/>
                        <w:w w:val="104"/>
                        <w:position w:val="7"/>
                        <w:sz w:val="11"/>
                        <w:u w:val="thick" w:color="FF0000"/>
                      </w:rPr>
                      <w:t xml:space="preserve"> </w:t>
                    </w:r>
                    <w:r>
                      <w:rPr>
                        <w:rFonts w:ascii="Arial" w:eastAsia="Arial"/>
                        <w:position w:val="7"/>
                        <w:sz w:val="11"/>
                        <w:u w:val="thick" w:color="FF0000"/>
                      </w:rPr>
                      <w:tab/>
                    </w:r>
                    <w:r>
                      <w:rPr>
                        <w:w w:val="105"/>
                        <w:sz w:val="11"/>
                      </w:rPr>
                      <w:t>南方航空</w:t>
                    </w:r>
                  </w:p>
                </w:txbxContent>
              </v:textbox>
            </v:shape>
            <v:shape id="_x0000_s1081" type="#_x0000_t202" style="width:483;height:116;left:8504;position:absolute;top:-58" filled="f" stroked="f">
              <v:textbox inset="0,0,0,0">
                <w:txbxContent>
                  <w:p>
                    <w:pPr>
                      <w:spacing w:before="0" w:line="115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w w:val="105"/>
                        <w:sz w:val="11"/>
                      </w:rPr>
                      <w:t>中国国航</w:t>
                    </w:r>
                  </w:p>
                </w:txbxContent>
              </v:textbox>
            </v:shape>
            <v:shape id="_x0000_s1082" type="#_x0000_t202" style="width:482;height:116;left:9389;position:absolute;top:-58" filled="f" stroked="f">
              <v:textbox inset="0,0,0,0">
                <w:txbxContent>
                  <w:p>
                    <w:pPr>
                      <w:spacing w:before="0" w:line="115" w:lineRule="exact"/>
                      <w:ind w:left="0" w:right="0" w:firstLine="0"/>
                      <w:jc w:val="left"/>
                      <w:rPr>
                        <w:sz w:val="11"/>
                      </w:rPr>
                    </w:pPr>
                    <w:r>
                      <w:rPr>
                        <w:w w:val="105"/>
                        <w:sz w:val="11"/>
                      </w:rPr>
                      <w:t>东方航空</w:t>
                    </w:r>
                  </w:p>
                </w:txbxContent>
              </v:textbox>
            </v:shape>
          </v:group>
        </w:pict>
      </w:r>
      <w:r>
        <w:rPr>
          <w:rFonts w:ascii="Arial"/>
          <w:spacing w:val="-1"/>
          <w:w w:val="105"/>
          <w:sz w:val="11"/>
        </w:rPr>
        <w:t>700%</w:t>
      </w:r>
    </w:p>
    <w:p>
      <w:pPr>
        <w:spacing w:before="83"/>
        <w:ind w:left="0" w:right="5134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600%</w:t>
      </w:r>
    </w:p>
    <w:p>
      <w:pPr>
        <w:spacing w:before="83"/>
        <w:ind w:left="0" w:right="5134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500%</w:t>
      </w:r>
    </w:p>
    <w:p>
      <w:pPr>
        <w:spacing w:before="82"/>
        <w:ind w:left="0" w:right="5134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400%</w:t>
      </w:r>
    </w:p>
    <w:p>
      <w:pPr>
        <w:spacing w:before="83"/>
        <w:ind w:left="0" w:right="5132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300%</w:t>
      </w:r>
    </w:p>
    <w:p>
      <w:pPr>
        <w:spacing w:before="83"/>
        <w:ind w:left="0" w:right="5134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200%</w:t>
      </w:r>
    </w:p>
    <w:p>
      <w:pPr>
        <w:spacing w:before="82"/>
        <w:ind w:left="0" w:right="5134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100%</w:t>
      </w:r>
    </w:p>
    <w:p>
      <w:pPr>
        <w:spacing w:before="83"/>
        <w:ind w:left="0" w:right="5131" w:firstLine="0"/>
        <w:jc w:val="right"/>
        <w:rPr>
          <w:rFonts w:ascii="Arial"/>
          <w:sz w:val="11"/>
        </w:rPr>
      </w:pPr>
      <w:r>
        <w:rPr>
          <w:rFonts w:ascii="Arial"/>
          <w:sz w:val="11"/>
        </w:rPr>
        <w:t>0%</w:t>
      </w:r>
    </w:p>
    <w:p>
      <w:pPr>
        <w:spacing w:before="83"/>
        <w:ind w:left="0" w:right="5133" w:firstLine="0"/>
        <w:jc w:val="right"/>
        <w:rPr>
          <w:rFonts w:ascii="Arial"/>
          <w:sz w:val="11"/>
        </w:rPr>
      </w:pPr>
      <w:r>
        <w:rPr>
          <w:rFonts w:ascii="Arial"/>
          <w:spacing w:val="-1"/>
          <w:w w:val="105"/>
          <w:sz w:val="11"/>
        </w:rPr>
        <w:t>-100%</w:t>
      </w:r>
    </w:p>
    <w:p>
      <w:pPr>
        <w:spacing w:before="82"/>
        <w:ind w:left="0" w:right="5133" w:firstLine="0"/>
        <w:jc w:val="right"/>
        <w:rPr>
          <w:rFonts w:ascii="Arial"/>
          <w:sz w:val="11"/>
        </w:rPr>
      </w:pPr>
      <w:r>
        <w:pict>
          <v:shape id="_x0000_s1083" style="width:470.4pt;height:2.9pt;margin-top:330.37pt;margin-left:35.16pt;mso-position-horizontal-relative:page;position:absolute;z-index:251680768" coordorigin="703,6607" coordsize="9408,58" path="m1661,239l5816,239m1661,239l1661,268m1789,239l1789,268m1918,239l1918,268m2047,239l2047,268m2177,239l2177,268m2306,239l2306,268m2435,239l2435,268m2565,239l2565,268m2694,239l2694,268m2823,239l2823,268m2952,239l2952,268m3081,239l3081,268m3210,239l3210,268m3340,239l3340,268m3469,239l3469,268m3598,239l3598,268m3728,239l3728,268m3857,239l3857,268m3986,239l3986,268m4114,239l4114,268m4244,239l4244,268m4373,239l4373,268m4502,239l4502,268m4632,239l4632,268m4761,239l4761,268m4890,239l4890,268m5020,239l5020,268m5149,239l5149,268m5277,239l5277,268m5407,239l5407,268m5536,239l5536,268m5665,239l5665,268m5795,239l5795,268e" filled="f" stroked="t" strokecolor="#d9d9d9" strokeweight="0.34pt">
            <v:stroke dashstyle="solid"/>
            <v:path arrowok="t"/>
          </v:shape>
        </w:pict>
      </w:r>
      <w:r>
        <w:pict>
          <v:shape id="_x0000_s1084" type="#_x0000_t202" style="width:190.25pt;height:23.15pt;margin-top:9.89pt;margin-left:339.83pt;mso-position-horizontal-relative:page;position:absolute;z-index:251684864" filled="f" stroked="f">
            <v:textbox style="layout-flow:vertical;mso-layout-flow-alt:bottom-to-top" inset="0,0,0,0">
              <w:txbxContent>
                <w:p>
                  <w:pPr>
                    <w:spacing w:before="2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2008-01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2008-09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2009-05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2010-01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2010-09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2011-05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2012-01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2012-09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2013-05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2014-01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2014-09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2015-05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2016-01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2016-09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2017-05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2018-01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2018-09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2019-05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2020-01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2020-09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2021-05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2022-01</w:t>
                  </w:r>
                </w:p>
                <w:p>
                  <w:pPr>
                    <w:spacing w:before="32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2022-09</w:t>
                  </w:r>
                </w:p>
                <w:p>
                  <w:pPr>
                    <w:spacing w:before="31"/>
                    <w:ind w:left="20" w:right="0" w:firstLine="0"/>
                    <w:jc w:val="left"/>
                    <w:rPr>
                      <w:rFonts w:ascii="Arial"/>
                      <w:sz w:val="11"/>
                    </w:rPr>
                  </w:pPr>
                  <w:r>
                    <w:rPr>
                      <w:rFonts w:ascii="Arial"/>
                      <w:w w:val="105"/>
                      <w:sz w:val="11"/>
                    </w:rPr>
                    <w:t>2023-05</w:t>
                  </w:r>
                </w:p>
              </w:txbxContent>
            </v:textbox>
          </v:shape>
        </w:pict>
      </w:r>
      <w:r>
        <w:rPr>
          <w:rFonts w:ascii="Arial"/>
          <w:spacing w:val="-1"/>
          <w:w w:val="105"/>
          <w:sz w:val="11"/>
        </w:rPr>
        <w:t>-200%</w:t>
      </w:r>
    </w:p>
    <w:p>
      <w:pPr>
        <w:spacing w:after="0"/>
        <w:jc w:val="right"/>
        <w:rPr>
          <w:rFonts w:ascii="Arial"/>
          <w:sz w:val="11"/>
        </w:rPr>
        <w:sectPr>
          <w:headerReference w:type="default" r:id="rId22"/>
          <w:footerReference w:type="default" r:id="rId23"/>
          <w:type w:val="continuous"/>
          <w:pgSz w:w="11910" w:h="16840"/>
          <w:pgMar w:top="1660" w:right="0" w:bottom="920" w:left="1000" w:header="708" w:footer="708"/>
          <w:pgNumType w:start="9"/>
          <w:cols w:num="3" w:space="708" w:equalWidth="0">
            <w:col w:w="627" w:space="386"/>
            <w:col w:w="2990" w:space="1072"/>
            <w:col w:w="5835" w:space="0"/>
          </w:cols>
        </w:sectPr>
      </w:pPr>
    </w:p>
    <w:p>
      <w:pPr>
        <w:pStyle w:val="BodyText"/>
        <w:rPr>
          <w:rFonts w:ascii="Arial"/>
        </w:rPr>
      </w:pPr>
    </w:p>
    <w:p>
      <w:pPr>
        <w:pStyle w:val="BodyText"/>
        <w:spacing w:before="7"/>
        <w:rPr>
          <w:rFonts w:ascii="Arial"/>
          <w:sz w:val="18"/>
        </w:rPr>
      </w:pPr>
    </w:p>
    <w:p>
      <w:pPr>
        <w:pStyle w:val="BodyText"/>
        <w:spacing w:line="20" w:lineRule="exact"/>
        <w:ind w:left="231"/>
        <w:rPr>
          <w:rFonts w:ascii="Arial"/>
          <w:sz w:val="2"/>
        </w:rPr>
      </w:pPr>
      <w:r>
        <w:rPr>
          <w:rFonts w:ascii="Arial"/>
          <w:sz w:val="2"/>
        </w:rPr>
        <w:pict>
          <v:group id="_x0000_i1085" style="width:483.7pt;height:1pt;mso-position-horizontal-relative:char;mso-position-vertical-relative:line" coordorigin="0,0" coordsize="9674,20">
            <v:line id="_x0000_s1086" style="position:absolute" from="0,10" to="4714,10" stroked="t" strokecolor="#044b80" strokeweight="0.96pt">
              <v:stroke dashstyle="solid"/>
            </v:line>
            <v:rect id="_x0000_s1087" style="width:20;height:20;left:4714;position:absolute" filled="t" fillcolor="#044b80" stroked="f">
              <v:fill type="solid"/>
            </v:rect>
            <v:line id="_x0000_s1088" style="position:absolute" from="4733,10" to="4995,10" stroked="t" strokecolor="#044b80" strokeweight="0.96pt">
              <v:stroke dashstyle="solid"/>
            </v:line>
            <v:rect id="_x0000_s1089" style="width:20;height:20;left:4995;position:absolute" filled="t" fillcolor="#044b80" stroked="f">
              <v:fill type="solid"/>
            </v:rect>
            <v:line id="_x0000_s1090" style="position:absolute" from="5015,10" to="9673,10" stroked="t" strokecolor="#044b80" strokeweight="0.96pt">
              <v:stroke dashstyle="solid"/>
            </v:line>
            <w10:wrap type="none"/>
          </v:group>
        </w:pict>
      </w:r>
    </w:p>
    <w:p>
      <w:pPr>
        <w:tabs>
          <w:tab w:val="left" w:pos="5238"/>
        </w:tabs>
        <w:spacing w:before="48"/>
        <w:ind w:left="241" w:right="0" w:firstLine="0"/>
        <w:jc w:val="left"/>
        <w:rPr>
          <w:sz w:val="17"/>
        </w:rPr>
      </w:pPr>
      <w:r>
        <w:t xml:space="preserve">资料来源： ， </w:t>
        <w:tab/>
        <w:t xml:space="preserve">资料来源： 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24"/>
        </w:rPr>
      </w:pPr>
      <w:r>
        <w:pict>
          <v:shape id="_x0000_s1091" style="width:482.25pt;height:0.1pt;margin-top:18.03pt;margin-left:56.55pt;mso-position-horizontal-relative:page;mso-wrap-distance-left:0;mso-wrap-distance-right:0;position:absolute;z-index:-251630592" coordorigin="1131,361" coordsize="9645,0" path="m1131,361l10776,361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4"/>
        </w:rPr>
        <w:sectPr>
          <w:headerReference w:type="default" r:id="rId24"/>
          <w:footerReference w:type="default" r:id="rId25"/>
          <w:type w:val="continuous"/>
          <w:pgSz w:w="11910" w:h="16840"/>
          <w:pgMar w:top="1660" w:right="0" w:bottom="920" w:left="1000" w:header="708" w:footer="708"/>
          <w:pgNumType w:start="10"/>
          <w:cols w:space="708"/>
        </w:sectPr>
      </w:pPr>
    </w:p>
    <w:p>
      <w:pPr>
        <w:pStyle w:val="BodyText"/>
      </w:pPr>
    </w:p>
    <w:p>
      <w:pPr>
        <w:pStyle w:val="BodyText"/>
        <w:spacing w:before="6"/>
        <w:rPr>
          <w:sz w:val="17"/>
        </w:rPr>
      </w:pPr>
    </w:p>
    <w:p>
      <w:pPr>
        <w:spacing w:before="21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8</w:t>
      </w:r>
      <w:r>
        <w:rPr>
          <w:rFonts w:ascii="Microsoft JhengHei" w:eastAsia="Microsoft JhengHei" w:hint="eastAsia"/>
          <w:b/>
          <w:sz w:val="18"/>
        </w:rPr>
        <w:t>： 航空业供需增速差与客座率（</w:t>
      </w:r>
      <w:r>
        <w:rPr>
          <w:rFonts w:ascii="Times New Roman" w:eastAsia="Times New Roman"/>
          <w:b/>
          <w:sz w:val="18"/>
        </w:rPr>
        <w:t>%</w:t>
      </w:r>
      <w:r>
        <w:rPr>
          <w:rFonts w:ascii="Microsoft JhengHei" w:eastAsia="Microsoft JhengHei" w:hint="eastAsia"/>
          <w:b/>
          <w:sz w:val="18"/>
        </w:rPr>
        <w:t>）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092" style="width:482pt;height:1.45pt;mso-position-horizontal-relative:char;mso-position-vertical-relative:line" coordorigin="0,0" coordsize="9640,29">
            <v:line id="_x0000_s1093" style="position:absolute" from="0,14" to="9640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spacing w:after="0"/>
        <w:rPr>
          <w:rFonts w:ascii="Microsoft JhengHei"/>
          <w:sz w:val="5"/>
        </w:rPr>
        <w:sectPr>
          <w:headerReference w:type="default" r:id="rId26"/>
          <w:footerReference w:type="default" r:id="rId27"/>
          <w:pgSz w:w="11910" w:h="16840"/>
          <w:pgMar w:top="1660" w:right="0" w:bottom="920" w:left="1000" w:header="708" w:footer="708"/>
          <w:pgNumType w:start="11"/>
          <w:cols w:space="708"/>
        </w:sectPr>
      </w:pPr>
    </w:p>
    <w:p>
      <w:pPr>
        <w:pStyle w:val="BodyText"/>
        <w:spacing w:before="4"/>
        <w:rPr>
          <w:rFonts w:ascii="Microsoft JhengHei"/>
          <w:b/>
          <w:sz w:val="11"/>
        </w:rPr>
      </w:pPr>
    </w:p>
    <w:p>
      <w:pPr>
        <w:spacing w:before="0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z w:val="17"/>
        </w:rPr>
        <w:t>50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0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w w:val="103"/>
          <w:sz w:val="17"/>
        </w:rPr>
        <w:t>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0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z w:val="17"/>
        </w:rPr>
        <w:t>-50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0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pacing w:val="-1"/>
          <w:sz w:val="17"/>
        </w:rPr>
        <w:t>-100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0"/>
        <w:ind w:left="0" w:right="1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pacing w:val="-1"/>
          <w:sz w:val="17"/>
        </w:rPr>
        <w:t>-150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0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pacing w:val="-1"/>
          <w:sz w:val="17"/>
        </w:rPr>
        <w:t>-200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0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pacing w:val="-1"/>
          <w:sz w:val="17"/>
        </w:rPr>
        <w:t>-250</w:t>
      </w:r>
    </w:p>
    <w:p>
      <w:pPr>
        <w:pStyle w:val="BodyText"/>
        <w:spacing w:before="6"/>
        <w:rPr>
          <w:rFonts w:ascii="Arial"/>
          <w:sz w:val="16"/>
        </w:rPr>
      </w:pPr>
    </w:p>
    <w:p>
      <w:pPr>
        <w:spacing w:before="1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color w:val="585858"/>
          <w:spacing w:val="-1"/>
          <w:sz w:val="17"/>
        </w:rPr>
        <w:t>-300</w:t>
      </w:r>
    </w:p>
    <w:p>
      <w:pPr>
        <w:tabs>
          <w:tab w:val="left" w:pos="4725"/>
        </w:tabs>
        <w:spacing w:before="66"/>
        <w:ind w:left="2563" w:right="0" w:firstLine="0"/>
        <w:jc w:val="left"/>
        <w:rPr>
          <w:rFonts w:ascii="等线" w:eastAsia="等线" w:hint="eastAsia"/>
          <w:sz w:val="17"/>
        </w:rPr>
      </w:pPr>
      <w:r>
        <w:br w:type="column"/>
      </w:r>
      <w:r>
        <w:rPr>
          <w:rFonts w:ascii="等线" w:eastAsia="等线" w:hint="eastAsia"/>
          <w:color w:val="585858"/>
          <w:w w:val="105"/>
          <w:sz w:val="17"/>
        </w:rPr>
        <w:t>行业供需增速差</w:t>
        <w:tab/>
        <w:t>民航正班客座率（右轴）</w:t>
      </w: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rPr>
          <w:rFonts w:ascii="等线"/>
          <w:sz w:val="18"/>
        </w:rPr>
      </w:pPr>
    </w:p>
    <w:p>
      <w:pPr>
        <w:pStyle w:val="BodyText"/>
        <w:spacing w:before="7"/>
        <w:rPr>
          <w:rFonts w:ascii="等线"/>
          <w:sz w:val="23"/>
        </w:rPr>
      </w:pPr>
    </w:p>
    <w:p>
      <w:pPr>
        <w:tabs>
          <w:tab w:val="left" w:pos="646"/>
          <w:tab w:val="left" w:pos="1328"/>
          <w:tab w:val="left" w:pos="2011"/>
          <w:tab w:val="left" w:pos="2695"/>
          <w:tab w:val="left" w:pos="3377"/>
          <w:tab w:val="left" w:pos="4059"/>
          <w:tab w:val="left" w:pos="4742"/>
          <w:tab w:val="left" w:pos="5426"/>
          <w:tab w:val="left" w:pos="6108"/>
          <w:tab w:val="left" w:pos="6791"/>
          <w:tab w:val="left" w:pos="7473"/>
        </w:tabs>
        <w:spacing w:before="0"/>
        <w:ind w:left="-36" w:right="0" w:firstLine="0"/>
        <w:jc w:val="left"/>
        <w:rPr>
          <w:rFonts w:ascii="Arial"/>
          <w:sz w:val="17"/>
        </w:rPr>
      </w:pPr>
      <w:r>
        <w:pict>
          <v:group id="_x0000_s1094" style="width:397.55pt;height:134.85pt;margin-top:-140.23pt;margin-left:106.01pt;mso-position-horizontal-relative:page;position:absolute;z-index:251687936" coordorigin="2120,-2805" coordsize="7951,2697">
            <v:line id="_x0000_s1095" style="position:absolute" from="2142,-108" to="2142,-2805" stroked="t" strokecolor="black" strokeweight="0.73pt">
              <v:stroke dashstyle="solid"/>
            </v:line>
            <v:shape id="_x0000_s1096" type="#_x0000_t75" style="width:7951;height:2127;left:2120;position:absolute;top:-2620" stroked="f">
              <v:imagedata r:id="rId28" o:title=""/>
            </v:shape>
          </v:group>
        </w:pict>
      </w:r>
      <w:r>
        <w:pict>
          <v:line id="_x0000_s1097" style="mso-position-horizontal-relative:page;position:absolute;z-index:251688960" from="206.5pt,-145.55pt" to="225.3pt,-145.55pt" stroked="t" strokecolor="red" strokeweight="1.95pt">
            <v:stroke dashstyle="solid"/>
          </v:line>
        </w:pict>
      </w:r>
      <w:r>
        <w:pict>
          <v:line id="_x0000_s1098" style="mso-position-horizontal-relative:page;position:absolute;z-index:-251629568" from="314.55pt,-145.55pt" to="333.3pt,-145.55pt" stroked="t" strokecolor="#044e7d" strokeweight="1.95pt">
            <v:stroke dashstyle="solid"/>
          </v:line>
        </w:pict>
      </w:r>
      <w:r>
        <w:rPr>
          <w:rFonts w:ascii="Arial"/>
          <w:color w:val="585858"/>
          <w:w w:val="105"/>
          <w:sz w:val="17"/>
        </w:rPr>
        <w:t>2012</w:t>
        <w:tab/>
        <w:t>2013</w:t>
        <w:tab/>
        <w:t>2014</w:t>
        <w:tab/>
        <w:t>2015</w:t>
        <w:tab/>
        <w:t>2016</w:t>
        <w:tab/>
        <w:t>2017</w:t>
        <w:tab/>
        <w:t>2018</w:t>
        <w:tab/>
        <w:t>2019</w:t>
        <w:tab/>
        <w:t>2020</w:t>
        <w:tab/>
        <w:t>2021</w:t>
        <w:tab/>
        <w:t>2022</w:t>
        <w:tab/>
      </w:r>
      <w:r>
        <w:rPr>
          <w:rFonts w:ascii="Arial"/>
          <w:color w:val="585858"/>
          <w:spacing w:val="-6"/>
          <w:w w:val="105"/>
          <w:sz w:val="17"/>
        </w:rPr>
        <w:t>2023</w:t>
      </w:r>
    </w:p>
    <w:p>
      <w:pPr>
        <w:pStyle w:val="BodyText"/>
        <w:spacing w:before="1"/>
        <w:rPr>
          <w:rFonts w:ascii="Arial"/>
          <w:sz w:val="17"/>
        </w:rPr>
      </w:pPr>
      <w:r>
        <w:br w:type="column"/>
      </w:r>
    </w:p>
    <w:p>
      <w:pPr>
        <w:spacing w:before="1"/>
        <w:ind w:left="331" w:right="0" w:firstLine="0"/>
        <w:jc w:val="left"/>
        <w:rPr>
          <w:rFonts w:ascii="Calibri"/>
          <w:sz w:val="17"/>
        </w:rPr>
      </w:pPr>
      <w:r>
        <w:rPr>
          <w:rFonts w:ascii="Calibri"/>
          <w:color w:val="585858"/>
          <w:w w:val="105"/>
          <w:sz w:val="17"/>
        </w:rPr>
        <w:t>100</w:t>
      </w:r>
    </w:p>
    <w:p>
      <w:pPr>
        <w:pStyle w:val="BodyText"/>
        <w:rPr>
          <w:rFonts w:ascii="Calibri"/>
          <w:sz w:val="18"/>
        </w:rPr>
      </w:pPr>
    </w:p>
    <w:p>
      <w:pPr>
        <w:spacing w:before="112"/>
        <w:ind w:left="331" w:right="0" w:firstLine="0"/>
        <w:jc w:val="left"/>
        <w:rPr>
          <w:rFonts w:ascii="Calibri"/>
          <w:sz w:val="17"/>
        </w:rPr>
      </w:pPr>
      <w:r>
        <w:rPr>
          <w:rFonts w:ascii="Calibri"/>
          <w:color w:val="585858"/>
          <w:w w:val="105"/>
          <w:sz w:val="17"/>
        </w:rPr>
        <w:t>80</w:t>
      </w:r>
    </w:p>
    <w:p>
      <w:pPr>
        <w:pStyle w:val="BodyText"/>
        <w:rPr>
          <w:rFonts w:ascii="Calibri"/>
          <w:sz w:val="18"/>
        </w:rPr>
      </w:pPr>
    </w:p>
    <w:p>
      <w:pPr>
        <w:spacing w:before="113"/>
        <w:ind w:left="331" w:right="0" w:firstLine="0"/>
        <w:jc w:val="left"/>
        <w:rPr>
          <w:rFonts w:ascii="Calibri"/>
          <w:sz w:val="17"/>
        </w:rPr>
      </w:pPr>
      <w:r>
        <w:rPr>
          <w:rFonts w:ascii="Calibri"/>
          <w:color w:val="585858"/>
          <w:w w:val="105"/>
          <w:sz w:val="17"/>
        </w:rPr>
        <w:t>60</w:t>
      </w:r>
    </w:p>
    <w:p>
      <w:pPr>
        <w:pStyle w:val="BodyText"/>
        <w:rPr>
          <w:rFonts w:ascii="Calibri"/>
          <w:sz w:val="18"/>
        </w:rPr>
      </w:pPr>
    </w:p>
    <w:p>
      <w:pPr>
        <w:spacing w:before="112"/>
        <w:ind w:left="331" w:right="0" w:firstLine="0"/>
        <w:jc w:val="left"/>
        <w:rPr>
          <w:rFonts w:ascii="Calibri"/>
          <w:sz w:val="17"/>
        </w:rPr>
      </w:pPr>
      <w:r>
        <w:rPr>
          <w:rFonts w:ascii="Calibri"/>
          <w:color w:val="585858"/>
          <w:w w:val="105"/>
          <w:sz w:val="17"/>
        </w:rPr>
        <w:t>40</w:t>
      </w:r>
    </w:p>
    <w:p>
      <w:pPr>
        <w:pStyle w:val="BodyText"/>
        <w:rPr>
          <w:rFonts w:ascii="Calibri"/>
          <w:sz w:val="18"/>
        </w:rPr>
      </w:pPr>
    </w:p>
    <w:p>
      <w:pPr>
        <w:spacing w:before="113"/>
        <w:ind w:left="331" w:right="0" w:firstLine="0"/>
        <w:jc w:val="left"/>
        <w:rPr>
          <w:rFonts w:ascii="Calibri"/>
          <w:sz w:val="17"/>
        </w:rPr>
      </w:pPr>
      <w:r>
        <w:rPr>
          <w:rFonts w:ascii="Calibri"/>
          <w:color w:val="585858"/>
          <w:w w:val="105"/>
          <w:sz w:val="17"/>
        </w:rPr>
        <w:t>20</w:t>
      </w:r>
    </w:p>
    <w:p>
      <w:pPr>
        <w:pStyle w:val="BodyText"/>
        <w:rPr>
          <w:rFonts w:ascii="Calibri"/>
          <w:sz w:val="18"/>
        </w:rPr>
      </w:pPr>
    </w:p>
    <w:p>
      <w:pPr>
        <w:spacing w:before="112"/>
        <w:ind w:left="331" w:right="0" w:firstLine="0"/>
        <w:jc w:val="left"/>
        <w:rPr>
          <w:rFonts w:ascii="Calibri"/>
          <w:sz w:val="17"/>
        </w:rPr>
      </w:pPr>
      <w:r>
        <w:rPr>
          <w:rFonts w:ascii="Calibri"/>
          <w:color w:val="585858"/>
          <w:w w:val="103"/>
          <w:sz w:val="17"/>
        </w:rPr>
        <w:t>0</w:t>
      </w:r>
    </w:p>
    <w:p>
      <w:pPr>
        <w:spacing w:after="0"/>
        <w:jc w:val="left"/>
        <w:rPr>
          <w:rFonts w:ascii="Calibri"/>
          <w:sz w:val="17"/>
        </w:rPr>
        <w:sectPr>
          <w:headerReference w:type="default" r:id="rId29"/>
          <w:footerReference w:type="default" r:id="rId30"/>
          <w:type w:val="continuous"/>
          <w:pgSz w:w="11910" w:h="16840"/>
          <w:pgMar w:top="1660" w:right="0" w:bottom="920" w:left="1000" w:header="708" w:footer="708"/>
          <w:pgNumType w:start="12"/>
          <w:cols w:num="3" w:space="708" w:equalWidth="0">
            <w:col w:w="943" w:space="40"/>
            <w:col w:w="7865" w:space="39"/>
            <w:col w:w="2023" w:space="0"/>
          </w:cols>
        </w:sectPr>
      </w:pPr>
    </w:p>
    <w:p>
      <w:pPr>
        <w:pStyle w:val="BodyText"/>
        <w:spacing w:before="9"/>
        <w:rPr>
          <w:rFonts w:ascii="Calibri"/>
          <w:sz w:val="6"/>
        </w:rPr>
      </w:pPr>
    </w:p>
    <w:p>
      <w:pPr>
        <w:pStyle w:val="BodyText"/>
        <w:spacing w:line="20" w:lineRule="exact"/>
        <w:ind w:left="231"/>
        <w:rPr>
          <w:rFonts w:ascii="Calibri"/>
          <w:sz w:val="2"/>
        </w:rPr>
      </w:pPr>
      <w:r>
        <w:rPr>
          <w:rFonts w:ascii="Calibri"/>
          <w:sz w:val="2"/>
        </w:rPr>
        <w:pict>
          <v:group id="_x0000_i1099" style="width:482pt;height:1pt;mso-position-horizontal-relative:char;mso-position-vertical-relative:line" coordorigin="0,0" coordsize="9640,20">
            <v:line id="_x0000_s1100" style="position:absolute" from="0,10" to="9640,10" stroked="t" strokecolor="#044b80" strokeweight="0.96pt">
              <v:stroke dashstyle="solid"/>
            </v:line>
            <w10:wrap type="none"/>
          </v:group>
        </w:pict>
      </w:r>
    </w:p>
    <w:p>
      <w:pPr>
        <w:spacing w:before="48"/>
        <w:ind w:left="241" w:right="0" w:firstLine="0"/>
        <w:jc w:val="left"/>
        <w:rPr>
          <w:sz w:val="17"/>
        </w:rPr>
      </w:pPr>
      <w:r>
        <w:t xml:space="preserve">资料来源： ， </w:t>
      </w:r>
    </w:p>
    <w:p>
      <w:pPr>
        <w:pStyle w:val="BodyText"/>
        <w:spacing w:before="1"/>
        <w:rPr>
          <w:sz w:val="12"/>
        </w:rPr>
      </w:pPr>
    </w:p>
    <w:p>
      <w:pPr>
        <w:pStyle w:val="Heading3"/>
        <w:spacing w:before="12"/>
        <w:ind w:left="536"/>
      </w:pPr>
      <w:r>
        <w:rPr>
          <w:rFonts w:ascii="Times New Roman" w:eastAsia="Times New Roman"/>
        </w:rPr>
        <w:t xml:space="preserve">2024 </w:t>
      </w:r>
      <w:r>
        <w:t xml:space="preserve">年 </w:t>
      </w:r>
      <w:r>
        <w:rPr>
          <w:rFonts w:ascii="Times New Roman" w:eastAsia="Times New Roman"/>
        </w:rPr>
        <w:t xml:space="preserve">3 </w:t>
      </w:r>
      <w:r>
        <w:t xml:space="preserve">月 </w:t>
      </w:r>
      <w:r>
        <w:rPr>
          <w:rFonts w:ascii="Times New Roman" w:eastAsia="Times New Roman"/>
        </w:rPr>
        <w:t xml:space="preserve">8 </w:t>
      </w:r>
      <w:r>
        <w:t xml:space="preserve">日全民航执行客运航班量 </w:t>
      </w:r>
      <w:r>
        <w:rPr>
          <w:rFonts w:ascii="Times New Roman" w:eastAsia="Times New Roman"/>
        </w:rPr>
        <w:t xml:space="preserve">14435 </w:t>
      </w:r>
      <w:r>
        <w:t xml:space="preserve">架次，同比 </w:t>
      </w:r>
      <w:r>
        <w:rPr>
          <w:rFonts w:ascii="Times New Roman" w:eastAsia="Times New Roman"/>
        </w:rPr>
        <w:t xml:space="preserve">2019 </w:t>
      </w:r>
      <w:r>
        <w:t xml:space="preserve">年增长 </w:t>
      </w:r>
      <w:r>
        <w:rPr>
          <w:rFonts w:ascii="Times New Roman" w:eastAsia="Times New Roman"/>
        </w:rPr>
        <w:t>2%</w:t>
      </w:r>
      <w:r>
        <w:t xml:space="preserve">，其中国内航班量 </w:t>
      </w:r>
      <w:r>
        <w:rPr>
          <w:rFonts w:ascii="Times New Roman" w:eastAsia="Times New Roman"/>
        </w:rPr>
        <w:t xml:space="preserve">12642 </w:t>
      </w:r>
      <w:r>
        <w:t>架次，</w:t>
      </w:r>
    </w:p>
    <w:p>
      <w:pPr>
        <w:spacing w:before="0" w:line="312" w:lineRule="exact"/>
        <w:ind w:left="132" w:right="0" w:firstLine="0"/>
        <w:jc w:val="both"/>
        <w:rPr>
          <w:rFonts w:ascii="Microsoft JhengHei" w:eastAsia="Microsoft JhengHei" w:hint="eastAsia"/>
          <w:b/>
          <w:sz w:val="20"/>
        </w:rPr>
      </w:pPr>
      <w:r>
        <w:rPr>
          <w:rFonts w:ascii="Microsoft JhengHei" w:eastAsia="Microsoft JhengHei" w:hint="eastAsia"/>
          <w:b/>
          <w:sz w:val="20"/>
        </w:rPr>
        <w:t xml:space="preserve">同比 </w:t>
      </w:r>
      <w:r>
        <w:rPr>
          <w:rFonts w:ascii="Times New Roman" w:eastAsia="Times New Roman"/>
          <w:b/>
          <w:sz w:val="20"/>
        </w:rPr>
        <w:t xml:space="preserve">2019 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年增长 </w:t>
      </w:r>
      <w:r>
        <w:rPr>
          <w:rFonts w:ascii="Times New Roman" w:eastAsia="Times New Roman"/>
          <w:b/>
          <w:spacing w:val="-6"/>
          <w:sz w:val="20"/>
        </w:rPr>
        <w:t>9.7%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，预计 </w:t>
      </w:r>
      <w:r>
        <w:rPr>
          <w:rFonts w:ascii="Times New Roman" w:eastAsia="Times New Roman"/>
          <w:b/>
          <w:sz w:val="20"/>
        </w:rPr>
        <w:t xml:space="preserve">3 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月 </w:t>
      </w:r>
      <w:r>
        <w:rPr>
          <w:rFonts w:ascii="Times New Roman" w:eastAsia="Times New Roman"/>
          <w:b/>
          <w:sz w:val="20"/>
        </w:rPr>
        <w:t>9</w:t>
      </w:r>
      <w:r>
        <w:rPr>
          <w:rFonts w:ascii="Times New Roman" w:eastAsia="Times New Roman"/>
          <w:b/>
          <w:spacing w:val="1"/>
          <w:sz w:val="20"/>
        </w:rPr>
        <w:t xml:space="preserve"> </w:t>
      </w:r>
      <w:r>
        <w:rPr>
          <w:rFonts w:ascii="Microsoft JhengHei" w:eastAsia="Microsoft JhengHei" w:hint="eastAsia"/>
          <w:b/>
          <w:sz w:val="20"/>
        </w:rPr>
        <w:t xml:space="preserve">日执行航班量 </w:t>
      </w:r>
      <w:r>
        <w:rPr>
          <w:rFonts w:ascii="Times New Roman" w:eastAsia="Times New Roman"/>
          <w:b/>
          <w:sz w:val="20"/>
        </w:rPr>
        <w:t>13448</w:t>
      </w:r>
      <w:r>
        <w:rPr>
          <w:rFonts w:ascii="Times New Roman" w:eastAsia="Times New Roman"/>
          <w:b/>
          <w:spacing w:val="1"/>
          <w:sz w:val="20"/>
        </w:rPr>
        <w:t xml:space="preserve"> </w:t>
      </w:r>
      <w:r>
        <w:rPr>
          <w:rFonts w:ascii="Microsoft JhengHei" w:eastAsia="Microsoft JhengHei" w:hint="eastAsia"/>
          <w:b/>
          <w:spacing w:val="-5"/>
          <w:sz w:val="20"/>
        </w:rPr>
        <w:t xml:space="preserve">架次，同比 </w:t>
      </w:r>
      <w:r>
        <w:rPr>
          <w:rFonts w:ascii="Times New Roman" w:eastAsia="Times New Roman"/>
          <w:b/>
          <w:sz w:val="20"/>
        </w:rPr>
        <w:t>2019</w:t>
      </w:r>
      <w:r>
        <w:rPr>
          <w:rFonts w:ascii="Times New Roman" w:eastAsia="Times New Roman"/>
          <w:b/>
          <w:spacing w:val="-2"/>
          <w:sz w:val="20"/>
        </w:rPr>
        <w:t xml:space="preserve"> 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年减少 </w:t>
      </w:r>
      <w:r>
        <w:rPr>
          <w:rFonts w:ascii="Times New Roman" w:eastAsia="Times New Roman"/>
          <w:b/>
          <w:spacing w:val="-6"/>
          <w:sz w:val="20"/>
        </w:rPr>
        <w:t>2.1%</w:t>
      </w:r>
      <w:r>
        <w:rPr>
          <w:rFonts w:ascii="Microsoft JhengHei" w:eastAsia="Microsoft JhengHei" w:hint="eastAsia"/>
          <w:b/>
          <w:spacing w:val="-1"/>
          <w:sz w:val="20"/>
        </w:rPr>
        <w:t xml:space="preserve">，预计 </w:t>
      </w:r>
      <w:r>
        <w:rPr>
          <w:rFonts w:ascii="Times New Roman" w:eastAsia="Times New Roman"/>
          <w:b/>
          <w:sz w:val="20"/>
        </w:rPr>
        <w:t>3</w:t>
      </w:r>
      <w:r>
        <w:rPr>
          <w:rFonts w:ascii="Times New Roman" w:eastAsia="Times New Roman"/>
          <w:b/>
          <w:spacing w:val="-1"/>
          <w:sz w:val="20"/>
        </w:rPr>
        <w:t xml:space="preserve"> </w:t>
      </w:r>
      <w:r>
        <w:rPr>
          <w:rFonts w:ascii="Microsoft JhengHei" w:eastAsia="Microsoft JhengHei" w:hint="eastAsia"/>
          <w:b/>
          <w:sz w:val="20"/>
        </w:rPr>
        <w:t xml:space="preserve">月 </w:t>
      </w:r>
      <w:r>
        <w:rPr>
          <w:rFonts w:ascii="Times New Roman" w:eastAsia="Times New Roman"/>
          <w:b/>
          <w:sz w:val="20"/>
        </w:rPr>
        <w:t xml:space="preserve">10 </w:t>
      </w:r>
      <w:r>
        <w:rPr>
          <w:rFonts w:ascii="Microsoft JhengHei" w:eastAsia="Microsoft JhengHei" w:hint="eastAsia"/>
          <w:b/>
          <w:sz w:val="20"/>
        </w:rPr>
        <w:t>日国内航</w:t>
      </w:r>
    </w:p>
    <w:p>
      <w:pPr>
        <w:spacing w:before="0" w:line="340" w:lineRule="exact"/>
        <w:ind w:left="132" w:right="0" w:firstLine="0"/>
        <w:jc w:val="both"/>
        <w:rPr>
          <w:sz w:val="20"/>
        </w:rPr>
      </w:pPr>
      <w:r>
        <w:rPr>
          <w:rFonts w:ascii="Microsoft JhengHei" w:eastAsia="Microsoft JhengHei" w:hint="eastAsia"/>
          <w:b/>
          <w:sz w:val="20"/>
        </w:rPr>
        <w:t xml:space="preserve">司执行航班量 </w:t>
      </w:r>
      <w:r>
        <w:rPr>
          <w:rFonts w:ascii="Times New Roman" w:eastAsia="Times New Roman"/>
          <w:b/>
          <w:sz w:val="20"/>
        </w:rPr>
        <w:t xml:space="preserve">13800 </w:t>
      </w:r>
      <w:r>
        <w:rPr>
          <w:rFonts w:ascii="Microsoft JhengHei" w:eastAsia="Microsoft JhengHei" w:hint="eastAsia"/>
          <w:b/>
          <w:spacing w:val="-10"/>
          <w:sz w:val="20"/>
        </w:rPr>
        <w:t>架次。</w:t>
      </w:r>
      <w:r>
        <w:rPr>
          <w:spacing w:val="-5"/>
          <w:sz w:val="20"/>
        </w:rPr>
        <w:t xml:space="preserve">境内航司可用座公里 </w:t>
      </w:r>
      <w:r>
        <w:rPr>
          <w:rFonts w:ascii="Times New Roman" w:eastAsia="Times New Roman"/>
          <w:sz w:val="20"/>
        </w:rPr>
        <w:t xml:space="preserve">35.4 </w:t>
      </w:r>
      <w:r>
        <w:rPr>
          <w:spacing w:val="-11"/>
          <w:sz w:val="20"/>
        </w:rPr>
        <w:t xml:space="preserve">亿座公里，同比 </w:t>
      </w:r>
      <w:r>
        <w:rPr>
          <w:rFonts w:ascii="Times New Roman" w:eastAsia="Times New Roman"/>
          <w:sz w:val="20"/>
        </w:rPr>
        <w:t>2023</w:t>
      </w:r>
      <w:r>
        <w:rPr>
          <w:rFonts w:ascii="Times New Roman" w:eastAsia="Times New Roman"/>
          <w:spacing w:val="-1"/>
          <w:sz w:val="20"/>
        </w:rPr>
        <w:t xml:space="preserve"> </w:t>
      </w:r>
      <w:r>
        <w:rPr>
          <w:spacing w:val="-9"/>
          <w:sz w:val="20"/>
        </w:rPr>
        <w:t xml:space="preserve">年同期增长 </w:t>
      </w:r>
      <w:r>
        <w:rPr>
          <w:rFonts w:ascii="Times New Roman" w:eastAsia="Times New Roman"/>
          <w:spacing w:val="-5"/>
          <w:sz w:val="20"/>
        </w:rPr>
        <w:t>32.3%</w:t>
      </w:r>
      <w:r>
        <w:rPr>
          <w:spacing w:val="-2"/>
          <w:sz w:val="20"/>
        </w:rPr>
        <w:t>，环比上周同期减</w:t>
      </w:r>
    </w:p>
    <w:p>
      <w:pPr>
        <w:pStyle w:val="BodyText"/>
        <w:spacing w:before="10" w:line="292" w:lineRule="auto"/>
        <w:ind w:left="132" w:right="1131"/>
        <w:jc w:val="both"/>
      </w:pPr>
      <w:r>
        <w:rPr>
          <w:spacing w:val="-27"/>
        </w:rPr>
        <w:t xml:space="preserve">少 </w:t>
      </w:r>
      <w:r>
        <w:rPr>
          <w:rFonts w:ascii="Times New Roman" w:eastAsia="Times New Roman"/>
        </w:rPr>
        <w:t>7.8%</w:t>
      </w:r>
      <w:r>
        <w:rPr>
          <w:spacing w:val="-7"/>
        </w:rPr>
        <w:t xml:space="preserve">。全民航宽体机利用率为 </w:t>
      </w:r>
      <w:r>
        <w:rPr>
          <w:rFonts w:ascii="Times New Roman" w:eastAsia="Times New Roman"/>
        </w:rPr>
        <w:t xml:space="preserve">6.6 </w:t>
      </w:r>
      <w:r>
        <w:t>小时</w:t>
      </w:r>
      <w:r>
        <w:rPr>
          <w:rFonts w:ascii="Times New Roman" w:eastAsia="Times New Roman"/>
        </w:rPr>
        <w:t>/</w:t>
      </w:r>
      <w:r>
        <w:rPr>
          <w:spacing w:val="-8"/>
        </w:rPr>
        <w:t xml:space="preserve">日，窄体机利用率为 </w:t>
      </w:r>
      <w:r>
        <w:rPr>
          <w:rFonts w:ascii="Times New Roman" w:eastAsia="Times New Roman"/>
        </w:rPr>
        <w:t xml:space="preserve">7.9 </w:t>
      </w:r>
      <w:r>
        <w:t>小时</w:t>
      </w:r>
      <w:r>
        <w:rPr>
          <w:rFonts w:ascii="Times New Roman" w:eastAsia="Times New Roman"/>
        </w:rPr>
        <w:t>/</w:t>
      </w:r>
      <w:r>
        <w:rPr>
          <w:spacing w:val="-8"/>
        </w:rPr>
        <w:t xml:space="preserve">日，支线客机利用率 </w:t>
      </w:r>
      <w:r>
        <w:rPr>
          <w:rFonts w:ascii="Times New Roman" w:eastAsia="Times New Roman"/>
        </w:rPr>
        <w:t xml:space="preserve">4.7 </w:t>
      </w:r>
      <w:r>
        <w:t>小时</w:t>
      </w:r>
      <w:r>
        <w:rPr>
          <w:rFonts w:ascii="Times New Roman" w:eastAsia="Times New Roman"/>
        </w:rPr>
        <w:t>/</w:t>
      </w:r>
      <w:r>
        <w:rPr>
          <w:spacing w:val="-3"/>
        </w:rPr>
        <w:t>日。南方</w:t>
      </w:r>
      <w:r>
        <w:rPr>
          <w:spacing w:val="-8"/>
        </w:rPr>
        <w:t xml:space="preserve">航空飞机利用率居于三大航首位，达 </w:t>
      </w:r>
      <w:r>
        <w:rPr>
          <w:rFonts w:ascii="Times New Roman" w:eastAsia="Times New Roman"/>
        </w:rPr>
        <w:t xml:space="preserve">7.7 </w:t>
      </w:r>
      <w:r>
        <w:t>小时</w:t>
      </w:r>
      <w:r>
        <w:rPr>
          <w:rFonts w:ascii="Times New Roman" w:eastAsia="Times New Roman"/>
        </w:rPr>
        <w:t>/</w:t>
      </w:r>
      <w:r>
        <w:rPr>
          <w:spacing w:val="-15"/>
        </w:rPr>
        <w:t xml:space="preserve">日。航班量 </w:t>
      </w:r>
      <w:r>
        <w:rPr>
          <w:rFonts w:ascii="Times New Roman" w:eastAsia="Times New Roman"/>
        </w:rPr>
        <w:t xml:space="preserve">TOP10 </w:t>
      </w:r>
      <w:r>
        <w:rPr>
          <w:spacing w:val="-5"/>
        </w:rPr>
        <w:t>航司执飞率前三分别为：春秋航空（</w:t>
      </w:r>
      <w:r>
        <w:rPr>
          <w:rFonts w:ascii="Times New Roman" w:eastAsia="Times New Roman"/>
          <w:spacing w:val="-5"/>
        </w:rPr>
        <w:t>93.9%</w:t>
      </w:r>
      <w:r>
        <w:rPr>
          <w:spacing w:val="-5"/>
        </w:rPr>
        <w:t>）</w:t>
      </w:r>
      <w:r>
        <w:rPr>
          <w:spacing w:val="-32"/>
        </w:rPr>
        <w:t>、</w:t>
      </w:r>
      <w:r>
        <w:t>海南航空（</w:t>
      </w:r>
      <w:r>
        <w:rPr>
          <w:rFonts w:ascii="Times New Roman" w:eastAsia="Times New Roman"/>
        </w:rPr>
        <w:t>92.0%</w:t>
      </w:r>
      <w:r>
        <w:t>）、中国国航（</w:t>
      </w:r>
      <w:r>
        <w:rPr>
          <w:rFonts w:ascii="Times New Roman" w:eastAsia="Times New Roman"/>
        </w:rPr>
        <w:t>88.8%</w:t>
      </w:r>
      <w:r>
        <w:t>），</w:t>
      </w:r>
      <w:r>
        <w:rPr>
          <w:spacing w:val="-3"/>
        </w:rPr>
        <w:t xml:space="preserve">中国国航执飞率达 </w:t>
      </w:r>
      <w:r>
        <w:rPr>
          <w:rFonts w:ascii="Times New Roman" w:eastAsia="Times New Roman"/>
        </w:rPr>
        <w:t>88.8%</w:t>
      </w:r>
      <w:r>
        <w:t>，居于三大航首位，东方航空，南方航空</w:t>
      </w:r>
      <w:r>
        <w:rPr>
          <w:spacing w:val="-8"/>
        </w:rPr>
        <w:t xml:space="preserve">执飞率分别为 </w:t>
      </w:r>
      <w:r>
        <w:rPr>
          <w:rFonts w:ascii="Times New Roman" w:eastAsia="Times New Roman"/>
        </w:rPr>
        <w:t>88.0%</w:t>
      </w:r>
      <w:r>
        <w:t>、</w:t>
      </w:r>
      <w:r>
        <w:rPr>
          <w:rFonts w:ascii="Times New Roman" w:eastAsia="Times New Roman"/>
        </w:rPr>
        <w:t>84.1%</w:t>
      </w:r>
      <w:r>
        <w:t>。</w:t>
      </w:r>
    </w:p>
    <w:p>
      <w:pPr>
        <w:pStyle w:val="BodyText"/>
        <w:spacing w:before="6"/>
        <w:rPr>
          <w:sz w:val="15"/>
        </w:rPr>
      </w:pPr>
    </w:p>
    <w:p>
      <w:pPr>
        <w:spacing w:before="0"/>
        <w:ind w:left="241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9</w:t>
      </w:r>
      <w:r>
        <w:rPr>
          <w:rFonts w:ascii="Microsoft JhengHei" w:eastAsia="Microsoft JhengHei" w:hint="eastAsia"/>
          <w:b/>
          <w:sz w:val="18"/>
        </w:rPr>
        <w:t xml:space="preserve">： </w:t>
      </w:r>
      <w:r>
        <w:rPr>
          <w:rFonts w:ascii="Times New Roman" w:eastAsia="Times New Roman"/>
          <w:b/>
          <w:sz w:val="18"/>
        </w:rPr>
        <w:t xml:space="preserve">2023 </w:t>
      </w:r>
      <w:r>
        <w:rPr>
          <w:rFonts w:ascii="Microsoft JhengHei" w:eastAsia="Microsoft JhengHei" w:hint="eastAsia"/>
          <w:b/>
          <w:sz w:val="18"/>
        </w:rPr>
        <w:t>年中国民航执行客运航班量日趋势</w:t>
      </w:r>
    </w:p>
    <w:p>
      <w:pPr>
        <w:pStyle w:val="BodyText"/>
        <w:spacing w:line="30" w:lineRule="exact"/>
        <w:ind w:left="226"/>
        <w:rPr>
          <w:rFonts w:ascii="Microsoft JhengHei"/>
          <w:sz w:val="3"/>
        </w:rPr>
      </w:pPr>
      <w:r>
        <w:rPr>
          <w:rFonts w:ascii="Microsoft JhengHei"/>
          <w:position w:val="0"/>
          <w:sz w:val="3"/>
        </w:rPr>
        <w:pict>
          <v:group id="_x0000_i1101" style="width:482pt;height:1.45pt;mso-position-horizontal-relative:char;mso-position-vertical-relative:line" coordorigin="0,0" coordsize="9640,29">
            <v:line id="_x0000_s1102" style="position:absolute" from="0,14" to="9640,14" stroked="t" strokecolor="#044b80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1"/>
        <w:rPr>
          <w:rFonts w:ascii="Microsoft JhengHei"/>
          <w:b/>
          <w:sz w:val="4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788669</wp:posOffset>
            </wp:positionH>
            <wp:positionV relativeFrom="paragraph">
              <wp:posOffset>72121</wp:posOffset>
            </wp:positionV>
            <wp:extent cx="6114580" cy="1632204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4580" cy="163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line="20" w:lineRule="exact"/>
        <w:ind w:left="231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103" style="width:482pt;height:1pt;mso-position-horizontal-relative:char;mso-position-vertical-relative:line" coordorigin="0,0" coordsize="9640,20">
            <v:line id="_x0000_s1104" style="position:absolute" from="0,10" to="9640,10" stroked="t" strokecolor="#044b80" strokeweight="0.96pt">
              <v:stroke dashstyle="solid"/>
            </v:line>
            <w10:wrap type="none"/>
          </v:group>
        </w:pict>
      </w:r>
    </w:p>
    <w:p>
      <w:pPr>
        <w:spacing w:before="45"/>
        <w:ind w:left="241" w:right="0" w:firstLine="0"/>
        <w:jc w:val="left"/>
        <w:rPr>
          <w:sz w:val="17"/>
        </w:rPr>
      </w:pPr>
      <w:r>
        <w:t xml:space="preserve">资料来源：航班管家，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3"/>
        </w:rPr>
      </w:pPr>
      <w:r>
        <w:pict>
          <v:shape id="_x0000_s1105" style="width:482.25pt;height:0.1pt;margin-top:17.48pt;margin-left:56.55pt;mso-position-horizontal-relative:page;mso-wrap-distance-left:0;mso-wrap-distance-right:0;position:absolute;z-index:-251625472" coordorigin="1131,350" coordsize="9645,0" path="m1131,350l10776,350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3"/>
        </w:rPr>
        <w:sectPr>
          <w:headerReference w:type="default" r:id="rId32"/>
          <w:footerReference w:type="default" r:id="rId33"/>
          <w:type w:val="continuous"/>
          <w:pgSz w:w="11910" w:h="16840"/>
          <w:pgMar w:top="1660" w:right="0" w:bottom="920" w:left="1000" w:header="708" w:footer="708"/>
          <w:pgNumType w:start="13"/>
          <w:cols w:space="708"/>
        </w:sectPr>
      </w:pPr>
    </w:p>
    <w:p>
      <w:pPr>
        <w:spacing w:before="89"/>
        <w:ind w:left="0" w:right="1191" w:firstLine="0"/>
        <w:jc w:val="right"/>
        <w:rPr>
          <w:sz w:val="16"/>
        </w:rPr>
      </w:pPr>
      <w:r>
        <w:rPr>
          <w:color w:val="044E7D"/>
          <w:sz w:val="16"/>
        </w:rPr>
        <w:t>行业动态研究报告</w:t>
      </w:r>
    </w:p>
    <w:p>
      <w:pPr>
        <w:pStyle w:val="BodyText"/>
        <w:spacing w:before="9"/>
        <w:rPr>
          <w:sz w:val="14"/>
        </w:rPr>
      </w:pPr>
    </w:p>
    <w:p>
      <w:pPr>
        <w:spacing w:before="21" w:after="15"/>
        <w:ind w:left="132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10</w:t>
      </w:r>
      <w:r>
        <w:rPr>
          <w:rFonts w:ascii="Microsoft JhengHei" w:eastAsia="Microsoft JhengHei" w:hint="eastAsia"/>
          <w:b/>
          <w:sz w:val="18"/>
        </w:rPr>
        <w:t>： 南方航空各航线月度经营数据</w:t>
      </w:r>
    </w:p>
    <w:tbl>
      <w:tblPr>
        <w:tblStyle w:val="TableNormal3"/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7"/>
        <w:gridCol w:w="1171"/>
        <w:gridCol w:w="705"/>
        <w:gridCol w:w="521"/>
        <w:gridCol w:w="523"/>
        <w:gridCol w:w="526"/>
        <w:gridCol w:w="534"/>
        <w:gridCol w:w="508"/>
        <w:gridCol w:w="556"/>
        <w:gridCol w:w="536"/>
        <w:gridCol w:w="565"/>
        <w:gridCol w:w="547"/>
        <w:gridCol w:w="613"/>
        <w:gridCol w:w="600"/>
        <w:gridCol w:w="656"/>
        <w:gridCol w:w="661"/>
      </w:tblGrid>
      <w:tr>
        <w:tblPrEx>
          <w:tblW w:w="0" w:type="auto"/>
          <w:jc w:val="left"/>
          <w:tblInd w:w="1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1"/>
          <w:jc w:val="left"/>
        </w:trPr>
        <w:tc>
          <w:tcPr>
            <w:tcW w:w="2313" w:type="dxa"/>
            <w:gridSpan w:val="3"/>
            <w:tcBorders>
              <w:top w:val="single" w:sz="12" w:space="0" w:color="044B80"/>
            </w:tcBorders>
          </w:tcPr>
          <w:p>
            <w:pPr>
              <w:pStyle w:val="TableParagraph"/>
              <w:spacing w:before="60" w:line="151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3704" w:type="dxa"/>
            <w:gridSpan w:val="7"/>
            <w:tcBorders>
              <w:top w:val="single" w:sz="12" w:space="0" w:color="044B80"/>
            </w:tcBorders>
          </w:tcPr>
          <w:p>
            <w:pPr>
              <w:pStyle w:val="TableParagraph"/>
              <w:tabs>
                <w:tab w:val="left" w:pos="1221"/>
                <w:tab w:val="left" w:pos="1746"/>
                <w:tab w:val="left" w:pos="2723"/>
                <w:tab w:val="left" w:pos="3268"/>
              </w:tabs>
              <w:spacing w:before="60" w:line="151" w:lineRule="exact"/>
              <w:ind w:left="195"/>
              <w:jc w:val="left"/>
              <w:rPr>
                <w:sz w:val="15"/>
              </w:rPr>
            </w:pPr>
            <w:r>
              <w:rPr>
                <w:sz w:val="15"/>
              </w:rPr>
              <w:t xml:space="preserve">2023 </w:t>
            </w:r>
            <w:r>
              <w:rPr>
                <w:spacing w:val="47"/>
                <w:sz w:val="15"/>
              </w:rPr>
              <w:t xml:space="preserve"> </w:t>
            </w:r>
            <w:r>
              <w:rPr>
                <w:sz w:val="15"/>
              </w:rPr>
              <w:t>2023</w:t>
              <w:tab/>
              <w:t>2023</w:t>
              <w:tab/>
              <w:t>2023</w:t>
            </w:r>
            <w:r>
              <w:rPr>
                <w:spacing w:val="71"/>
                <w:sz w:val="15"/>
              </w:rPr>
              <w:t xml:space="preserve"> </w:t>
            </w:r>
            <w:r>
              <w:rPr>
                <w:sz w:val="15"/>
              </w:rPr>
              <w:t>2023</w:t>
              <w:tab/>
              <w:t>2023</w:t>
              <w:tab/>
              <w:t>2023</w:t>
            </w:r>
          </w:p>
        </w:tc>
        <w:tc>
          <w:tcPr>
            <w:tcW w:w="1725" w:type="dxa"/>
            <w:gridSpan w:val="3"/>
            <w:tcBorders>
              <w:top w:val="single" w:sz="12" w:space="0" w:color="044B80"/>
            </w:tcBorders>
          </w:tcPr>
          <w:p>
            <w:pPr>
              <w:pStyle w:val="TableParagraph"/>
              <w:tabs>
                <w:tab w:val="left" w:pos="769"/>
              </w:tabs>
              <w:spacing w:before="60" w:line="151" w:lineRule="exact"/>
              <w:ind w:left="234"/>
              <w:jc w:val="left"/>
              <w:rPr>
                <w:sz w:val="15"/>
              </w:rPr>
            </w:pPr>
            <w:r>
              <w:rPr>
                <w:sz w:val="15"/>
              </w:rPr>
              <w:t>2023</w:t>
              <w:tab/>
              <w:t>2023</w:t>
            </w:r>
            <w:r>
              <w:rPr>
                <w:spacing w:val="35"/>
                <w:sz w:val="15"/>
              </w:rPr>
              <w:t xml:space="preserve"> </w:t>
            </w:r>
            <w:r>
              <w:rPr>
                <w:sz w:val="15"/>
              </w:rPr>
              <w:t>2023</w:t>
            </w:r>
          </w:p>
        </w:tc>
        <w:tc>
          <w:tcPr>
            <w:tcW w:w="600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0" w:line="151" w:lineRule="exact"/>
              <w:ind w:right="103"/>
              <w:jc w:val="righ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56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0" w:line="151" w:lineRule="exact"/>
              <w:ind w:right="109"/>
              <w:jc w:val="right"/>
              <w:rPr>
                <w:sz w:val="15"/>
              </w:rPr>
            </w:pPr>
            <w:r>
              <w:rPr>
                <w:sz w:val="15"/>
              </w:rPr>
              <w:t>2024</w:t>
            </w:r>
          </w:p>
        </w:tc>
        <w:tc>
          <w:tcPr>
            <w:tcW w:w="661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0" w:line="151" w:lineRule="exact"/>
              <w:ind w:right="108"/>
              <w:jc w:val="right"/>
              <w:rPr>
                <w:sz w:val="15"/>
              </w:rPr>
            </w:pPr>
            <w:r>
              <w:rPr>
                <w:sz w:val="15"/>
              </w:rPr>
              <w:t>2024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1"/>
          <w:jc w:val="left"/>
        </w:trPr>
        <w:tc>
          <w:tcPr>
            <w:tcW w:w="1608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346"/>
              <w:jc w:val="left"/>
              <w:rPr>
                <w:sz w:val="15"/>
              </w:rPr>
            </w:pPr>
            <w:r>
              <w:rPr>
                <w:sz w:val="15"/>
              </w:rPr>
              <w:t>（单位：百万）</w:t>
            </w:r>
          </w:p>
        </w:tc>
        <w:tc>
          <w:tcPr>
            <w:tcW w:w="70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 月</w:t>
            </w:r>
          </w:p>
        </w:tc>
        <w:tc>
          <w:tcPr>
            <w:tcW w:w="1044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tabs>
                <w:tab w:val="left" w:pos="714"/>
              </w:tabs>
              <w:ind w:left="215"/>
              <w:jc w:val="left"/>
              <w:rPr>
                <w:sz w:val="15"/>
              </w:rPr>
            </w:pPr>
            <w:r>
              <w:rPr>
                <w:sz w:val="15"/>
              </w:rPr>
              <w:t>2</w:t>
            </w:r>
            <w:r>
              <w:rPr>
                <w:spacing w:val="-38"/>
                <w:sz w:val="15"/>
              </w:rPr>
              <w:t xml:space="preserve"> </w:t>
            </w:r>
            <w:r>
              <w:rPr>
                <w:sz w:val="15"/>
              </w:rPr>
              <w:t>月</w:t>
              <w:tab/>
              <w:t>3</w:t>
            </w:r>
            <w:r>
              <w:rPr>
                <w:spacing w:val="-37"/>
                <w:sz w:val="15"/>
              </w:rPr>
              <w:t xml:space="preserve"> </w:t>
            </w:r>
            <w:r>
              <w:rPr>
                <w:sz w:val="15"/>
              </w:rPr>
              <w:t>月</w:t>
            </w:r>
          </w:p>
        </w:tc>
        <w:tc>
          <w:tcPr>
            <w:tcW w:w="52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63"/>
              <w:jc w:val="right"/>
              <w:rPr>
                <w:sz w:val="15"/>
              </w:rPr>
            </w:pPr>
            <w:r>
              <w:rPr>
                <w:sz w:val="15"/>
              </w:rPr>
              <w:t>4 月</w:t>
            </w:r>
          </w:p>
        </w:tc>
        <w:tc>
          <w:tcPr>
            <w:tcW w:w="1042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96"/>
              <w:jc w:val="left"/>
              <w:rPr>
                <w:sz w:val="15"/>
              </w:rPr>
            </w:pPr>
            <w:r>
              <w:rPr>
                <w:sz w:val="15"/>
              </w:rPr>
              <w:t>5 月 6 月</w:t>
            </w:r>
          </w:p>
        </w:tc>
        <w:tc>
          <w:tcPr>
            <w:tcW w:w="5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58"/>
              <w:jc w:val="right"/>
              <w:rPr>
                <w:sz w:val="15"/>
              </w:rPr>
            </w:pPr>
            <w:r>
              <w:rPr>
                <w:sz w:val="15"/>
              </w:rPr>
              <w:t>7 月</w:t>
            </w:r>
          </w:p>
        </w:tc>
        <w:tc>
          <w:tcPr>
            <w:tcW w:w="53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8 月</w:t>
            </w:r>
          </w:p>
        </w:tc>
        <w:tc>
          <w:tcPr>
            <w:tcW w:w="56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76"/>
              <w:jc w:val="right"/>
              <w:rPr>
                <w:sz w:val="15"/>
              </w:rPr>
            </w:pPr>
            <w:r>
              <w:rPr>
                <w:sz w:val="15"/>
              </w:rPr>
              <w:t>9 月</w:t>
            </w:r>
          </w:p>
        </w:tc>
        <w:tc>
          <w:tcPr>
            <w:tcW w:w="1160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216"/>
              <w:jc w:val="left"/>
              <w:rPr>
                <w:sz w:val="15"/>
              </w:rPr>
            </w:pPr>
            <w:r>
              <w:rPr>
                <w:sz w:val="15"/>
              </w:rPr>
              <w:t>10 月 11 月</w:t>
            </w:r>
          </w:p>
        </w:tc>
        <w:tc>
          <w:tcPr>
            <w:tcW w:w="600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01"/>
              <w:jc w:val="left"/>
              <w:rPr>
                <w:sz w:val="15"/>
              </w:rPr>
            </w:pPr>
            <w:r>
              <w:rPr>
                <w:sz w:val="15"/>
              </w:rPr>
              <w:t>12 月</w:t>
            </w:r>
          </w:p>
        </w:tc>
        <w:tc>
          <w:tcPr>
            <w:tcW w:w="656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27"/>
              <w:jc w:val="right"/>
              <w:rPr>
                <w:sz w:val="15"/>
              </w:rPr>
            </w:pPr>
            <w:r>
              <w:rPr>
                <w:sz w:val="15"/>
              </w:rPr>
              <w:t>1 月</w:t>
            </w:r>
          </w:p>
        </w:tc>
        <w:tc>
          <w:tcPr>
            <w:tcW w:w="661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07"/>
              <w:jc w:val="right"/>
              <w:rPr>
                <w:sz w:val="15"/>
              </w:rPr>
            </w:pPr>
            <w:r>
              <w:rPr>
                <w:sz w:val="15"/>
              </w:rPr>
              <w:t>累计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37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spacing w:before="56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705" w:type="dxa"/>
          </w:tcPr>
          <w:p>
            <w:pPr>
              <w:pStyle w:val="TableParagraph"/>
              <w:spacing w:before="56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21,616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56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22,102 23,232 24,909 26,253 25,933 30,549 30,892</w:t>
            </w:r>
          </w:p>
        </w:tc>
        <w:tc>
          <w:tcPr>
            <w:tcW w:w="565" w:type="dxa"/>
          </w:tcPr>
          <w:p>
            <w:pPr>
              <w:pStyle w:val="TableParagraph"/>
              <w:spacing w:before="56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27717</w:t>
            </w:r>
          </w:p>
        </w:tc>
        <w:tc>
          <w:tcPr>
            <w:tcW w:w="547" w:type="dxa"/>
          </w:tcPr>
          <w:p>
            <w:pPr>
              <w:pStyle w:val="TableParagraph"/>
              <w:spacing w:before="56"/>
              <w:ind w:left="34" w:right="22"/>
              <w:rPr>
                <w:sz w:val="15"/>
              </w:rPr>
            </w:pPr>
            <w:r>
              <w:rPr>
                <w:sz w:val="15"/>
              </w:rPr>
              <w:t>28,653</w:t>
            </w:r>
          </w:p>
        </w:tc>
        <w:tc>
          <w:tcPr>
            <w:tcW w:w="613" w:type="dxa"/>
          </w:tcPr>
          <w:p>
            <w:pPr>
              <w:pStyle w:val="TableParagraph"/>
              <w:spacing w:before="56"/>
              <w:ind w:left="12" w:right="34"/>
              <w:rPr>
                <w:sz w:val="15"/>
              </w:rPr>
            </w:pPr>
            <w:r>
              <w:rPr>
                <w:sz w:val="15"/>
              </w:rPr>
              <w:t>26234</w:t>
            </w:r>
          </w:p>
        </w:tc>
        <w:tc>
          <w:tcPr>
            <w:tcW w:w="600" w:type="dxa"/>
          </w:tcPr>
          <w:p>
            <w:pPr>
              <w:pStyle w:val="TableParagraph"/>
              <w:spacing w:before="56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28,131</w:t>
            </w:r>
          </w:p>
        </w:tc>
        <w:tc>
          <w:tcPr>
            <w:tcW w:w="656" w:type="dxa"/>
          </w:tcPr>
          <w:p>
            <w:pPr>
              <w:pStyle w:val="TableParagraph"/>
              <w:spacing w:before="56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30,346</w:t>
            </w:r>
          </w:p>
        </w:tc>
        <w:tc>
          <w:tcPr>
            <w:tcW w:w="661" w:type="dxa"/>
          </w:tcPr>
          <w:p>
            <w:pPr>
              <w:pStyle w:val="TableParagraph"/>
              <w:spacing w:before="56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30,346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5"/>
          <w:jc w:val="left"/>
        </w:trPr>
        <w:tc>
          <w:tcPr>
            <w:tcW w:w="437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spacing w:before="82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before="60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25.4%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60"/>
              <w:ind w:left="83"/>
              <w:jc w:val="left"/>
              <w:rPr>
                <w:sz w:val="15"/>
              </w:rPr>
            </w:pPr>
            <w:r>
              <w:rPr>
                <w:sz w:val="15"/>
              </w:rPr>
              <w:t>27.5% 128.7% 285.6% 181.1% 78.6% 51.7%</w:t>
            </w:r>
            <w:r>
              <w:rPr>
                <w:spacing w:val="55"/>
                <w:sz w:val="15"/>
              </w:rPr>
              <w:t xml:space="preserve"> </w:t>
            </w:r>
            <w:r>
              <w:rPr>
                <w:sz w:val="15"/>
              </w:rPr>
              <w:t>71.4%</w:t>
            </w:r>
          </w:p>
        </w:tc>
        <w:tc>
          <w:tcPr>
            <w:tcW w:w="565" w:type="dxa"/>
          </w:tcPr>
          <w:p>
            <w:pPr>
              <w:pStyle w:val="TableParagraph"/>
              <w:spacing w:before="60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65.4%</w:t>
            </w:r>
          </w:p>
        </w:tc>
        <w:tc>
          <w:tcPr>
            <w:tcW w:w="547" w:type="dxa"/>
          </w:tcPr>
          <w:p>
            <w:pPr>
              <w:pStyle w:val="TableParagraph"/>
              <w:spacing w:before="60"/>
              <w:ind w:left="34" w:right="22"/>
              <w:rPr>
                <w:sz w:val="15"/>
              </w:rPr>
            </w:pPr>
            <w:r>
              <w:rPr>
                <w:sz w:val="15"/>
              </w:rPr>
              <w:t>194.9%</w:t>
            </w:r>
          </w:p>
        </w:tc>
        <w:tc>
          <w:tcPr>
            <w:tcW w:w="613" w:type="dxa"/>
          </w:tcPr>
          <w:p>
            <w:pPr>
              <w:pStyle w:val="TableParagraph"/>
              <w:spacing w:before="60"/>
              <w:ind w:left="14" w:right="34"/>
              <w:rPr>
                <w:sz w:val="15"/>
              </w:rPr>
            </w:pPr>
            <w:r>
              <w:rPr>
                <w:sz w:val="15"/>
              </w:rPr>
              <w:t>253.35%</w:t>
            </w:r>
          </w:p>
        </w:tc>
        <w:tc>
          <w:tcPr>
            <w:tcW w:w="600" w:type="dxa"/>
          </w:tcPr>
          <w:p>
            <w:pPr>
              <w:pStyle w:val="TableParagraph"/>
              <w:spacing w:before="60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149.7%</w:t>
            </w:r>
          </w:p>
        </w:tc>
        <w:tc>
          <w:tcPr>
            <w:tcW w:w="656" w:type="dxa"/>
          </w:tcPr>
          <w:p>
            <w:pPr>
              <w:pStyle w:val="TableParagraph"/>
              <w:spacing w:before="60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40.4%</w:t>
            </w:r>
          </w:p>
        </w:tc>
        <w:tc>
          <w:tcPr>
            <w:tcW w:w="661" w:type="dxa"/>
          </w:tcPr>
          <w:p>
            <w:pPr>
              <w:pStyle w:val="TableParagraph"/>
              <w:spacing w:before="60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40.4%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5"/>
          <w:jc w:val="left"/>
        </w:trPr>
        <w:tc>
          <w:tcPr>
            <w:tcW w:w="437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spacing w:before="94" w:line="151" w:lineRule="exact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收入客公里</w:t>
            </w:r>
          </w:p>
        </w:tc>
        <w:tc>
          <w:tcPr>
            <w:tcW w:w="705" w:type="dxa"/>
          </w:tcPr>
          <w:p>
            <w:pPr>
              <w:pStyle w:val="TableParagraph"/>
              <w:spacing w:before="72" w:line="173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15,708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72" w:line="173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16,929 17,207 18,917 19,756 20,601 24,720 24,989</w:t>
            </w:r>
          </w:p>
        </w:tc>
        <w:tc>
          <w:tcPr>
            <w:tcW w:w="565" w:type="dxa"/>
          </w:tcPr>
          <w:p>
            <w:pPr>
              <w:pStyle w:val="TableParagraph"/>
              <w:spacing w:before="72" w:line="173" w:lineRule="exact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24988</w:t>
            </w:r>
          </w:p>
        </w:tc>
        <w:tc>
          <w:tcPr>
            <w:tcW w:w="547" w:type="dxa"/>
          </w:tcPr>
          <w:p>
            <w:pPr>
              <w:pStyle w:val="TableParagraph"/>
              <w:spacing w:before="72"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23,251</w:t>
            </w:r>
          </w:p>
        </w:tc>
        <w:tc>
          <w:tcPr>
            <w:tcW w:w="613" w:type="dxa"/>
          </w:tcPr>
          <w:p>
            <w:pPr>
              <w:pStyle w:val="TableParagraph"/>
              <w:spacing w:before="72" w:line="173" w:lineRule="exact"/>
              <w:ind w:left="12" w:right="34"/>
              <w:rPr>
                <w:sz w:val="15"/>
              </w:rPr>
            </w:pPr>
            <w:r>
              <w:rPr>
                <w:sz w:val="15"/>
              </w:rPr>
              <w:t>20706</w:t>
            </w:r>
          </w:p>
        </w:tc>
        <w:tc>
          <w:tcPr>
            <w:tcW w:w="600" w:type="dxa"/>
          </w:tcPr>
          <w:p>
            <w:pPr>
              <w:pStyle w:val="TableParagraph"/>
              <w:spacing w:before="72" w:line="17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22,331</w:t>
            </w:r>
          </w:p>
        </w:tc>
        <w:tc>
          <w:tcPr>
            <w:tcW w:w="656" w:type="dxa"/>
          </w:tcPr>
          <w:p>
            <w:pPr>
              <w:pStyle w:val="TableParagraph"/>
              <w:spacing w:before="72" w:line="173" w:lineRule="exact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24,584</w:t>
            </w:r>
          </w:p>
        </w:tc>
        <w:tc>
          <w:tcPr>
            <w:tcW w:w="661" w:type="dxa"/>
          </w:tcPr>
          <w:p>
            <w:pPr>
              <w:pStyle w:val="TableParagraph"/>
              <w:spacing w:before="72" w:line="173" w:lineRule="exact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24,584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437" w:type="dxa"/>
          </w:tcPr>
          <w:p>
            <w:pPr>
              <w:pStyle w:val="TableParagraph"/>
              <w:spacing w:before="6"/>
              <w:ind w:left="73" w:right="24"/>
              <w:rPr>
                <w:sz w:val="15"/>
              </w:rPr>
            </w:pPr>
            <w:r>
              <w:rPr>
                <w:sz w:val="15"/>
              </w:rPr>
              <w:t>总体</w:t>
            </w:r>
          </w:p>
        </w:tc>
        <w:tc>
          <w:tcPr>
            <w:tcW w:w="1171" w:type="dxa"/>
          </w:tcPr>
          <w:p>
            <w:pPr>
              <w:pStyle w:val="TableParagraph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44.6%</w:t>
            </w:r>
          </w:p>
        </w:tc>
        <w:tc>
          <w:tcPr>
            <w:tcW w:w="2612" w:type="dxa"/>
            <w:gridSpan w:val="5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sz w:val="15"/>
              </w:rPr>
              <w:t>43.1% 164.1% 412.2% 247.8% 111.6%</w:t>
            </w:r>
          </w:p>
        </w:tc>
        <w:tc>
          <w:tcPr>
            <w:tcW w:w="5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75.4%</w:t>
            </w:r>
          </w:p>
        </w:tc>
        <w:tc>
          <w:tcPr>
            <w:tcW w:w="53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55"/>
              <w:jc w:val="right"/>
              <w:rPr>
                <w:sz w:val="15"/>
              </w:rPr>
            </w:pPr>
            <w:r>
              <w:rPr>
                <w:sz w:val="15"/>
              </w:rPr>
              <w:t>101.1%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64.1%</w:t>
            </w:r>
          </w:p>
        </w:tc>
        <w:tc>
          <w:tcPr>
            <w:tcW w:w="547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34" w:right="22"/>
              <w:rPr>
                <w:sz w:val="15"/>
              </w:rPr>
            </w:pPr>
            <w:r>
              <w:rPr>
                <w:sz w:val="15"/>
              </w:rPr>
              <w:t>257.5%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14" w:right="34"/>
              <w:rPr>
                <w:sz w:val="15"/>
              </w:rPr>
            </w:pPr>
            <w:r>
              <w:rPr>
                <w:sz w:val="15"/>
              </w:rPr>
              <w:t>324%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197.9%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56.5%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56.5%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6"/>
          <w:jc w:val="left"/>
        </w:trPr>
        <w:tc>
          <w:tcPr>
            <w:tcW w:w="437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spacing w:before="92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705" w:type="dxa"/>
          </w:tcPr>
          <w:p>
            <w:pPr>
              <w:pStyle w:val="TableParagraph"/>
              <w:spacing w:before="71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72.7%</w:t>
            </w:r>
          </w:p>
        </w:tc>
        <w:tc>
          <w:tcPr>
            <w:tcW w:w="2612" w:type="dxa"/>
            <w:gridSpan w:val="5"/>
          </w:tcPr>
          <w:p>
            <w:pPr>
              <w:pStyle w:val="TableParagraph"/>
              <w:spacing w:before="71"/>
              <w:ind w:left="83"/>
              <w:jc w:val="left"/>
              <w:rPr>
                <w:sz w:val="15"/>
              </w:rPr>
            </w:pPr>
            <w:r>
              <w:rPr>
                <w:sz w:val="15"/>
              </w:rPr>
              <w:t>76.6% 74.1% 76.0% 75.3% 79.4%</w:t>
            </w:r>
          </w:p>
        </w:tc>
        <w:tc>
          <w:tcPr>
            <w:tcW w:w="556" w:type="dxa"/>
          </w:tcPr>
          <w:p>
            <w:pPr>
              <w:pStyle w:val="TableParagraph"/>
              <w:spacing w:before="71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80.9%</w:t>
            </w:r>
          </w:p>
        </w:tc>
        <w:tc>
          <w:tcPr>
            <w:tcW w:w="536" w:type="dxa"/>
          </w:tcPr>
          <w:p>
            <w:pPr>
              <w:pStyle w:val="TableParagraph"/>
              <w:spacing w:before="71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80.9%</w:t>
            </w:r>
          </w:p>
        </w:tc>
        <w:tc>
          <w:tcPr>
            <w:tcW w:w="565" w:type="dxa"/>
          </w:tcPr>
          <w:p>
            <w:pPr>
              <w:pStyle w:val="TableParagraph"/>
              <w:spacing w:before="71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78.7%</w:t>
            </w:r>
          </w:p>
        </w:tc>
        <w:tc>
          <w:tcPr>
            <w:tcW w:w="547" w:type="dxa"/>
          </w:tcPr>
          <w:p>
            <w:pPr>
              <w:pStyle w:val="TableParagraph"/>
              <w:spacing w:before="71"/>
              <w:ind w:left="34" w:right="22"/>
              <w:rPr>
                <w:sz w:val="15"/>
              </w:rPr>
            </w:pPr>
            <w:r>
              <w:rPr>
                <w:sz w:val="15"/>
              </w:rPr>
              <w:t>81.2%</w:t>
            </w:r>
          </w:p>
        </w:tc>
        <w:tc>
          <w:tcPr>
            <w:tcW w:w="613" w:type="dxa"/>
          </w:tcPr>
          <w:p>
            <w:pPr>
              <w:pStyle w:val="TableParagraph"/>
              <w:spacing w:before="71"/>
              <w:ind w:left="12" w:right="34"/>
              <w:rPr>
                <w:sz w:val="15"/>
              </w:rPr>
            </w:pPr>
            <w:r>
              <w:rPr>
                <w:sz w:val="15"/>
              </w:rPr>
              <w:t>78.9%</w:t>
            </w:r>
          </w:p>
        </w:tc>
        <w:tc>
          <w:tcPr>
            <w:tcW w:w="600" w:type="dxa"/>
          </w:tcPr>
          <w:p>
            <w:pPr>
              <w:pStyle w:val="TableParagraph"/>
              <w:spacing w:before="71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79.4%</w:t>
            </w:r>
          </w:p>
        </w:tc>
        <w:tc>
          <w:tcPr>
            <w:tcW w:w="656" w:type="dxa"/>
          </w:tcPr>
          <w:p>
            <w:pPr>
              <w:pStyle w:val="TableParagraph"/>
              <w:spacing w:before="71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81.0%</w:t>
            </w:r>
          </w:p>
        </w:tc>
        <w:tc>
          <w:tcPr>
            <w:tcW w:w="661" w:type="dxa"/>
          </w:tcPr>
          <w:p>
            <w:pPr>
              <w:pStyle w:val="TableParagraph"/>
              <w:spacing w:before="71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81.0%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2"/>
          <w:jc w:val="left"/>
        </w:trPr>
        <w:tc>
          <w:tcPr>
            <w:tcW w:w="437" w:type="dxa"/>
            <w:tcBorders>
              <w:bottom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284"/>
              <w:jc w:val="left"/>
              <w:rPr>
                <w:sz w:val="15"/>
              </w:rPr>
            </w:pPr>
            <w:r>
              <w:rPr>
                <w:sz w:val="15"/>
              </w:rPr>
              <w:t>9.7%</w:t>
            </w:r>
          </w:p>
        </w:tc>
        <w:tc>
          <w:tcPr>
            <w:tcW w:w="2612" w:type="dxa"/>
            <w:gridSpan w:val="5"/>
            <w:tcBorders>
              <w:bottom w:val="single" w:sz="4" w:space="0" w:color="044E7D"/>
            </w:tcBorders>
          </w:tcPr>
          <w:p>
            <w:pPr>
              <w:pStyle w:val="TableParagraph"/>
              <w:tabs>
                <w:tab w:val="left" w:pos="621"/>
              </w:tabs>
              <w:spacing w:before="72"/>
              <w:ind w:left="119"/>
              <w:jc w:val="left"/>
              <w:rPr>
                <w:sz w:val="15"/>
              </w:rPr>
            </w:pPr>
            <w:r>
              <w:rPr>
                <w:sz w:val="15"/>
              </w:rPr>
              <w:t>8.3%</w:t>
              <w:tab/>
              <w:t>9.9% 18.8% 14.4%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z w:val="15"/>
              </w:rPr>
              <w:t>12.4%</w:t>
            </w:r>
          </w:p>
        </w:tc>
        <w:tc>
          <w:tcPr>
            <w:tcW w:w="5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10.9%</w:t>
            </w:r>
          </w:p>
        </w:tc>
        <w:tc>
          <w:tcPr>
            <w:tcW w:w="53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12.0%</w:t>
            </w:r>
          </w:p>
        </w:tc>
        <w:tc>
          <w:tcPr>
            <w:tcW w:w="56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11.2%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34" w:right="22"/>
              <w:rPr>
                <w:sz w:val="15"/>
              </w:rPr>
            </w:pPr>
            <w:r>
              <w:rPr>
                <w:sz w:val="15"/>
              </w:rPr>
              <w:t>14.2%</w:t>
            </w:r>
          </w:p>
        </w:tc>
        <w:tc>
          <w:tcPr>
            <w:tcW w:w="61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12" w:right="34"/>
              <w:rPr>
                <w:sz w:val="15"/>
              </w:rPr>
            </w:pPr>
            <w:r>
              <w:rPr>
                <w:sz w:val="15"/>
              </w:rPr>
              <w:t>13%</w:t>
            </w:r>
          </w:p>
        </w:tc>
        <w:tc>
          <w:tcPr>
            <w:tcW w:w="60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12.9%</w:t>
            </w:r>
          </w:p>
        </w:tc>
        <w:tc>
          <w:tcPr>
            <w:tcW w:w="6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166"/>
              <w:jc w:val="left"/>
              <w:rPr>
                <w:sz w:val="15"/>
              </w:rPr>
            </w:pPr>
            <w:r>
              <w:rPr>
                <w:sz w:val="15"/>
              </w:rPr>
              <w:t>8.3%</w:t>
            </w:r>
          </w:p>
        </w:tc>
        <w:tc>
          <w:tcPr>
            <w:tcW w:w="66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172"/>
              <w:jc w:val="left"/>
              <w:rPr>
                <w:sz w:val="15"/>
              </w:rPr>
            </w:pPr>
            <w:r>
              <w:rPr>
                <w:sz w:val="15"/>
              </w:rPr>
              <w:t>8.3%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4"/>
          <w:jc w:val="left"/>
        </w:trPr>
        <w:tc>
          <w:tcPr>
            <w:tcW w:w="437" w:type="dxa"/>
            <w:tcBorders>
              <w:top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83" w:line="151" w:lineRule="exact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70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20,343</w:t>
            </w:r>
          </w:p>
        </w:tc>
        <w:tc>
          <w:tcPr>
            <w:tcW w:w="2612" w:type="dxa"/>
            <w:gridSpan w:val="5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20,280 20,861 21,767 22,718 21,775</w:t>
            </w:r>
          </w:p>
        </w:tc>
        <w:tc>
          <w:tcPr>
            <w:tcW w:w="55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64"/>
              <w:jc w:val="right"/>
              <w:rPr>
                <w:sz w:val="15"/>
              </w:rPr>
            </w:pPr>
            <w:r>
              <w:rPr>
                <w:sz w:val="15"/>
              </w:rPr>
              <w:t>25,449</w:t>
            </w:r>
          </w:p>
        </w:tc>
        <w:tc>
          <w:tcPr>
            <w:tcW w:w="53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55"/>
              <w:jc w:val="right"/>
              <w:rPr>
                <w:sz w:val="15"/>
              </w:rPr>
            </w:pPr>
            <w:r>
              <w:rPr>
                <w:sz w:val="15"/>
              </w:rPr>
              <w:t>25,700</w:t>
            </w:r>
          </w:p>
        </w:tc>
        <w:tc>
          <w:tcPr>
            <w:tcW w:w="56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22452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23,144</w:t>
            </w:r>
          </w:p>
        </w:tc>
        <w:tc>
          <w:tcPr>
            <w:tcW w:w="61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2" w:right="34"/>
              <w:rPr>
                <w:sz w:val="15"/>
              </w:rPr>
            </w:pPr>
            <w:r>
              <w:rPr>
                <w:sz w:val="15"/>
              </w:rPr>
              <w:t>20736</w:t>
            </w:r>
          </w:p>
        </w:tc>
        <w:tc>
          <w:tcPr>
            <w:tcW w:w="60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21,312</w:t>
            </w:r>
          </w:p>
        </w:tc>
        <w:tc>
          <w:tcPr>
            <w:tcW w:w="65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23,258</w:t>
            </w:r>
          </w:p>
        </w:tc>
        <w:tc>
          <w:tcPr>
            <w:tcW w:w="66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23,258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5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22.0%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83"/>
              <w:jc w:val="left"/>
              <w:rPr>
                <w:sz w:val="15"/>
              </w:rPr>
            </w:pPr>
            <w:r>
              <w:rPr>
                <w:sz w:val="15"/>
              </w:rPr>
              <w:t>20.0% 117.1% 267.7% 158.2% 56.1% 30.3%</w:t>
            </w:r>
            <w:r>
              <w:rPr>
                <w:spacing w:val="55"/>
                <w:sz w:val="15"/>
              </w:rPr>
              <w:t xml:space="preserve"> </w:t>
            </w:r>
            <w:r>
              <w:rPr>
                <w:sz w:val="15"/>
              </w:rPr>
              <w:t>48.5%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64.2%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53"/>
              <w:jc w:val="left"/>
              <w:rPr>
                <w:sz w:val="15"/>
              </w:rPr>
            </w:pPr>
            <w:r>
              <w:rPr>
                <w:sz w:val="15"/>
              </w:rPr>
              <w:t>161.1% 217.32%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109.7%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14.3%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14.3%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收入客公里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14,798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15,616 15,430 16,567 17,051 17,202 20,476 20,554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17512</w:t>
            </w:r>
          </w:p>
        </w:tc>
        <w:tc>
          <w:tcPr>
            <w:tcW w:w="547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18,964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12" w:right="34"/>
              <w:rPr>
                <w:sz w:val="15"/>
              </w:rPr>
            </w:pPr>
            <w:r>
              <w:rPr>
                <w:sz w:val="15"/>
              </w:rPr>
              <w:t>16563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17,077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19,096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19,096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"/>
          <w:jc w:val="left"/>
        </w:trPr>
        <w:tc>
          <w:tcPr>
            <w:tcW w:w="437" w:type="dxa"/>
          </w:tcPr>
          <w:p>
            <w:pPr>
              <w:pStyle w:val="TableParagraph"/>
              <w:spacing w:before="6" w:line="151" w:lineRule="exact"/>
              <w:ind w:left="73" w:right="24"/>
              <w:rPr>
                <w:sz w:val="15"/>
              </w:rPr>
            </w:pPr>
            <w:r>
              <w:rPr>
                <w:sz w:val="15"/>
              </w:rPr>
              <w:t>国内</w:t>
            </w:r>
          </w:p>
        </w:tc>
        <w:tc>
          <w:tcPr>
            <w:tcW w:w="11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44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042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3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1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spacing w:before="1"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line="153" w:lineRule="exact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39.9%</w:t>
            </w:r>
          </w:p>
        </w:tc>
        <w:tc>
          <w:tcPr>
            <w:tcW w:w="2104" w:type="dxa"/>
            <w:gridSpan w:val="4"/>
          </w:tcPr>
          <w:p>
            <w:pPr>
              <w:pStyle w:val="TableParagraph"/>
              <w:spacing w:line="153" w:lineRule="exact"/>
              <w:ind w:left="83"/>
              <w:jc w:val="left"/>
              <w:rPr>
                <w:sz w:val="15"/>
              </w:rPr>
            </w:pPr>
            <w:r>
              <w:rPr>
                <w:sz w:val="15"/>
              </w:rPr>
              <w:t>34.6% 148.6% 394.2% 220.5%</w:t>
            </w:r>
          </w:p>
        </w:tc>
        <w:tc>
          <w:tcPr>
            <w:tcW w:w="508" w:type="dxa"/>
          </w:tcPr>
          <w:p>
            <w:pPr>
              <w:pStyle w:val="TableParagraph"/>
              <w:spacing w:line="153" w:lineRule="exact"/>
              <w:ind w:left="35" w:right="58"/>
              <w:rPr>
                <w:sz w:val="15"/>
              </w:rPr>
            </w:pPr>
            <w:r>
              <w:rPr>
                <w:sz w:val="15"/>
              </w:rPr>
              <w:t>83.4%</w:t>
            </w:r>
          </w:p>
        </w:tc>
        <w:tc>
          <w:tcPr>
            <w:tcW w:w="556" w:type="dxa"/>
          </w:tcPr>
          <w:p>
            <w:pPr>
              <w:pStyle w:val="TableParagraph"/>
              <w:spacing w:line="15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49.7%</w:t>
            </w:r>
          </w:p>
        </w:tc>
        <w:tc>
          <w:tcPr>
            <w:tcW w:w="536" w:type="dxa"/>
          </w:tcPr>
          <w:p>
            <w:pPr>
              <w:pStyle w:val="TableParagraph"/>
              <w:spacing w:line="153" w:lineRule="exact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71.9%</w:t>
            </w:r>
          </w:p>
        </w:tc>
        <w:tc>
          <w:tcPr>
            <w:tcW w:w="565" w:type="dxa"/>
          </w:tcPr>
          <w:p>
            <w:pPr>
              <w:pStyle w:val="TableParagraph"/>
              <w:spacing w:line="153" w:lineRule="exact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59.2%</w:t>
            </w:r>
          </w:p>
        </w:tc>
        <w:tc>
          <w:tcPr>
            <w:tcW w:w="547" w:type="dxa"/>
          </w:tcPr>
          <w:p>
            <w:pPr>
              <w:pStyle w:val="TableParagraph"/>
              <w:spacing w:line="15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217.7%</w:t>
            </w:r>
          </w:p>
        </w:tc>
        <w:tc>
          <w:tcPr>
            <w:tcW w:w="613" w:type="dxa"/>
          </w:tcPr>
          <w:p>
            <w:pPr>
              <w:pStyle w:val="TableParagraph"/>
              <w:spacing w:line="153" w:lineRule="exact"/>
              <w:ind w:left="14" w:right="34"/>
              <w:rPr>
                <w:sz w:val="15"/>
              </w:rPr>
            </w:pPr>
            <w:r>
              <w:rPr>
                <w:sz w:val="15"/>
              </w:rPr>
              <w:t>281%</w:t>
            </w:r>
          </w:p>
        </w:tc>
        <w:tc>
          <w:tcPr>
            <w:tcW w:w="600" w:type="dxa"/>
          </w:tcPr>
          <w:p>
            <w:pPr>
              <w:pStyle w:val="TableParagraph"/>
              <w:spacing w:line="15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151.4%</w:t>
            </w:r>
          </w:p>
        </w:tc>
        <w:tc>
          <w:tcPr>
            <w:tcW w:w="656" w:type="dxa"/>
          </w:tcPr>
          <w:p>
            <w:pPr>
              <w:pStyle w:val="TableParagraph"/>
              <w:spacing w:line="153" w:lineRule="exact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29.0%</w:t>
            </w:r>
          </w:p>
        </w:tc>
        <w:tc>
          <w:tcPr>
            <w:tcW w:w="661" w:type="dxa"/>
          </w:tcPr>
          <w:p>
            <w:pPr>
              <w:pStyle w:val="TableParagraph"/>
              <w:spacing w:line="153" w:lineRule="exact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29.0%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72.7%</w:t>
            </w:r>
          </w:p>
        </w:tc>
        <w:tc>
          <w:tcPr>
            <w:tcW w:w="52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63" w:right="43"/>
              <w:rPr>
                <w:sz w:val="15"/>
              </w:rPr>
            </w:pPr>
            <w:r>
              <w:rPr>
                <w:sz w:val="15"/>
              </w:rPr>
              <w:t>77.0%</w:t>
            </w:r>
          </w:p>
        </w:tc>
        <w:tc>
          <w:tcPr>
            <w:tcW w:w="52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3"/>
              <w:jc w:val="right"/>
              <w:rPr>
                <w:sz w:val="15"/>
              </w:rPr>
            </w:pPr>
            <w:r>
              <w:rPr>
                <w:sz w:val="15"/>
              </w:rPr>
              <w:t>74.0%</w:t>
            </w:r>
          </w:p>
        </w:tc>
        <w:tc>
          <w:tcPr>
            <w:tcW w:w="52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sz w:val="15"/>
              </w:rPr>
              <w:t>76.1%</w:t>
            </w:r>
          </w:p>
        </w:tc>
        <w:tc>
          <w:tcPr>
            <w:tcW w:w="534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28" w:right="56"/>
              <w:rPr>
                <w:sz w:val="15"/>
              </w:rPr>
            </w:pPr>
            <w:r>
              <w:rPr>
                <w:sz w:val="15"/>
              </w:rPr>
              <w:t>75.1%</w:t>
            </w:r>
          </w:p>
        </w:tc>
        <w:tc>
          <w:tcPr>
            <w:tcW w:w="508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35" w:right="58"/>
              <w:rPr>
                <w:sz w:val="15"/>
              </w:rPr>
            </w:pPr>
            <w:r>
              <w:rPr>
                <w:sz w:val="15"/>
              </w:rPr>
              <w:t>79.0%</w:t>
            </w:r>
          </w:p>
        </w:tc>
        <w:tc>
          <w:tcPr>
            <w:tcW w:w="5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80.5%</w:t>
            </w:r>
          </w:p>
        </w:tc>
        <w:tc>
          <w:tcPr>
            <w:tcW w:w="53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80.0%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78.0%</w:t>
            </w:r>
          </w:p>
        </w:tc>
        <w:tc>
          <w:tcPr>
            <w:tcW w:w="547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34" w:right="22"/>
              <w:rPr>
                <w:sz w:val="15"/>
              </w:rPr>
            </w:pPr>
            <w:r>
              <w:rPr>
                <w:sz w:val="15"/>
              </w:rPr>
              <w:t>81.9%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12" w:right="34"/>
              <w:rPr>
                <w:sz w:val="15"/>
              </w:rPr>
            </w:pPr>
            <w:r>
              <w:rPr>
                <w:sz w:val="15"/>
              </w:rPr>
              <w:t>79.8%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80.1%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82.1%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82.1%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7"/>
          <w:jc w:val="left"/>
        </w:trPr>
        <w:tc>
          <w:tcPr>
            <w:tcW w:w="1608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95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284"/>
              <w:jc w:val="left"/>
              <w:rPr>
                <w:sz w:val="15"/>
              </w:rPr>
            </w:pPr>
            <w:r>
              <w:rPr>
                <w:sz w:val="15"/>
              </w:rPr>
              <w:t>9.3%</w:t>
            </w:r>
          </w:p>
        </w:tc>
        <w:tc>
          <w:tcPr>
            <w:tcW w:w="52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61" w:right="43"/>
              <w:rPr>
                <w:sz w:val="15"/>
              </w:rPr>
            </w:pPr>
            <w:r>
              <w:rPr>
                <w:sz w:val="15"/>
              </w:rPr>
              <w:t>8.3%</w:t>
            </w:r>
          </w:p>
        </w:tc>
        <w:tc>
          <w:tcPr>
            <w:tcW w:w="52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right="119"/>
              <w:jc w:val="right"/>
              <w:rPr>
                <w:sz w:val="15"/>
              </w:rPr>
            </w:pPr>
            <w:r>
              <w:rPr>
                <w:sz w:val="15"/>
              </w:rPr>
              <w:t>9.4%</w:t>
            </w:r>
          </w:p>
        </w:tc>
        <w:tc>
          <w:tcPr>
            <w:tcW w:w="52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right="84"/>
              <w:jc w:val="right"/>
              <w:rPr>
                <w:sz w:val="15"/>
              </w:rPr>
            </w:pPr>
            <w:r>
              <w:rPr>
                <w:sz w:val="15"/>
              </w:rPr>
              <w:t>19.5%</w:t>
            </w:r>
          </w:p>
        </w:tc>
        <w:tc>
          <w:tcPr>
            <w:tcW w:w="53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28" w:right="56"/>
              <w:rPr>
                <w:sz w:val="15"/>
              </w:rPr>
            </w:pPr>
            <w:r>
              <w:rPr>
                <w:sz w:val="15"/>
              </w:rPr>
              <w:t>14.6%</w:t>
            </w:r>
          </w:p>
        </w:tc>
        <w:tc>
          <w:tcPr>
            <w:tcW w:w="50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35" w:right="58"/>
              <w:rPr>
                <w:sz w:val="15"/>
              </w:rPr>
            </w:pPr>
            <w:r>
              <w:rPr>
                <w:sz w:val="15"/>
              </w:rPr>
              <w:t>11.8%</w:t>
            </w:r>
          </w:p>
        </w:tc>
        <w:tc>
          <w:tcPr>
            <w:tcW w:w="5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10.4%</w:t>
            </w:r>
          </w:p>
        </w:tc>
        <w:tc>
          <w:tcPr>
            <w:tcW w:w="53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10.9%</w:t>
            </w:r>
          </w:p>
        </w:tc>
        <w:tc>
          <w:tcPr>
            <w:tcW w:w="56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11.2%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34" w:right="22"/>
              <w:rPr>
                <w:sz w:val="15"/>
              </w:rPr>
            </w:pPr>
            <w:r>
              <w:rPr>
                <w:sz w:val="15"/>
              </w:rPr>
              <w:t>14.6%</w:t>
            </w:r>
          </w:p>
        </w:tc>
        <w:tc>
          <w:tcPr>
            <w:tcW w:w="61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12" w:right="34"/>
              <w:rPr>
                <w:sz w:val="15"/>
              </w:rPr>
            </w:pPr>
            <w:r>
              <w:rPr>
                <w:sz w:val="15"/>
              </w:rPr>
              <w:t>13%</w:t>
            </w:r>
          </w:p>
        </w:tc>
        <w:tc>
          <w:tcPr>
            <w:tcW w:w="60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13.3%</w:t>
            </w:r>
          </w:p>
        </w:tc>
        <w:tc>
          <w:tcPr>
            <w:tcW w:w="6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166"/>
              <w:jc w:val="left"/>
              <w:rPr>
                <w:sz w:val="15"/>
              </w:rPr>
            </w:pPr>
            <w:r>
              <w:rPr>
                <w:sz w:val="15"/>
              </w:rPr>
              <w:t>9.4%</w:t>
            </w:r>
          </w:p>
        </w:tc>
        <w:tc>
          <w:tcPr>
            <w:tcW w:w="66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1"/>
              <w:ind w:left="172"/>
              <w:jc w:val="left"/>
              <w:rPr>
                <w:sz w:val="15"/>
              </w:rPr>
            </w:pPr>
            <w:r>
              <w:rPr>
                <w:sz w:val="15"/>
              </w:rPr>
              <w:t>9.4%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3"/>
          <w:jc w:val="left"/>
        </w:trPr>
        <w:tc>
          <w:tcPr>
            <w:tcW w:w="1608" w:type="dxa"/>
            <w:gridSpan w:val="2"/>
            <w:tcBorders>
              <w:top w:val="single" w:sz="4" w:space="0" w:color="044E7D"/>
            </w:tcBorders>
          </w:tcPr>
          <w:p>
            <w:pPr>
              <w:pStyle w:val="TableParagraph"/>
              <w:spacing w:before="82"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70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1,165</w:t>
            </w:r>
          </w:p>
        </w:tc>
        <w:tc>
          <w:tcPr>
            <w:tcW w:w="52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63" w:right="43"/>
              <w:rPr>
                <w:sz w:val="15"/>
              </w:rPr>
            </w:pPr>
            <w:r>
              <w:rPr>
                <w:sz w:val="15"/>
              </w:rPr>
              <w:t>1,697</w:t>
            </w:r>
          </w:p>
        </w:tc>
        <w:tc>
          <w:tcPr>
            <w:tcW w:w="52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83"/>
              <w:jc w:val="right"/>
              <w:rPr>
                <w:sz w:val="15"/>
              </w:rPr>
            </w:pPr>
            <w:r>
              <w:rPr>
                <w:sz w:val="15"/>
              </w:rPr>
              <w:t>2,207</w:t>
            </w:r>
          </w:p>
        </w:tc>
        <w:tc>
          <w:tcPr>
            <w:tcW w:w="52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84"/>
              <w:jc w:val="right"/>
              <w:rPr>
                <w:sz w:val="15"/>
              </w:rPr>
            </w:pPr>
            <w:r>
              <w:rPr>
                <w:sz w:val="15"/>
              </w:rPr>
              <w:t>2,933</w:t>
            </w:r>
          </w:p>
        </w:tc>
        <w:tc>
          <w:tcPr>
            <w:tcW w:w="53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28" w:right="56"/>
              <w:rPr>
                <w:sz w:val="15"/>
              </w:rPr>
            </w:pPr>
            <w:r>
              <w:rPr>
                <w:sz w:val="15"/>
              </w:rPr>
              <w:t>3,327</w:t>
            </w:r>
          </w:p>
        </w:tc>
        <w:tc>
          <w:tcPr>
            <w:tcW w:w="50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35" w:right="58"/>
              <w:rPr>
                <w:sz w:val="15"/>
              </w:rPr>
            </w:pPr>
            <w:r>
              <w:rPr>
                <w:sz w:val="15"/>
              </w:rPr>
              <w:t>3,948</w:t>
            </w:r>
          </w:p>
        </w:tc>
        <w:tc>
          <w:tcPr>
            <w:tcW w:w="55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4,881</w:t>
            </w:r>
          </w:p>
        </w:tc>
        <w:tc>
          <w:tcPr>
            <w:tcW w:w="53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4,963</w:t>
            </w:r>
          </w:p>
        </w:tc>
        <w:tc>
          <w:tcPr>
            <w:tcW w:w="56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34"/>
              <w:jc w:val="right"/>
              <w:rPr>
                <w:sz w:val="15"/>
              </w:rPr>
            </w:pPr>
            <w:r>
              <w:rPr>
                <w:sz w:val="15"/>
              </w:rPr>
              <w:t>5045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5,265</w:t>
            </w:r>
          </w:p>
        </w:tc>
        <w:tc>
          <w:tcPr>
            <w:tcW w:w="61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4" w:right="34"/>
              <w:rPr>
                <w:sz w:val="15"/>
              </w:rPr>
            </w:pPr>
            <w:r>
              <w:rPr>
                <w:sz w:val="15"/>
              </w:rPr>
              <w:t>5257</w:t>
            </w:r>
          </w:p>
        </w:tc>
        <w:tc>
          <w:tcPr>
            <w:tcW w:w="60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6,559</w:t>
            </w:r>
          </w:p>
        </w:tc>
        <w:tc>
          <w:tcPr>
            <w:tcW w:w="65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6,844</w:t>
            </w:r>
          </w:p>
        </w:tc>
        <w:tc>
          <w:tcPr>
            <w:tcW w:w="66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6,844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5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114.3%</w:t>
            </w:r>
          </w:p>
        </w:tc>
        <w:tc>
          <w:tcPr>
            <w:tcW w:w="3168" w:type="dxa"/>
            <w:gridSpan w:val="6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317.0% 324.2% 455.9% 528.1% 600.8% 717.7%</w:t>
            </w:r>
          </w:p>
        </w:tc>
        <w:tc>
          <w:tcPr>
            <w:tcW w:w="53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55"/>
              <w:jc w:val="right"/>
              <w:rPr>
                <w:sz w:val="15"/>
              </w:rPr>
            </w:pPr>
            <w:r>
              <w:rPr>
                <w:sz w:val="15"/>
              </w:rPr>
              <w:t>612.0%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58"/>
              <w:jc w:val="right"/>
              <w:rPr>
                <w:sz w:val="15"/>
              </w:rPr>
            </w:pPr>
            <w:r>
              <w:rPr>
                <w:sz w:val="15"/>
              </w:rPr>
              <w:t>706.5%</w:t>
            </w:r>
          </w:p>
        </w:tc>
        <w:tc>
          <w:tcPr>
            <w:tcW w:w="547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563.5%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4" w:right="34"/>
              <w:rPr>
                <w:sz w:val="15"/>
              </w:rPr>
            </w:pPr>
            <w:r>
              <w:rPr>
                <w:sz w:val="15"/>
              </w:rPr>
              <w:t>534%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538.7%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487.7%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487.7%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437" w:type="dxa"/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171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164" w:lineRule="exact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收入客公里</w:t>
            </w:r>
          </w:p>
        </w:tc>
        <w:tc>
          <w:tcPr>
            <w:tcW w:w="705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left="320"/>
              <w:jc w:val="left"/>
              <w:rPr>
                <w:sz w:val="15"/>
              </w:rPr>
            </w:pPr>
            <w:r>
              <w:rPr>
                <w:sz w:val="15"/>
              </w:rPr>
              <w:t>843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left="83"/>
              <w:jc w:val="left"/>
              <w:rPr>
                <w:sz w:val="15"/>
              </w:rPr>
            </w:pPr>
            <w:r>
              <w:rPr>
                <w:sz w:val="15"/>
              </w:rPr>
              <w:t>1,225 1,653 2,200 2,549 3,238 4,061</w:t>
            </w:r>
            <w:r>
              <w:rPr>
                <w:spacing w:val="56"/>
                <w:sz w:val="15"/>
              </w:rPr>
              <w:t xml:space="preserve"> </w:t>
            </w:r>
            <w:r>
              <w:rPr>
                <w:sz w:val="15"/>
              </w:rPr>
              <w:t>4,243</w:t>
            </w:r>
          </w:p>
        </w:tc>
        <w:tc>
          <w:tcPr>
            <w:tcW w:w="565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right="134"/>
              <w:jc w:val="right"/>
              <w:rPr>
                <w:sz w:val="15"/>
              </w:rPr>
            </w:pPr>
            <w:r>
              <w:rPr>
                <w:sz w:val="15"/>
              </w:rPr>
              <w:t>4143</w:t>
            </w:r>
          </w:p>
        </w:tc>
        <w:tc>
          <w:tcPr>
            <w:tcW w:w="547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4,115</w:t>
            </w:r>
          </w:p>
        </w:tc>
        <w:tc>
          <w:tcPr>
            <w:tcW w:w="613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left="14" w:right="34"/>
              <w:rPr>
                <w:sz w:val="15"/>
              </w:rPr>
            </w:pPr>
            <w:r>
              <w:rPr>
                <w:sz w:val="15"/>
              </w:rPr>
              <w:t>3976</w:t>
            </w:r>
          </w:p>
        </w:tc>
        <w:tc>
          <w:tcPr>
            <w:tcW w:w="600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5,067</w:t>
            </w:r>
          </w:p>
        </w:tc>
        <w:tc>
          <w:tcPr>
            <w:tcW w:w="656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5,305</w:t>
            </w:r>
          </w:p>
        </w:tc>
        <w:tc>
          <w:tcPr>
            <w:tcW w:w="661" w:type="dxa"/>
          </w:tcPr>
          <w:p>
            <w:pPr>
              <w:pStyle w:val="TableParagraph"/>
              <w:spacing w:before="17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86" w:lineRule="exact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5,305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1"/>
          <w:jc w:val="left"/>
        </w:trPr>
        <w:tc>
          <w:tcPr>
            <w:tcW w:w="437" w:type="dxa"/>
          </w:tcPr>
          <w:p>
            <w:pPr>
              <w:pStyle w:val="TableParagraph"/>
              <w:spacing w:line="185" w:lineRule="exact"/>
              <w:ind w:left="73" w:right="24"/>
              <w:rPr>
                <w:sz w:val="15"/>
              </w:rPr>
            </w:pPr>
            <w:r>
              <w:rPr>
                <w:sz w:val="15"/>
              </w:rPr>
              <w:t>国际</w:t>
            </w:r>
          </w:p>
        </w:tc>
        <w:tc>
          <w:tcPr>
            <w:tcW w:w="1171" w:type="dxa"/>
          </w:tcPr>
          <w:p>
            <w:pPr>
              <w:pStyle w:val="TableParagraph"/>
              <w:spacing w:before="5"/>
              <w:jc w:val="left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spacing w:line="151" w:lineRule="exact"/>
              <w:ind w:left="4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203.9%</w:t>
            </w:r>
          </w:p>
        </w:tc>
        <w:tc>
          <w:tcPr>
            <w:tcW w:w="3704" w:type="dxa"/>
            <w:gridSpan w:val="7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463.5% 448.1% 554.9% 617.0% 823.1% 896.3% 835.7%</w:t>
            </w:r>
          </w:p>
        </w:tc>
        <w:tc>
          <w:tcPr>
            <w:tcW w:w="565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58"/>
              <w:jc w:val="right"/>
              <w:rPr>
                <w:sz w:val="15"/>
              </w:rPr>
            </w:pPr>
            <w:r>
              <w:rPr>
                <w:sz w:val="15"/>
              </w:rPr>
              <w:t>756.4%</w:t>
            </w:r>
          </w:p>
        </w:tc>
        <w:tc>
          <w:tcPr>
            <w:tcW w:w="547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708.2%</w:t>
            </w:r>
          </w:p>
        </w:tc>
        <w:tc>
          <w:tcPr>
            <w:tcW w:w="613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4" w:right="34"/>
              <w:rPr>
                <w:sz w:val="15"/>
              </w:rPr>
            </w:pPr>
            <w:r>
              <w:rPr>
                <w:sz w:val="15"/>
              </w:rPr>
              <w:t>682%</w:t>
            </w:r>
          </w:p>
        </w:tc>
        <w:tc>
          <w:tcPr>
            <w:tcW w:w="600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654.3%</w:t>
            </w:r>
          </w:p>
        </w:tc>
        <w:tc>
          <w:tcPr>
            <w:tcW w:w="656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529.2%</w:t>
            </w:r>
          </w:p>
        </w:tc>
        <w:tc>
          <w:tcPr>
            <w:tcW w:w="661" w:type="dxa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529.2%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7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72.4%</w:t>
            </w:r>
          </w:p>
        </w:tc>
        <w:tc>
          <w:tcPr>
            <w:tcW w:w="52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63" w:right="43"/>
              <w:rPr>
                <w:sz w:val="15"/>
              </w:rPr>
            </w:pPr>
            <w:r>
              <w:rPr>
                <w:sz w:val="15"/>
              </w:rPr>
              <w:t>72.2%</w:t>
            </w:r>
          </w:p>
        </w:tc>
        <w:tc>
          <w:tcPr>
            <w:tcW w:w="52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3"/>
              <w:jc w:val="right"/>
              <w:rPr>
                <w:sz w:val="15"/>
              </w:rPr>
            </w:pPr>
            <w:r>
              <w:rPr>
                <w:sz w:val="15"/>
              </w:rPr>
              <w:t>74.9%</w:t>
            </w:r>
          </w:p>
        </w:tc>
        <w:tc>
          <w:tcPr>
            <w:tcW w:w="52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84"/>
              <w:jc w:val="right"/>
              <w:rPr>
                <w:sz w:val="15"/>
              </w:rPr>
            </w:pPr>
            <w:r>
              <w:rPr>
                <w:sz w:val="15"/>
              </w:rPr>
              <w:t>75.0%</w:t>
            </w:r>
          </w:p>
        </w:tc>
        <w:tc>
          <w:tcPr>
            <w:tcW w:w="534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28" w:right="56"/>
              <w:rPr>
                <w:sz w:val="15"/>
              </w:rPr>
            </w:pPr>
            <w:r>
              <w:rPr>
                <w:sz w:val="15"/>
              </w:rPr>
              <w:t>76.6%</w:t>
            </w:r>
          </w:p>
        </w:tc>
        <w:tc>
          <w:tcPr>
            <w:tcW w:w="508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35" w:right="58"/>
              <w:rPr>
                <w:sz w:val="15"/>
              </w:rPr>
            </w:pPr>
            <w:r>
              <w:rPr>
                <w:sz w:val="15"/>
              </w:rPr>
              <w:t>82.0%</w:t>
            </w:r>
          </w:p>
        </w:tc>
        <w:tc>
          <w:tcPr>
            <w:tcW w:w="5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83.2%</w:t>
            </w:r>
          </w:p>
        </w:tc>
        <w:tc>
          <w:tcPr>
            <w:tcW w:w="53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85.5%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82.1%</w:t>
            </w:r>
          </w:p>
        </w:tc>
        <w:tc>
          <w:tcPr>
            <w:tcW w:w="547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34" w:right="22"/>
              <w:rPr>
                <w:sz w:val="15"/>
              </w:rPr>
            </w:pPr>
            <w:r>
              <w:rPr>
                <w:sz w:val="15"/>
              </w:rPr>
              <w:t>78.2%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12" w:right="34"/>
              <w:rPr>
                <w:sz w:val="15"/>
              </w:rPr>
            </w:pPr>
            <w:r>
              <w:rPr>
                <w:sz w:val="15"/>
              </w:rPr>
              <w:t>75.6%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77.2%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right="148"/>
              <w:jc w:val="right"/>
              <w:rPr>
                <w:sz w:val="15"/>
              </w:rPr>
            </w:pPr>
            <w:r>
              <w:rPr>
                <w:sz w:val="15"/>
              </w:rPr>
              <w:t>77.5%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ind w:left="136"/>
              <w:jc w:val="left"/>
              <w:rPr>
                <w:sz w:val="15"/>
              </w:rPr>
            </w:pPr>
            <w:r>
              <w:rPr>
                <w:sz w:val="15"/>
              </w:rPr>
              <w:t>77.5%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6"/>
          <w:jc w:val="left"/>
        </w:trPr>
        <w:tc>
          <w:tcPr>
            <w:tcW w:w="1608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94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81"/>
              <w:jc w:val="right"/>
              <w:rPr>
                <w:sz w:val="15"/>
              </w:rPr>
            </w:pPr>
            <w:r>
              <w:rPr>
                <w:sz w:val="15"/>
              </w:rPr>
              <w:t>21.4%</w:t>
            </w:r>
          </w:p>
        </w:tc>
        <w:tc>
          <w:tcPr>
            <w:tcW w:w="52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63" w:right="43"/>
              <w:rPr>
                <w:sz w:val="15"/>
              </w:rPr>
            </w:pPr>
            <w:r>
              <w:rPr>
                <w:sz w:val="15"/>
              </w:rPr>
              <w:t>18.8%</w:t>
            </w:r>
          </w:p>
        </w:tc>
        <w:tc>
          <w:tcPr>
            <w:tcW w:w="52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83"/>
              <w:jc w:val="right"/>
              <w:rPr>
                <w:sz w:val="15"/>
              </w:rPr>
            </w:pPr>
            <w:r>
              <w:rPr>
                <w:sz w:val="15"/>
              </w:rPr>
              <w:t>16.9%</w:t>
            </w:r>
          </w:p>
        </w:tc>
        <w:tc>
          <w:tcPr>
            <w:tcW w:w="52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84"/>
              <w:jc w:val="right"/>
              <w:rPr>
                <w:sz w:val="15"/>
              </w:rPr>
            </w:pPr>
            <w:r>
              <w:rPr>
                <w:sz w:val="15"/>
              </w:rPr>
              <w:t>11.3%</w:t>
            </w:r>
          </w:p>
        </w:tc>
        <w:tc>
          <w:tcPr>
            <w:tcW w:w="53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31" w:right="56"/>
              <w:rPr>
                <w:sz w:val="15"/>
              </w:rPr>
            </w:pPr>
            <w:r>
              <w:rPr>
                <w:sz w:val="15"/>
              </w:rPr>
              <w:t>9.5%</w:t>
            </w:r>
          </w:p>
        </w:tc>
        <w:tc>
          <w:tcPr>
            <w:tcW w:w="50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35" w:right="58"/>
              <w:rPr>
                <w:sz w:val="15"/>
              </w:rPr>
            </w:pPr>
            <w:r>
              <w:rPr>
                <w:sz w:val="15"/>
              </w:rPr>
              <w:t>19.8%</w:t>
            </w:r>
          </w:p>
        </w:tc>
        <w:tc>
          <w:tcPr>
            <w:tcW w:w="5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14.9%</w:t>
            </w:r>
          </w:p>
        </w:tc>
        <w:tc>
          <w:tcPr>
            <w:tcW w:w="53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93"/>
              <w:jc w:val="right"/>
              <w:rPr>
                <w:sz w:val="15"/>
              </w:rPr>
            </w:pPr>
            <w:r>
              <w:rPr>
                <w:sz w:val="15"/>
              </w:rPr>
              <w:t>20.4%</w:t>
            </w:r>
          </w:p>
        </w:tc>
        <w:tc>
          <w:tcPr>
            <w:tcW w:w="56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97"/>
              <w:jc w:val="right"/>
              <w:rPr>
                <w:sz w:val="15"/>
              </w:rPr>
            </w:pPr>
            <w:r>
              <w:rPr>
                <w:sz w:val="15"/>
              </w:rPr>
              <w:t>20.6%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34" w:right="22"/>
              <w:rPr>
                <w:sz w:val="15"/>
              </w:rPr>
            </w:pPr>
            <w:r>
              <w:rPr>
                <w:sz w:val="15"/>
              </w:rPr>
              <w:t>14.0%</w:t>
            </w:r>
          </w:p>
        </w:tc>
        <w:tc>
          <w:tcPr>
            <w:tcW w:w="61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12" w:right="34"/>
              <w:rPr>
                <w:sz w:val="15"/>
              </w:rPr>
            </w:pPr>
            <w:r>
              <w:rPr>
                <w:sz w:val="15"/>
              </w:rPr>
              <w:t>14%</w:t>
            </w:r>
          </w:p>
        </w:tc>
        <w:tc>
          <w:tcPr>
            <w:tcW w:w="60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right="140"/>
              <w:jc w:val="right"/>
              <w:rPr>
                <w:sz w:val="15"/>
              </w:rPr>
            </w:pPr>
            <w:r>
              <w:rPr>
                <w:sz w:val="15"/>
              </w:rPr>
              <w:t>11.8%</w:t>
            </w:r>
          </w:p>
        </w:tc>
        <w:tc>
          <w:tcPr>
            <w:tcW w:w="65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166"/>
              <w:jc w:val="left"/>
              <w:rPr>
                <w:sz w:val="15"/>
              </w:rPr>
            </w:pPr>
            <w:r>
              <w:rPr>
                <w:sz w:val="15"/>
              </w:rPr>
              <w:t>5.1%</w:t>
            </w:r>
          </w:p>
        </w:tc>
        <w:tc>
          <w:tcPr>
            <w:tcW w:w="66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72"/>
              <w:ind w:left="172"/>
              <w:jc w:val="left"/>
              <w:rPr>
                <w:sz w:val="15"/>
              </w:rPr>
            </w:pPr>
            <w:r>
              <w:rPr>
                <w:sz w:val="15"/>
              </w:rPr>
              <w:t>5.1%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3"/>
          <w:jc w:val="left"/>
        </w:trPr>
        <w:tc>
          <w:tcPr>
            <w:tcW w:w="1608" w:type="dxa"/>
            <w:gridSpan w:val="2"/>
            <w:tcBorders>
              <w:top w:val="single" w:sz="4" w:space="0" w:color="044E7D"/>
            </w:tcBorders>
          </w:tcPr>
          <w:p>
            <w:pPr>
              <w:pStyle w:val="TableParagraph"/>
              <w:spacing w:before="82"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70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320"/>
              <w:jc w:val="left"/>
              <w:rPr>
                <w:sz w:val="15"/>
              </w:rPr>
            </w:pPr>
            <w:r>
              <w:rPr>
                <w:sz w:val="15"/>
              </w:rPr>
              <w:t>108</w:t>
            </w:r>
          </w:p>
        </w:tc>
        <w:tc>
          <w:tcPr>
            <w:tcW w:w="52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63" w:right="43"/>
              <w:rPr>
                <w:sz w:val="15"/>
              </w:rPr>
            </w:pPr>
            <w:r>
              <w:rPr>
                <w:sz w:val="15"/>
              </w:rPr>
              <w:t>125</w:t>
            </w:r>
          </w:p>
        </w:tc>
        <w:tc>
          <w:tcPr>
            <w:tcW w:w="52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right="159"/>
              <w:jc w:val="right"/>
              <w:rPr>
                <w:sz w:val="15"/>
              </w:rPr>
            </w:pPr>
            <w:r>
              <w:rPr>
                <w:sz w:val="15"/>
              </w:rPr>
              <w:t>164</w:t>
            </w:r>
          </w:p>
        </w:tc>
        <w:tc>
          <w:tcPr>
            <w:tcW w:w="52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38"/>
              <w:jc w:val="left"/>
              <w:rPr>
                <w:sz w:val="15"/>
              </w:rPr>
            </w:pPr>
            <w:r>
              <w:rPr>
                <w:sz w:val="15"/>
              </w:rPr>
              <w:t>209</w:t>
            </w:r>
          </w:p>
        </w:tc>
        <w:tc>
          <w:tcPr>
            <w:tcW w:w="53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28" w:right="56"/>
              <w:rPr>
                <w:sz w:val="15"/>
              </w:rPr>
            </w:pPr>
            <w:r>
              <w:rPr>
                <w:sz w:val="15"/>
              </w:rPr>
              <w:t>209</w:t>
            </w:r>
          </w:p>
        </w:tc>
        <w:tc>
          <w:tcPr>
            <w:tcW w:w="50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35" w:right="58"/>
              <w:rPr>
                <w:sz w:val="15"/>
              </w:rPr>
            </w:pPr>
            <w:r>
              <w:rPr>
                <w:sz w:val="15"/>
              </w:rPr>
              <w:t>209</w:t>
            </w:r>
          </w:p>
        </w:tc>
        <w:tc>
          <w:tcPr>
            <w:tcW w:w="55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50"/>
              <w:jc w:val="left"/>
              <w:rPr>
                <w:sz w:val="15"/>
              </w:rPr>
            </w:pPr>
            <w:r>
              <w:rPr>
                <w:sz w:val="15"/>
              </w:rPr>
              <w:t>220</w:t>
            </w:r>
          </w:p>
        </w:tc>
        <w:tc>
          <w:tcPr>
            <w:tcW w:w="53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39"/>
              <w:jc w:val="left"/>
              <w:rPr>
                <w:sz w:val="15"/>
              </w:rPr>
            </w:pPr>
            <w:r>
              <w:rPr>
                <w:sz w:val="15"/>
              </w:rPr>
              <w:t>229</w:t>
            </w:r>
          </w:p>
        </w:tc>
        <w:tc>
          <w:tcPr>
            <w:tcW w:w="56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64"/>
              <w:jc w:val="left"/>
              <w:rPr>
                <w:sz w:val="15"/>
              </w:rPr>
            </w:pPr>
            <w:r>
              <w:rPr>
                <w:sz w:val="15"/>
              </w:rPr>
              <w:t>218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244</w:t>
            </w:r>
          </w:p>
        </w:tc>
        <w:tc>
          <w:tcPr>
            <w:tcW w:w="61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2" w:right="34"/>
              <w:rPr>
                <w:sz w:val="15"/>
              </w:rPr>
            </w:pPr>
            <w:r>
              <w:rPr>
                <w:sz w:val="15"/>
              </w:rPr>
              <w:t>240</w:t>
            </w:r>
          </w:p>
        </w:tc>
        <w:tc>
          <w:tcPr>
            <w:tcW w:w="60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156"/>
              <w:jc w:val="left"/>
              <w:rPr>
                <w:sz w:val="15"/>
              </w:rPr>
            </w:pPr>
            <w:r>
              <w:rPr>
                <w:sz w:val="15"/>
              </w:rPr>
              <w:t>261</w:t>
            </w:r>
          </w:p>
        </w:tc>
        <w:tc>
          <w:tcPr>
            <w:tcW w:w="65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204"/>
              <w:jc w:val="left"/>
              <w:rPr>
                <w:sz w:val="15"/>
              </w:rPr>
            </w:pPr>
            <w:r>
              <w:rPr>
                <w:sz w:val="15"/>
              </w:rPr>
              <w:t>243</w:t>
            </w:r>
          </w:p>
        </w:tc>
        <w:tc>
          <w:tcPr>
            <w:tcW w:w="66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73" w:lineRule="exact"/>
              <w:ind w:left="210"/>
              <w:jc w:val="left"/>
              <w:rPr>
                <w:sz w:val="15"/>
              </w:rPr>
            </w:pPr>
            <w:r>
              <w:rPr>
                <w:sz w:val="15"/>
              </w:rPr>
              <w:t>243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spacing w:before="2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284.0%</w:t>
            </w:r>
          </w:p>
        </w:tc>
        <w:tc>
          <w:tcPr>
            <w:tcW w:w="3168" w:type="dxa"/>
            <w:gridSpan w:val="6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380.0%</w:t>
            </w:r>
            <w:r>
              <w:rPr>
                <w:spacing w:val="-33"/>
                <w:sz w:val="15"/>
              </w:rPr>
              <w:t xml:space="preserve"> </w:t>
            </w:r>
            <w:r>
              <w:rPr>
                <w:sz w:val="15"/>
              </w:rPr>
              <w:t>478.4%</w:t>
            </w:r>
            <w:r>
              <w:rPr>
                <w:spacing w:val="-41"/>
                <w:sz w:val="15"/>
              </w:rPr>
              <w:t xml:space="preserve"> </w:t>
            </w:r>
            <w:r>
              <w:rPr>
                <w:sz w:val="15"/>
              </w:rPr>
              <w:t>1464.0%1956.4%1647.2%1153.3%</w:t>
            </w:r>
          </w:p>
        </w:tc>
        <w:tc>
          <w:tcPr>
            <w:tcW w:w="1648" w:type="dxa"/>
            <w:gridSpan w:val="3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64"/>
              <w:jc w:val="left"/>
              <w:rPr>
                <w:sz w:val="15"/>
              </w:rPr>
            </w:pPr>
            <w:r>
              <w:rPr>
                <w:sz w:val="15"/>
              </w:rPr>
              <w:t>805.6% 1056.7% 312.5%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14" w:right="34"/>
              <w:rPr>
                <w:sz w:val="15"/>
              </w:rPr>
            </w:pPr>
            <w:r>
              <w:rPr>
                <w:sz w:val="15"/>
              </w:rPr>
              <w:t>293%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102"/>
              <w:jc w:val="right"/>
              <w:rPr>
                <w:sz w:val="15"/>
              </w:rPr>
            </w:pPr>
            <w:r>
              <w:rPr>
                <w:sz w:val="15"/>
              </w:rPr>
              <w:t>251.0%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right="110"/>
              <w:jc w:val="right"/>
              <w:rPr>
                <w:sz w:val="15"/>
              </w:rPr>
            </w:pPr>
            <w:r>
              <w:rPr>
                <w:sz w:val="15"/>
              </w:rPr>
              <w:t>125.5%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5" w:lineRule="exact"/>
              <w:ind w:left="98"/>
              <w:jc w:val="left"/>
              <w:rPr>
                <w:sz w:val="15"/>
              </w:rPr>
            </w:pPr>
            <w:r>
              <w:rPr>
                <w:sz w:val="15"/>
              </w:rPr>
              <w:t>125.5%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5"/>
          <w:jc w:val="left"/>
        </w:trPr>
        <w:tc>
          <w:tcPr>
            <w:tcW w:w="1608" w:type="dxa"/>
            <w:gridSpan w:val="2"/>
          </w:tcPr>
          <w:p>
            <w:pPr>
              <w:pStyle w:val="TableParagraph"/>
              <w:jc w:val="left"/>
              <w:rPr>
                <w:rFonts w:ascii="Microsoft JhengHei"/>
                <w:b/>
                <w:sz w:val="10"/>
              </w:rPr>
            </w:pPr>
          </w:p>
          <w:p>
            <w:pPr>
              <w:pStyle w:val="TableParagraph"/>
              <w:spacing w:line="151" w:lineRule="exact"/>
              <w:ind w:left="478"/>
              <w:jc w:val="left"/>
              <w:rPr>
                <w:sz w:val="15"/>
              </w:rPr>
            </w:pPr>
            <w:r>
              <w:rPr>
                <w:sz w:val="15"/>
              </w:rPr>
              <w:t>收入客公里</w:t>
            </w:r>
          </w:p>
        </w:tc>
        <w:tc>
          <w:tcPr>
            <w:tcW w:w="70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358"/>
              <w:jc w:val="left"/>
              <w:rPr>
                <w:sz w:val="15"/>
              </w:rPr>
            </w:pPr>
            <w:r>
              <w:rPr>
                <w:sz w:val="15"/>
              </w:rPr>
              <w:t>67</w:t>
            </w:r>
          </w:p>
        </w:tc>
        <w:tc>
          <w:tcPr>
            <w:tcW w:w="52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62" w:right="43"/>
              <w:rPr>
                <w:sz w:val="15"/>
              </w:rPr>
            </w:pPr>
            <w:r>
              <w:rPr>
                <w:sz w:val="15"/>
              </w:rPr>
              <w:t>87</w:t>
            </w:r>
          </w:p>
        </w:tc>
        <w:tc>
          <w:tcPr>
            <w:tcW w:w="52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right="159"/>
              <w:jc w:val="right"/>
              <w:rPr>
                <w:sz w:val="15"/>
              </w:rPr>
            </w:pPr>
            <w:r>
              <w:rPr>
                <w:sz w:val="15"/>
              </w:rPr>
              <w:t>125</w:t>
            </w:r>
          </w:p>
        </w:tc>
        <w:tc>
          <w:tcPr>
            <w:tcW w:w="52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38"/>
              <w:jc w:val="left"/>
              <w:rPr>
                <w:sz w:val="15"/>
              </w:rPr>
            </w:pPr>
            <w:r>
              <w:rPr>
                <w:sz w:val="15"/>
              </w:rPr>
              <w:t>151</w:t>
            </w:r>
          </w:p>
        </w:tc>
        <w:tc>
          <w:tcPr>
            <w:tcW w:w="534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28" w:right="56"/>
              <w:rPr>
                <w:sz w:val="15"/>
              </w:rPr>
            </w:pPr>
            <w:r>
              <w:rPr>
                <w:sz w:val="15"/>
              </w:rPr>
              <w:t>156</w:t>
            </w:r>
          </w:p>
        </w:tc>
        <w:tc>
          <w:tcPr>
            <w:tcW w:w="508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35" w:right="58"/>
              <w:rPr>
                <w:sz w:val="15"/>
              </w:rPr>
            </w:pPr>
            <w:r>
              <w:rPr>
                <w:sz w:val="15"/>
              </w:rPr>
              <w:t>162</w:t>
            </w:r>
          </w:p>
        </w:tc>
        <w:tc>
          <w:tcPr>
            <w:tcW w:w="5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50"/>
              <w:jc w:val="left"/>
              <w:rPr>
                <w:sz w:val="15"/>
              </w:rPr>
            </w:pPr>
            <w:r>
              <w:rPr>
                <w:sz w:val="15"/>
              </w:rPr>
              <w:t>183</w:t>
            </w:r>
          </w:p>
        </w:tc>
        <w:tc>
          <w:tcPr>
            <w:tcW w:w="53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39"/>
              <w:jc w:val="left"/>
              <w:rPr>
                <w:sz w:val="15"/>
              </w:rPr>
            </w:pPr>
            <w:r>
              <w:rPr>
                <w:sz w:val="15"/>
              </w:rPr>
              <w:t>192</w:t>
            </w:r>
          </w:p>
        </w:tc>
        <w:tc>
          <w:tcPr>
            <w:tcW w:w="565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64"/>
              <w:jc w:val="left"/>
              <w:rPr>
                <w:sz w:val="15"/>
              </w:rPr>
            </w:pPr>
            <w:r>
              <w:rPr>
                <w:sz w:val="15"/>
              </w:rPr>
              <w:t>159</w:t>
            </w:r>
          </w:p>
        </w:tc>
        <w:tc>
          <w:tcPr>
            <w:tcW w:w="547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34" w:right="22"/>
              <w:rPr>
                <w:sz w:val="15"/>
              </w:rPr>
            </w:pPr>
            <w:r>
              <w:rPr>
                <w:sz w:val="15"/>
              </w:rPr>
              <w:t>171</w:t>
            </w:r>
          </w:p>
        </w:tc>
        <w:tc>
          <w:tcPr>
            <w:tcW w:w="613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2" w:right="34"/>
              <w:rPr>
                <w:sz w:val="15"/>
              </w:rPr>
            </w:pPr>
            <w:r>
              <w:rPr>
                <w:sz w:val="15"/>
              </w:rPr>
              <w:t>166</w:t>
            </w:r>
          </w:p>
        </w:tc>
        <w:tc>
          <w:tcPr>
            <w:tcW w:w="600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156"/>
              <w:jc w:val="left"/>
              <w:rPr>
                <w:sz w:val="15"/>
              </w:rPr>
            </w:pPr>
            <w:r>
              <w:rPr>
                <w:sz w:val="15"/>
              </w:rPr>
              <w:t>187</w:t>
            </w:r>
          </w:p>
        </w:tc>
        <w:tc>
          <w:tcPr>
            <w:tcW w:w="656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204"/>
              <w:jc w:val="left"/>
              <w:rPr>
                <w:sz w:val="15"/>
              </w:rPr>
            </w:pPr>
            <w:r>
              <w:rPr>
                <w:sz w:val="15"/>
              </w:rPr>
              <w:t>182</w:t>
            </w:r>
          </w:p>
        </w:tc>
        <w:tc>
          <w:tcPr>
            <w:tcW w:w="661" w:type="dxa"/>
          </w:tcPr>
          <w:p>
            <w:pPr>
              <w:pStyle w:val="TableParagraph"/>
              <w:spacing w:before="15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73" w:lineRule="exact"/>
              <w:ind w:left="210"/>
              <w:jc w:val="left"/>
              <w:rPr>
                <w:sz w:val="15"/>
              </w:rPr>
            </w:pPr>
            <w:r>
              <w:rPr>
                <w:sz w:val="15"/>
              </w:rPr>
              <w:t>182</w:t>
            </w:r>
          </w:p>
        </w:tc>
      </w:tr>
      <w:tr>
        <w:tblPrEx>
          <w:tblW w:w="0" w:type="auto"/>
          <w:jc w:val="left"/>
          <w:tblInd w:w="1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7"/>
          <w:jc w:val="left"/>
        </w:trPr>
        <w:tc>
          <w:tcPr>
            <w:tcW w:w="437" w:type="dxa"/>
          </w:tcPr>
          <w:p>
            <w:pPr>
              <w:pStyle w:val="TableParagraph"/>
              <w:spacing w:before="6" w:line="151" w:lineRule="exact"/>
              <w:ind w:left="73" w:right="24"/>
              <w:rPr>
                <w:sz w:val="15"/>
              </w:rPr>
            </w:pPr>
            <w:r>
              <w:rPr>
                <w:sz w:val="15"/>
              </w:rPr>
              <w:t>地区</w:t>
            </w:r>
          </w:p>
        </w:tc>
        <w:tc>
          <w:tcPr>
            <w:tcW w:w="11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3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0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3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6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13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0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56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tabs>
          <w:tab w:val="left" w:pos="1940"/>
          <w:tab w:val="left" w:pos="7910"/>
          <w:tab w:val="left" w:pos="9221"/>
        </w:tabs>
        <w:spacing w:before="0"/>
        <w:ind w:left="603" w:right="0" w:firstLine="0"/>
        <w:jc w:val="left"/>
        <w:rPr>
          <w:sz w:val="15"/>
        </w:rPr>
      </w:pPr>
      <w:r>
        <w:rPr>
          <w:position w:val="-1"/>
          <w:sz w:val="15"/>
        </w:rPr>
        <w:t>增速</w:t>
        <w:tab/>
      </w:r>
      <w:r>
        <w:rPr>
          <w:sz w:val="15"/>
        </w:rPr>
        <w:t>585.7%</w:t>
      </w:r>
      <w:r>
        <w:rPr>
          <w:spacing w:val="11"/>
          <w:sz w:val="15"/>
        </w:rPr>
        <w:t xml:space="preserve"> </w:t>
      </w:r>
      <w:r>
        <w:rPr>
          <w:sz w:val="15"/>
        </w:rPr>
        <w:t>686.7%</w:t>
      </w:r>
      <w:r>
        <w:rPr>
          <w:spacing w:val="-64"/>
          <w:sz w:val="15"/>
        </w:rPr>
        <w:t xml:space="preserve"> </w:t>
      </w:r>
      <w:r>
        <w:rPr>
          <w:sz w:val="15"/>
        </w:rPr>
        <w:t>1816.8%2794.4%3030.3%2104.8%1382.6%</w:t>
      </w:r>
      <w:r>
        <w:rPr>
          <w:spacing w:val="-58"/>
          <w:sz w:val="15"/>
        </w:rPr>
        <w:t xml:space="preserve"> </w:t>
      </w:r>
      <w:r>
        <w:rPr>
          <w:sz w:val="15"/>
        </w:rPr>
        <w:t>1254.2%</w:t>
      </w:r>
      <w:r>
        <w:rPr>
          <w:spacing w:val="-39"/>
          <w:sz w:val="15"/>
        </w:rPr>
        <w:t xml:space="preserve"> </w:t>
      </w:r>
      <w:r>
        <w:rPr>
          <w:sz w:val="15"/>
        </w:rPr>
        <w:t>1059.7%</w:t>
      </w:r>
      <w:r>
        <w:rPr>
          <w:spacing w:val="-3"/>
          <w:sz w:val="15"/>
        </w:rPr>
        <w:t xml:space="preserve"> </w:t>
      </w:r>
      <w:r>
        <w:rPr>
          <w:sz w:val="15"/>
        </w:rPr>
        <w:t xml:space="preserve">601.9% </w:t>
      </w:r>
      <w:r>
        <w:rPr>
          <w:spacing w:val="29"/>
          <w:sz w:val="15"/>
        </w:rPr>
        <w:t xml:space="preserve"> </w:t>
      </w:r>
      <w:r>
        <w:rPr>
          <w:sz w:val="15"/>
        </w:rPr>
        <w:t>561%</w:t>
        <w:tab/>
        <w:t xml:space="preserve">522.0% </w:t>
      </w:r>
      <w:r>
        <w:rPr>
          <w:spacing w:val="45"/>
          <w:sz w:val="15"/>
        </w:rPr>
        <w:t xml:space="preserve"> </w:t>
      </w:r>
      <w:r>
        <w:rPr>
          <w:sz w:val="15"/>
        </w:rPr>
        <w:t>173.1%</w:t>
        <w:tab/>
        <w:t>173.1%</w:t>
      </w:r>
    </w:p>
    <w:p>
      <w:pPr>
        <w:tabs>
          <w:tab w:val="left" w:pos="1940"/>
          <w:tab w:val="left" w:pos="7949"/>
          <w:tab w:val="left" w:pos="8597"/>
          <w:tab w:val="left" w:pos="9259"/>
        </w:tabs>
        <w:spacing w:before="143"/>
        <w:ind w:left="603" w:right="0" w:firstLine="0"/>
        <w:jc w:val="left"/>
        <w:rPr>
          <w:sz w:val="15"/>
        </w:rPr>
      </w:pPr>
      <w:r>
        <w:rPr>
          <w:position w:val="-1"/>
          <w:sz w:val="15"/>
        </w:rPr>
        <w:t>客座率</w:t>
        <w:tab/>
      </w:r>
      <w:r>
        <w:rPr>
          <w:sz w:val="15"/>
        </w:rPr>
        <w:t>21,616 22,102 23,232 24,909 26,253 25,933 30,549  84.0%   72.8%</w:t>
      </w:r>
      <w:r>
        <w:rPr>
          <w:spacing w:val="30"/>
          <w:sz w:val="15"/>
        </w:rPr>
        <w:t xml:space="preserve"> </w:t>
      </w:r>
      <w:r>
        <w:rPr>
          <w:sz w:val="15"/>
        </w:rPr>
        <w:t xml:space="preserve">70.3% </w:t>
      </w:r>
      <w:r>
        <w:rPr>
          <w:spacing w:val="35"/>
          <w:sz w:val="15"/>
        </w:rPr>
        <w:t xml:space="preserve"> </w:t>
      </w:r>
      <w:r>
        <w:rPr>
          <w:sz w:val="15"/>
        </w:rPr>
        <w:t>69.1%</w:t>
        <w:tab/>
        <w:t>71.7%</w:t>
        <w:tab/>
        <w:t>74.9%</w:t>
        <w:tab/>
        <w:t>74.9%</w:t>
      </w:r>
    </w:p>
    <w:p>
      <w:pPr>
        <w:tabs>
          <w:tab w:val="left" w:pos="1978"/>
          <w:tab w:val="left" w:pos="7949"/>
          <w:tab w:val="left" w:pos="8597"/>
          <w:tab w:val="left" w:pos="9259"/>
        </w:tabs>
        <w:spacing w:before="145"/>
        <w:ind w:left="603" w:right="0" w:firstLine="0"/>
        <w:jc w:val="left"/>
        <w:rPr>
          <w:sz w:val="15"/>
        </w:rPr>
      </w:pPr>
      <w:r>
        <w:pict>
          <v:group id="_x0000_s1106" style="width:482.05pt;height:1pt;margin-top:21.95pt;margin-left:56.64pt;mso-position-horizontal-relative:page;mso-wrap-distance-left:0;mso-wrap-distance-right:0;position:absolute;z-index:-251624448" coordorigin="1133,439" coordsize="9641,20">
            <v:line id="_x0000_s1107" style="position:absolute" from="1133,449" to="1601,449" stroked="t" strokecolor="#044e7d" strokeweight="0.96pt">
              <v:stroke dashstyle="solid"/>
            </v:line>
            <v:rect id="_x0000_s1108" style="width:20;height:20;left:1601;position:absolute;top:439" filled="t" fillcolor="#044e7d" stroked="f">
              <v:fill type="solid"/>
            </v:rect>
            <v:line id="_x0000_s1109" style="position:absolute" from="1620,449" to="2864,449" stroked="t" strokecolor="#044e7d" strokeweight="0.96pt">
              <v:stroke dashstyle="solid"/>
            </v:line>
            <v:rect id="_x0000_s1110" style="width:20;height:20;left:2863;position:absolute;top:439" filled="t" fillcolor="#044e7d" stroked="f">
              <v:fill type="solid"/>
            </v:rect>
            <v:line id="_x0000_s1111" style="position:absolute" from="2883,449" to="3471,449" stroked="t" strokecolor="#044e7d" strokeweight="0.96pt">
              <v:stroke dashstyle="solid"/>
            </v:line>
            <v:rect id="_x0000_s1112" style="width:20;height:20;left:3470;position:absolute;top:439" filled="t" fillcolor="#044e7d" stroked="f">
              <v:fill type="solid"/>
            </v:rect>
            <v:line id="_x0000_s1113" style="position:absolute" from="3490,449" to="3946,449" stroked="t" strokecolor="#044e7d" strokeweight="0.96pt">
              <v:stroke dashstyle="solid"/>
            </v:line>
            <v:rect id="_x0000_s1114" style="width:20;height:20;left:3946;position:absolute;top:439" filled="t" fillcolor="#044e7d" stroked="f">
              <v:fill type="solid"/>
            </v:rect>
            <v:line id="_x0000_s1115" style="position:absolute" from="3966,449" to="4470,449" stroked="t" strokecolor="#044e7d" strokeweight="0.96pt">
              <v:stroke dashstyle="solid"/>
            </v:line>
            <v:rect id="_x0000_s1116" style="width:20;height:20;left:4469;position:absolute;top:439" filled="t" fillcolor="#044e7d" stroked="f">
              <v:fill type="solid"/>
            </v:rect>
            <v:line id="_x0000_s1117" style="position:absolute" from="4489,449" to="4995,449" stroked="t" strokecolor="#044e7d" strokeweight="0.96pt">
              <v:stroke dashstyle="solid"/>
            </v:line>
            <v:rect id="_x0000_s1118" style="width:20;height:20;left:4995;position:absolute;top:439" filled="t" fillcolor="#044e7d" stroked="f">
              <v:fill type="solid"/>
            </v:rect>
            <v:line id="_x0000_s1119" style="position:absolute" from="5015,449" to="5521,449" stroked="t" strokecolor="#044e7d" strokeweight="0.96pt">
              <v:stroke dashstyle="solid"/>
            </v:line>
            <v:rect id="_x0000_s1120" style="width:20;height:20;left:5521;position:absolute;top:439" filled="t" fillcolor="#044e7d" stroked="f">
              <v:fill type="solid"/>
            </v:rect>
            <v:line id="_x0000_s1121" style="position:absolute" from="5540,449" to="6047,449" stroked="t" strokecolor="#044e7d" strokeweight="0.96pt">
              <v:stroke dashstyle="solid"/>
            </v:line>
            <v:rect id="_x0000_s1122" style="width:20;height:20;left:6046;position:absolute;top:439" filled="t" fillcolor="#044e7d" stroked="f">
              <v:fill type="solid"/>
            </v:rect>
            <v:line id="_x0000_s1123" style="position:absolute" from="6066,449" to="6580,449" stroked="t" strokecolor="#044e7d" strokeweight="0.96pt">
              <v:stroke dashstyle="solid"/>
            </v:line>
            <v:rect id="_x0000_s1124" style="width:20;height:20;left:6579;position:absolute;top:439" filled="t" fillcolor="#044e7d" stroked="f">
              <v:fill type="solid"/>
            </v:rect>
            <v:line id="_x0000_s1125" style="position:absolute" from="6599,449" to="7137,449" stroked="t" strokecolor="#044e7d" strokeweight="0.96pt">
              <v:stroke dashstyle="solid"/>
            </v:line>
            <v:rect id="_x0000_s1126" style="width:20;height:20;left:7136;position:absolute;top:439" filled="t" fillcolor="#044e7d" stroked="f">
              <v:fill type="solid"/>
            </v:rect>
            <v:line id="_x0000_s1127" style="position:absolute" from="7156,449" to="7701,449" stroked="t" strokecolor="#044e7d" strokeweight="0.96pt">
              <v:stroke dashstyle="solid"/>
            </v:line>
            <v:rect id="_x0000_s1128" style="width:20;height:20;left:7700;position:absolute;top:439" filled="t" fillcolor="#044e7d" stroked="f">
              <v:fill type="solid"/>
            </v:rect>
            <v:line id="_x0000_s1129" style="position:absolute" from="7720,449" to="8274,449" stroked="t" strokecolor="#044e7d" strokeweight="0.96pt">
              <v:stroke dashstyle="solid"/>
            </v:line>
            <v:line id="_x0000_s1130" style="position:absolute" from="8274,444" to="8824,444" stroked="t" strokecolor="black" strokeweight="0.48pt">
              <v:stroke dashstyle="solid"/>
            </v:line>
            <v:rect id="_x0000_s1131" style="width:10;height:10;left:8824;position:absolute;top:439" filled="t" fillcolor="black" stroked="f">
              <v:fill type="solid"/>
            </v:rect>
            <v:line id="_x0000_s1132" style="position:absolute" from="8834,444" to="9451,444" stroked="t" strokecolor="black" strokeweight="0.48pt">
              <v:stroke dashstyle="solid"/>
            </v:line>
            <v:rect id="_x0000_s1133" style="width:10;height:10;left:9450;position:absolute;top:439" filled="t" fillcolor="black" stroked="f">
              <v:fill type="solid"/>
            </v:rect>
            <v:line id="_x0000_s1134" style="position:absolute" from="9460,444" to="10116,444" stroked="t" strokecolor="black" strokeweight="0.48pt">
              <v:stroke dashstyle="solid"/>
            </v:line>
            <v:rect id="_x0000_s1135" style="width:10;height:10;left:10115;position:absolute;top:439" filled="t" fillcolor="black" stroked="f">
              <v:fill type="solid"/>
            </v:rect>
            <v:line id="_x0000_s1136" style="position:absolute" from="10125,444" to="10773,444" stroked="t" strokecolor="black" strokeweight="0.48pt">
              <v:stroke dashstyle="solid"/>
            </v:line>
            <w10:wrap type="topAndBottom"/>
          </v:group>
        </w:pict>
      </w:r>
      <w:r>
        <w:rPr>
          <w:position w:val="-1"/>
          <w:sz w:val="15"/>
        </w:rPr>
        <w:t>增速</w:t>
        <w:tab/>
      </w:r>
      <w:r>
        <w:rPr>
          <w:sz w:val="15"/>
        </w:rPr>
        <w:t>25.4%  27.5% 128.7% 285.6% 181.1%  78.6%  51.7%  27.8%   35.4%</w:t>
      </w:r>
      <w:r>
        <w:rPr>
          <w:spacing w:val="66"/>
          <w:sz w:val="15"/>
        </w:rPr>
        <w:t xml:space="preserve"> </w:t>
      </w:r>
      <w:r>
        <w:rPr>
          <w:sz w:val="15"/>
        </w:rPr>
        <w:t xml:space="preserve">29.0% </w:t>
      </w:r>
      <w:r>
        <w:rPr>
          <w:spacing w:val="34"/>
          <w:sz w:val="15"/>
        </w:rPr>
        <w:t xml:space="preserve"> </w:t>
      </w:r>
      <w:r>
        <w:rPr>
          <w:sz w:val="15"/>
        </w:rPr>
        <w:t>27.9%</w:t>
        <w:tab/>
        <w:t>31.2%</w:t>
        <w:tab/>
        <w:t>13.1%</w:t>
        <w:tab/>
        <w:t>13.1%</w:t>
      </w:r>
    </w:p>
    <w:p>
      <w:pPr>
        <w:spacing w:before="16"/>
        <w:ind w:left="128" w:right="0" w:firstLine="0"/>
        <w:jc w:val="left"/>
        <w:rPr>
          <w:sz w:val="17"/>
        </w:rPr>
      </w:pPr>
      <w:r>
        <w:t xml:space="preserve">资料来源：公司公告，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18"/>
        </w:rPr>
      </w:pPr>
      <w:r>
        <w:pict>
          <v:shape id="_x0000_s1137" style="width:482.25pt;height:0.1pt;margin-top:13.93pt;margin-left:56.55pt;mso-position-horizontal-relative:page;mso-wrap-distance-left:0;mso-wrap-distance-right:0;position:absolute;z-index:-251623424" coordorigin="1131,279" coordsize="9645,0" path="m1131,279l10776,279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8"/>
        </w:rPr>
        <w:sectPr>
          <w:headerReference w:type="default" r:id="rId34"/>
          <w:footerReference w:type="default" r:id="rId35"/>
          <w:pgSz w:w="11910" w:h="16840"/>
          <w:pgMar w:top="1660" w:right="0" w:bottom="920" w:left="1000" w:header="708" w:footer="708"/>
          <w:pgNumType w:start="14"/>
          <w:cols w:space="708"/>
        </w:sectPr>
      </w:pPr>
    </w:p>
    <w:p>
      <w:pPr>
        <w:spacing w:before="89"/>
        <w:ind w:left="0" w:right="1191" w:firstLine="0"/>
        <w:jc w:val="right"/>
        <w:rPr>
          <w:sz w:val="16"/>
        </w:rPr>
      </w:pPr>
      <w:r>
        <w:rPr>
          <w:color w:val="044E7D"/>
          <w:sz w:val="16"/>
        </w:rPr>
        <w:t>行业动态研究报告</w:t>
      </w:r>
    </w:p>
    <w:p>
      <w:pPr>
        <w:pStyle w:val="BodyText"/>
        <w:spacing w:before="7"/>
        <w:rPr>
          <w:sz w:val="14"/>
        </w:rPr>
      </w:pPr>
    </w:p>
    <w:p>
      <w:pPr>
        <w:spacing w:before="21" w:after="14"/>
        <w:ind w:left="132" w:right="0" w:firstLine="0"/>
        <w:jc w:val="left"/>
        <w:rPr>
          <w:rFonts w:ascii="Microsoft JhengHei" w:eastAsia="Microsoft JhengHei" w:hint="eastAsia"/>
          <w:b/>
          <w:sz w:val="18"/>
        </w:rPr>
      </w:pP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11</w:t>
      </w:r>
      <w:r>
        <w:rPr>
          <w:rFonts w:ascii="Microsoft JhengHei" w:eastAsia="Microsoft JhengHei" w:hint="eastAsia"/>
          <w:b/>
          <w:sz w:val="18"/>
        </w:rPr>
        <w:t>： 东方航空各航线月度经营数据</w:t>
      </w:r>
    </w:p>
    <w:tbl>
      <w:tblPr>
        <w:tblStyle w:val="TableNormal4"/>
        <w:tblW w:w="0" w:type="auto"/>
        <w:jc w:val="left"/>
        <w:tblInd w:w="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0"/>
        <w:gridCol w:w="573"/>
        <w:gridCol w:w="637"/>
        <w:gridCol w:w="670"/>
        <w:gridCol w:w="618"/>
        <w:gridCol w:w="602"/>
        <w:gridCol w:w="627"/>
        <w:gridCol w:w="612"/>
        <w:gridCol w:w="612"/>
        <w:gridCol w:w="603"/>
        <w:gridCol w:w="574"/>
        <w:gridCol w:w="566"/>
        <w:gridCol w:w="566"/>
        <w:gridCol w:w="610"/>
        <w:gridCol w:w="699"/>
      </w:tblGrid>
      <w:tr>
        <w:tblPrEx>
          <w:tblW w:w="0" w:type="auto"/>
          <w:jc w:val="left"/>
          <w:tblInd w:w="1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070" w:type="dxa"/>
            <w:tcBorders>
              <w:top w:val="single" w:sz="12" w:space="0" w:color="044B80"/>
            </w:tcBorders>
          </w:tcPr>
          <w:p>
            <w:pPr>
              <w:pStyle w:val="TableParagraph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573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right="114"/>
              <w:jc w:val="righ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37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118"/>
              <w:jc w:val="lef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70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153"/>
              <w:jc w:val="lef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18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26" w:right="39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02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113" w:right="5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27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37" w:right="24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12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right="150"/>
              <w:jc w:val="righ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12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58" w:right="61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03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right="76"/>
              <w:jc w:val="right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574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49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566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75" w:right="33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566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77" w:right="33"/>
              <w:rPr>
                <w:sz w:val="15"/>
              </w:rPr>
            </w:pPr>
            <w:r>
              <w:rPr>
                <w:sz w:val="15"/>
              </w:rPr>
              <w:t>2023</w:t>
            </w:r>
          </w:p>
        </w:tc>
        <w:tc>
          <w:tcPr>
            <w:tcW w:w="610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right="152"/>
              <w:jc w:val="right"/>
              <w:rPr>
                <w:sz w:val="15"/>
              </w:rPr>
            </w:pPr>
            <w:r>
              <w:rPr>
                <w:sz w:val="15"/>
              </w:rPr>
              <w:t>2024</w:t>
            </w:r>
          </w:p>
        </w:tc>
        <w:tc>
          <w:tcPr>
            <w:tcW w:w="699" w:type="dxa"/>
            <w:tcBorders>
              <w:top w:val="single" w:sz="12" w:space="0" w:color="044B80"/>
            </w:tcBorders>
          </w:tcPr>
          <w:p>
            <w:pPr>
              <w:pStyle w:val="TableParagraph"/>
              <w:spacing w:before="63"/>
              <w:ind w:left="114"/>
              <w:jc w:val="left"/>
              <w:rPr>
                <w:sz w:val="15"/>
              </w:rPr>
            </w:pPr>
            <w:r>
              <w:rPr>
                <w:sz w:val="15"/>
              </w:rPr>
              <w:t>2024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0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88"/>
              <w:jc w:val="left"/>
              <w:rPr>
                <w:sz w:val="15"/>
              </w:rPr>
            </w:pPr>
            <w:r>
              <w:rPr>
                <w:sz w:val="15"/>
              </w:rPr>
              <w:t>(单位：百万)</w:t>
            </w:r>
          </w:p>
        </w:tc>
        <w:tc>
          <w:tcPr>
            <w:tcW w:w="57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65"/>
              <w:jc w:val="right"/>
              <w:rPr>
                <w:sz w:val="15"/>
              </w:rPr>
            </w:pPr>
            <w:r>
              <w:rPr>
                <w:sz w:val="15"/>
              </w:rPr>
              <w:t>1 月</w:t>
            </w:r>
          </w:p>
        </w:tc>
        <w:tc>
          <w:tcPr>
            <w:tcW w:w="63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71"/>
              <w:jc w:val="left"/>
              <w:rPr>
                <w:sz w:val="15"/>
              </w:rPr>
            </w:pPr>
            <w:r>
              <w:rPr>
                <w:sz w:val="15"/>
              </w:rPr>
              <w:t>2 月</w:t>
            </w:r>
          </w:p>
        </w:tc>
        <w:tc>
          <w:tcPr>
            <w:tcW w:w="6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206"/>
              <w:jc w:val="left"/>
              <w:rPr>
                <w:sz w:val="15"/>
              </w:rPr>
            </w:pPr>
            <w:r>
              <w:rPr>
                <w:sz w:val="15"/>
              </w:rPr>
              <w:t>3 月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88" w:right="34"/>
              <w:rPr>
                <w:sz w:val="15"/>
              </w:rPr>
            </w:pPr>
            <w:r>
              <w:rPr>
                <w:sz w:val="15"/>
              </w:rPr>
              <w:t>4 月</w:t>
            </w:r>
          </w:p>
        </w:tc>
        <w:tc>
          <w:tcPr>
            <w:tcW w:w="60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79" w:right="36"/>
              <w:rPr>
                <w:sz w:val="15"/>
              </w:rPr>
            </w:pPr>
            <w:r>
              <w:rPr>
                <w:sz w:val="15"/>
              </w:rPr>
              <w:t>5 月</w:t>
            </w:r>
          </w:p>
        </w:tc>
        <w:tc>
          <w:tcPr>
            <w:tcW w:w="62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37" w:right="23"/>
              <w:rPr>
                <w:sz w:val="15"/>
              </w:rPr>
            </w:pPr>
            <w:r>
              <w:rPr>
                <w:sz w:val="15"/>
              </w:rPr>
              <w:t>6 月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68"/>
              <w:jc w:val="right"/>
              <w:rPr>
                <w:sz w:val="15"/>
              </w:rPr>
            </w:pPr>
            <w:r>
              <w:rPr>
                <w:sz w:val="15"/>
              </w:rPr>
              <w:t>7 月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59" w:right="61"/>
              <w:rPr>
                <w:sz w:val="15"/>
              </w:rPr>
            </w:pPr>
            <w:r>
              <w:rPr>
                <w:sz w:val="15"/>
              </w:rPr>
              <w:t>8 月</w:t>
            </w:r>
          </w:p>
        </w:tc>
        <w:tc>
          <w:tcPr>
            <w:tcW w:w="60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5"/>
              </w:rPr>
            </w:pPr>
            <w:r>
              <w:rPr>
                <w:sz w:val="15"/>
              </w:rPr>
              <w:t>9 月</w:t>
            </w:r>
          </w:p>
        </w:tc>
        <w:tc>
          <w:tcPr>
            <w:tcW w:w="57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8" w:right="35"/>
              <w:rPr>
                <w:sz w:val="15"/>
              </w:rPr>
            </w:pPr>
            <w:r>
              <w:rPr>
                <w:sz w:val="15"/>
              </w:rPr>
              <w:t>10 月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15" w:right="33"/>
              <w:rPr>
                <w:sz w:val="15"/>
              </w:rPr>
            </w:pPr>
            <w:r>
              <w:rPr>
                <w:sz w:val="15"/>
              </w:rPr>
              <w:t>11 月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15" w:right="31"/>
              <w:rPr>
                <w:sz w:val="15"/>
              </w:rPr>
            </w:pPr>
            <w:r>
              <w:rPr>
                <w:sz w:val="15"/>
              </w:rPr>
              <w:t>12 月</w:t>
            </w:r>
          </w:p>
        </w:tc>
        <w:tc>
          <w:tcPr>
            <w:tcW w:w="61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88"/>
              <w:jc w:val="right"/>
              <w:rPr>
                <w:sz w:val="15"/>
              </w:rPr>
            </w:pPr>
            <w:r>
              <w:rPr>
                <w:sz w:val="15"/>
              </w:rPr>
              <w:t>1 月</w:t>
            </w:r>
          </w:p>
        </w:tc>
        <w:tc>
          <w:tcPr>
            <w:tcW w:w="69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210"/>
              <w:jc w:val="right"/>
              <w:rPr>
                <w:sz w:val="15"/>
              </w:rPr>
            </w:pPr>
            <w:r>
              <w:rPr>
                <w:sz w:val="15"/>
              </w:rPr>
              <w:t>累计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57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14,992</w:t>
            </w:r>
          </w:p>
        </w:tc>
        <w:tc>
          <w:tcPr>
            <w:tcW w:w="63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15,849</w:t>
            </w:r>
          </w:p>
        </w:tc>
        <w:tc>
          <w:tcPr>
            <w:tcW w:w="6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17,249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88" w:right="38"/>
              <w:rPr>
                <w:sz w:val="15"/>
              </w:rPr>
            </w:pPr>
            <w:r>
              <w:rPr>
                <w:sz w:val="15"/>
              </w:rPr>
              <w:t>19,138</w:t>
            </w:r>
          </w:p>
        </w:tc>
        <w:tc>
          <w:tcPr>
            <w:tcW w:w="60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75" w:right="36"/>
              <w:rPr>
                <w:sz w:val="15"/>
              </w:rPr>
            </w:pPr>
            <w:r>
              <w:rPr>
                <w:sz w:val="15"/>
              </w:rPr>
              <w:t>20,840</w:t>
            </w:r>
          </w:p>
        </w:tc>
        <w:tc>
          <w:tcPr>
            <w:tcW w:w="62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37" w:right="22"/>
              <w:rPr>
                <w:sz w:val="15"/>
              </w:rPr>
            </w:pPr>
            <w:r>
              <w:rPr>
                <w:sz w:val="15"/>
              </w:rPr>
              <w:t>20,538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23,626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60" w:right="61"/>
              <w:rPr>
                <w:sz w:val="15"/>
              </w:rPr>
            </w:pPr>
            <w:r>
              <w:rPr>
                <w:sz w:val="15"/>
              </w:rPr>
              <w:t>24,217</w:t>
            </w:r>
          </w:p>
        </w:tc>
        <w:tc>
          <w:tcPr>
            <w:tcW w:w="60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22,019</w:t>
            </w:r>
          </w:p>
        </w:tc>
        <w:tc>
          <w:tcPr>
            <w:tcW w:w="57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49" w:right="35"/>
              <w:rPr>
                <w:sz w:val="15"/>
              </w:rPr>
            </w:pPr>
            <w:r>
              <w:rPr>
                <w:sz w:val="15"/>
              </w:rPr>
              <w:t>22,576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39" w:right="33"/>
              <w:rPr>
                <w:sz w:val="15"/>
              </w:rPr>
            </w:pPr>
            <w:r>
              <w:rPr>
                <w:sz w:val="15"/>
              </w:rPr>
              <w:t>21,364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41" w:right="33"/>
              <w:rPr>
                <w:sz w:val="15"/>
              </w:rPr>
            </w:pPr>
            <w:r>
              <w:rPr>
                <w:sz w:val="15"/>
              </w:rPr>
              <w:t>22,567</w:t>
            </w:r>
          </w:p>
        </w:tc>
        <w:tc>
          <w:tcPr>
            <w:tcW w:w="61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94"/>
              <w:jc w:val="right"/>
              <w:rPr>
                <w:sz w:val="15"/>
              </w:rPr>
            </w:pPr>
            <w:r>
              <w:rPr>
                <w:sz w:val="15"/>
              </w:rPr>
              <w:t>24,877</w:t>
            </w:r>
          </w:p>
        </w:tc>
        <w:tc>
          <w:tcPr>
            <w:tcW w:w="69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24,877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17.2%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26.1%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179.7%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737.0%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465.4%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191.7%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115.2%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99.1%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154.6%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243.6%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39" w:right="33"/>
              <w:rPr>
                <w:sz w:val="15"/>
              </w:rPr>
            </w:pPr>
            <w:r>
              <w:rPr>
                <w:sz w:val="15"/>
              </w:rPr>
              <w:t>271.0%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3"/>
              <w:rPr>
                <w:sz w:val="15"/>
              </w:rPr>
            </w:pPr>
            <w:r>
              <w:rPr>
                <w:sz w:val="15"/>
              </w:rPr>
              <w:t>199.9%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65.9%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65.9%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59"/>
              <w:jc w:val="left"/>
              <w:rPr>
                <w:sz w:val="15"/>
              </w:rPr>
            </w:pPr>
            <w:r>
              <w:rPr>
                <w:sz w:val="15"/>
              </w:rPr>
              <w:t>总 收入客公里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10,244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11,566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12,145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13,792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14,593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15,595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18,526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18,786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16,209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17,401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39" w:right="33"/>
              <w:rPr>
                <w:sz w:val="15"/>
              </w:rPr>
            </w:pPr>
            <w:r>
              <w:rPr>
                <w:sz w:val="15"/>
              </w:rPr>
              <w:t>16,275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3"/>
              <w:rPr>
                <w:sz w:val="15"/>
              </w:rPr>
            </w:pPr>
            <w:r>
              <w:rPr>
                <w:sz w:val="15"/>
              </w:rPr>
              <w:t>17,164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94"/>
              <w:jc w:val="right"/>
              <w:rPr>
                <w:sz w:val="15"/>
              </w:rPr>
            </w:pPr>
            <w:r>
              <w:rPr>
                <w:sz w:val="15"/>
              </w:rPr>
              <w:t>19,259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19,259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59"/>
              <w:jc w:val="left"/>
              <w:rPr>
                <w:sz w:val="15"/>
              </w:rPr>
            </w:pPr>
            <w:r>
              <w:rPr>
                <w:sz w:val="15"/>
              </w:rPr>
              <w:t>体 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42.7%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43.5%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231.4%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960.1%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551.3%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241.9%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151.9%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130.5%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173.4%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302.3%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39" w:right="33"/>
              <w:rPr>
                <w:sz w:val="15"/>
              </w:rPr>
            </w:pPr>
            <w:r>
              <w:rPr>
                <w:sz w:val="15"/>
              </w:rPr>
              <w:t>334.5%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3"/>
              <w:rPr>
                <w:sz w:val="15"/>
              </w:rPr>
            </w:pPr>
            <w:r>
              <w:rPr>
                <w:sz w:val="15"/>
              </w:rPr>
              <w:t>260.4%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88.0%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88.0%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68.3%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73.0%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70.4%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72.1%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70.0%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75.9%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78.4%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77.6%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99"/>
              <w:jc w:val="right"/>
              <w:rPr>
                <w:sz w:val="15"/>
              </w:rPr>
            </w:pPr>
            <w:r>
              <w:rPr>
                <w:sz w:val="15"/>
              </w:rPr>
              <w:t>73.6%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77.1%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0" w:right="33"/>
              <w:rPr>
                <w:sz w:val="15"/>
              </w:rPr>
            </w:pPr>
            <w:r>
              <w:rPr>
                <w:sz w:val="15"/>
              </w:rPr>
              <w:t>76.2%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2"/>
              <w:rPr>
                <w:sz w:val="15"/>
              </w:rPr>
            </w:pPr>
            <w:r>
              <w:rPr>
                <w:sz w:val="15"/>
              </w:rPr>
              <w:t>76.1%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77.4%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77.4%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0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12.2%</w:t>
            </w:r>
          </w:p>
        </w:tc>
        <w:tc>
          <w:tcPr>
            <w:tcW w:w="63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52"/>
              <w:jc w:val="left"/>
              <w:rPr>
                <w:sz w:val="15"/>
              </w:rPr>
            </w:pPr>
            <w:r>
              <w:rPr>
                <w:sz w:val="15"/>
              </w:rPr>
              <w:t>8.8%</w:t>
            </w:r>
          </w:p>
        </w:tc>
        <w:tc>
          <w:tcPr>
            <w:tcW w:w="6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11.0%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15.2%</w:t>
            </w:r>
          </w:p>
        </w:tc>
        <w:tc>
          <w:tcPr>
            <w:tcW w:w="60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78" w:right="36"/>
              <w:rPr>
                <w:sz w:val="15"/>
              </w:rPr>
            </w:pPr>
            <w:r>
              <w:rPr>
                <w:sz w:val="15"/>
              </w:rPr>
              <w:t>9.2%</w:t>
            </w:r>
          </w:p>
        </w:tc>
        <w:tc>
          <w:tcPr>
            <w:tcW w:w="62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11.2%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11.4%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10.6%</w:t>
            </w:r>
          </w:p>
        </w:tc>
        <w:tc>
          <w:tcPr>
            <w:tcW w:w="60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62"/>
              <w:jc w:val="left"/>
              <w:rPr>
                <w:sz w:val="15"/>
              </w:rPr>
            </w:pPr>
            <w:r>
              <w:rPr>
                <w:sz w:val="15"/>
              </w:rPr>
              <w:t>5.1%</w:t>
            </w:r>
          </w:p>
        </w:tc>
        <w:tc>
          <w:tcPr>
            <w:tcW w:w="57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11.3%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0" w:right="33"/>
              <w:rPr>
                <w:sz w:val="15"/>
              </w:rPr>
            </w:pPr>
            <w:r>
              <w:rPr>
                <w:sz w:val="15"/>
              </w:rPr>
              <w:t>11.1%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1" w:right="32"/>
              <w:rPr>
                <w:sz w:val="15"/>
              </w:rPr>
            </w:pPr>
            <w:r>
              <w:rPr>
                <w:sz w:val="15"/>
              </w:rPr>
              <w:t>12.8%</w:t>
            </w:r>
          </w:p>
        </w:tc>
        <w:tc>
          <w:tcPr>
            <w:tcW w:w="61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70"/>
              <w:jc w:val="right"/>
              <w:rPr>
                <w:sz w:val="15"/>
              </w:rPr>
            </w:pPr>
            <w:r>
              <w:rPr>
                <w:sz w:val="15"/>
              </w:rPr>
              <w:t>9.1%</w:t>
            </w:r>
          </w:p>
        </w:tc>
        <w:tc>
          <w:tcPr>
            <w:tcW w:w="69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212"/>
              <w:jc w:val="right"/>
              <w:rPr>
                <w:sz w:val="15"/>
              </w:rPr>
            </w:pPr>
            <w:r>
              <w:rPr>
                <w:sz w:val="15"/>
              </w:rPr>
              <w:t>9.1%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10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57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14,197</w:t>
            </w:r>
          </w:p>
        </w:tc>
        <w:tc>
          <w:tcPr>
            <w:tcW w:w="63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14,667</w:t>
            </w:r>
          </w:p>
        </w:tc>
        <w:tc>
          <w:tcPr>
            <w:tcW w:w="6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15,506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88" w:right="38"/>
              <w:rPr>
                <w:sz w:val="15"/>
              </w:rPr>
            </w:pPr>
            <w:r>
              <w:rPr>
                <w:sz w:val="15"/>
              </w:rPr>
              <w:t>16,744</w:t>
            </w:r>
          </w:p>
        </w:tc>
        <w:tc>
          <w:tcPr>
            <w:tcW w:w="60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75" w:right="36"/>
              <w:rPr>
                <w:sz w:val="15"/>
              </w:rPr>
            </w:pPr>
            <w:r>
              <w:rPr>
                <w:sz w:val="15"/>
              </w:rPr>
              <w:t>17,685</w:t>
            </w:r>
          </w:p>
        </w:tc>
        <w:tc>
          <w:tcPr>
            <w:tcW w:w="62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37" w:right="22"/>
              <w:rPr>
                <w:sz w:val="15"/>
              </w:rPr>
            </w:pPr>
            <w:r>
              <w:rPr>
                <w:sz w:val="15"/>
              </w:rPr>
              <w:t>16,981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18,983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60" w:right="61"/>
              <w:rPr>
                <w:sz w:val="15"/>
              </w:rPr>
            </w:pPr>
            <w:r>
              <w:rPr>
                <w:sz w:val="15"/>
              </w:rPr>
              <w:t>19,225</w:t>
            </w:r>
          </w:p>
        </w:tc>
        <w:tc>
          <w:tcPr>
            <w:tcW w:w="60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16,951</w:t>
            </w:r>
          </w:p>
        </w:tc>
        <w:tc>
          <w:tcPr>
            <w:tcW w:w="57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49" w:right="35"/>
              <w:rPr>
                <w:sz w:val="15"/>
              </w:rPr>
            </w:pPr>
            <w:r>
              <w:rPr>
                <w:sz w:val="15"/>
              </w:rPr>
              <w:t>17,134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39" w:right="33"/>
              <w:rPr>
                <w:sz w:val="15"/>
              </w:rPr>
            </w:pPr>
            <w:r>
              <w:rPr>
                <w:sz w:val="15"/>
              </w:rPr>
              <w:t>15,803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41" w:right="33"/>
              <w:rPr>
                <w:sz w:val="15"/>
              </w:rPr>
            </w:pPr>
            <w:r>
              <w:rPr>
                <w:sz w:val="15"/>
              </w:rPr>
              <w:t>15,955</w:t>
            </w:r>
          </w:p>
        </w:tc>
        <w:tc>
          <w:tcPr>
            <w:tcW w:w="61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right="94"/>
              <w:jc w:val="right"/>
              <w:rPr>
                <w:sz w:val="15"/>
              </w:rPr>
            </w:pPr>
            <w:r>
              <w:rPr>
                <w:sz w:val="15"/>
              </w:rPr>
              <w:t>17,783</w:t>
            </w:r>
          </w:p>
        </w:tc>
        <w:tc>
          <w:tcPr>
            <w:tcW w:w="69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17,783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14.2%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19.4%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163.3%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705.1%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412.5%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149.1%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76.9%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62.3%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104.1%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178.4%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39" w:right="33"/>
              <w:rPr>
                <w:sz w:val="15"/>
              </w:rPr>
            </w:pPr>
            <w:r>
              <w:rPr>
                <w:sz w:val="15"/>
              </w:rPr>
              <w:t>199.6%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3"/>
              <w:rPr>
                <w:sz w:val="15"/>
              </w:rPr>
            </w:pPr>
            <w:r>
              <w:rPr>
                <w:sz w:val="15"/>
              </w:rPr>
              <w:t>130.9%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25.3%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25.3%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59"/>
              <w:jc w:val="left"/>
              <w:rPr>
                <w:sz w:val="15"/>
              </w:rPr>
            </w:pPr>
            <w:r>
              <w:rPr>
                <w:sz w:val="15"/>
              </w:rPr>
              <w:t>国 收入客公里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2"/>
              <w:jc w:val="right"/>
              <w:rPr>
                <w:sz w:val="15"/>
              </w:rPr>
            </w:pPr>
            <w:r>
              <w:rPr>
                <w:sz w:val="15"/>
              </w:rPr>
              <w:t>9,707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10,803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11,036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12,308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12,623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12,958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14,914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14,898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12,490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13,512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39" w:right="33"/>
              <w:rPr>
                <w:sz w:val="15"/>
              </w:rPr>
            </w:pPr>
            <w:r>
              <w:rPr>
                <w:sz w:val="15"/>
              </w:rPr>
              <w:t>12,346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3"/>
              <w:rPr>
                <w:sz w:val="15"/>
              </w:rPr>
            </w:pPr>
            <w:r>
              <w:rPr>
                <w:sz w:val="15"/>
              </w:rPr>
              <w:t>12,332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94"/>
              <w:jc w:val="right"/>
              <w:rPr>
                <w:sz w:val="15"/>
              </w:rPr>
            </w:pPr>
            <w:r>
              <w:rPr>
                <w:sz w:val="15"/>
              </w:rPr>
              <w:t>14,043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14,043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59"/>
              <w:jc w:val="left"/>
              <w:rPr>
                <w:sz w:val="15"/>
              </w:rPr>
            </w:pPr>
            <w:r>
              <w:rPr>
                <w:sz w:val="15"/>
              </w:rPr>
              <w:t>内 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38.7%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36.5%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212.4%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919.3%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491.6%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191.8%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106.7%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87.1%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61"/>
              <w:jc w:val="right"/>
              <w:rPr>
                <w:sz w:val="15"/>
              </w:rPr>
            </w:pPr>
            <w:r>
              <w:rPr>
                <w:sz w:val="15"/>
              </w:rPr>
              <w:t>118.9%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231.6%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39" w:right="33"/>
              <w:rPr>
                <w:sz w:val="15"/>
              </w:rPr>
            </w:pPr>
            <w:r>
              <w:rPr>
                <w:sz w:val="15"/>
              </w:rPr>
              <w:t>258.5%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3"/>
              <w:rPr>
                <w:sz w:val="15"/>
              </w:rPr>
            </w:pPr>
            <w:r>
              <w:rPr>
                <w:sz w:val="15"/>
              </w:rPr>
              <w:t>181.3%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44.7%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44.7%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68.4%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73.7%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71.2%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73.5%</w:t>
            </w:r>
          </w:p>
        </w:tc>
        <w:tc>
          <w:tcPr>
            <w:tcW w:w="602" w:type="dxa"/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71.4%</w:t>
            </w:r>
          </w:p>
        </w:tc>
        <w:tc>
          <w:tcPr>
            <w:tcW w:w="627" w:type="dxa"/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76.3%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78.6%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77.5%</w:t>
            </w:r>
          </w:p>
        </w:tc>
        <w:tc>
          <w:tcPr>
            <w:tcW w:w="603" w:type="dxa"/>
          </w:tcPr>
          <w:p>
            <w:pPr>
              <w:pStyle w:val="TableParagraph"/>
              <w:spacing w:before="60"/>
              <w:ind w:right="99"/>
              <w:jc w:val="right"/>
              <w:rPr>
                <w:sz w:val="15"/>
              </w:rPr>
            </w:pPr>
            <w:r>
              <w:rPr>
                <w:sz w:val="15"/>
              </w:rPr>
              <w:t>73.7%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78.9%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0" w:right="33"/>
              <w:rPr>
                <w:sz w:val="15"/>
              </w:rPr>
            </w:pPr>
            <w:r>
              <w:rPr>
                <w:sz w:val="15"/>
              </w:rPr>
              <w:t>78.1%</w:t>
            </w:r>
          </w:p>
        </w:tc>
        <w:tc>
          <w:tcPr>
            <w:tcW w:w="566" w:type="dxa"/>
          </w:tcPr>
          <w:p>
            <w:pPr>
              <w:pStyle w:val="TableParagraph"/>
              <w:spacing w:before="60"/>
              <w:ind w:left="41" w:right="32"/>
              <w:rPr>
                <w:sz w:val="15"/>
              </w:rPr>
            </w:pPr>
            <w:r>
              <w:rPr>
                <w:sz w:val="15"/>
              </w:rPr>
              <w:t>77.3%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79.0%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79.0%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0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12.1%</w:t>
            </w:r>
          </w:p>
        </w:tc>
        <w:tc>
          <w:tcPr>
            <w:tcW w:w="63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52"/>
              <w:jc w:val="left"/>
              <w:rPr>
                <w:sz w:val="15"/>
              </w:rPr>
            </w:pPr>
            <w:r>
              <w:rPr>
                <w:sz w:val="15"/>
              </w:rPr>
              <w:t>9.2%</w:t>
            </w:r>
          </w:p>
        </w:tc>
        <w:tc>
          <w:tcPr>
            <w:tcW w:w="6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11.2%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15.5%</w:t>
            </w:r>
          </w:p>
        </w:tc>
        <w:tc>
          <w:tcPr>
            <w:tcW w:w="60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78" w:right="36"/>
              <w:rPr>
                <w:sz w:val="15"/>
              </w:rPr>
            </w:pPr>
            <w:r>
              <w:rPr>
                <w:sz w:val="15"/>
              </w:rPr>
              <w:t>9.6%</w:t>
            </w:r>
          </w:p>
        </w:tc>
        <w:tc>
          <w:tcPr>
            <w:tcW w:w="62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11.2%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11.3%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10.3%</w:t>
            </w:r>
          </w:p>
        </w:tc>
        <w:tc>
          <w:tcPr>
            <w:tcW w:w="60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62"/>
              <w:jc w:val="left"/>
              <w:rPr>
                <w:sz w:val="15"/>
              </w:rPr>
            </w:pPr>
            <w:r>
              <w:rPr>
                <w:sz w:val="15"/>
              </w:rPr>
              <w:t>5.0%</w:t>
            </w:r>
          </w:p>
        </w:tc>
        <w:tc>
          <w:tcPr>
            <w:tcW w:w="57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9" w:right="35"/>
              <w:rPr>
                <w:sz w:val="15"/>
              </w:rPr>
            </w:pPr>
            <w:r>
              <w:rPr>
                <w:sz w:val="15"/>
              </w:rPr>
              <w:t>12.7%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0" w:right="33"/>
              <w:rPr>
                <w:sz w:val="15"/>
              </w:rPr>
            </w:pPr>
            <w:r>
              <w:rPr>
                <w:sz w:val="15"/>
              </w:rPr>
              <w:t>12.8%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1" w:right="32"/>
              <w:rPr>
                <w:sz w:val="15"/>
              </w:rPr>
            </w:pPr>
            <w:r>
              <w:rPr>
                <w:sz w:val="15"/>
              </w:rPr>
              <w:t>13.9%</w:t>
            </w:r>
          </w:p>
        </w:tc>
        <w:tc>
          <w:tcPr>
            <w:tcW w:w="61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10.6%</w:t>
            </w:r>
          </w:p>
        </w:tc>
        <w:tc>
          <w:tcPr>
            <w:tcW w:w="69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10.6%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2"/>
          <w:jc w:val="left"/>
        </w:trPr>
        <w:tc>
          <w:tcPr>
            <w:tcW w:w="10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57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158"/>
              <w:jc w:val="left"/>
              <w:rPr>
                <w:sz w:val="15"/>
              </w:rPr>
            </w:pPr>
            <w:r>
              <w:rPr>
                <w:sz w:val="15"/>
              </w:rPr>
              <w:t>656</w:t>
            </w:r>
          </w:p>
        </w:tc>
        <w:tc>
          <w:tcPr>
            <w:tcW w:w="63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188"/>
              <w:jc w:val="left"/>
              <w:rPr>
                <w:sz w:val="15"/>
              </w:rPr>
            </w:pPr>
            <w:r>
              <w:rPr>
                <w:sz w:val="15"/>
              </w:rPr>
              <w:t>988</w:t>
            </w:r>
          </w:p>
        </w:tc>
        <w:tc>
          <w:tcPr>
            <w:tcW w:w="6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1,447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1,994</w:t>
            </w:r>
          </w:p>
        </w:tc>
        <w:tc>
          <w:tcPr>
            <w:tcW w:w="60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2,718</w:t>
            </w:r>
          </w:p>
        </w:tc>
        <w:tc>
          <w:tcPr>
            <w:tcW w:w="62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37" w:right="22"/>
              <w:rPr>
                <w:sz w:val="15"/>
              </w:rPr>
            </w:pPr>
            <w:r>
              <w:rPr>
                <w:sz w:val="15"/>
              </w:rPr>
              <w:t>3,138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4,201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60" w:right="61"/>
              <w:rPr>
                <w:sz w:val="15"/>
              </w:rPr>
            </w:pPr>
            <w:r>
              <w:rPr>
                <w:sz w:val="15"/>
              </w:rPr>
              <w:t>4,523</w:t>
            </w:r>
          </w:p>
        </w:tc>
        <w:tc>
          <w:tcPr>
            <w:tcW w:w="60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right="99"/>
              <w:jc w:val="right"/>
              <w:rPr>
                <w:sz w:val="15"/>
              </w:rPr>
            </w:pPr>
            <w:r>
              <w:rPr>
                <w:sz w:val="15"/>
              </w:rPr>
              <w:t>4,647</w:t>
            </w:r>
          </w:p>
        </w:tc>
        <w:tc>
          <w:tcPr>
            <w:tcW w:w="57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49" w:right="35"/>
              <w:rPr>
                <w:sz w:val="15"/>
              </w:rPr>
            </w:pPr>
            <w:r>
              <w:rPr>
                <w:sz w:val="15"/>
              </w:rPr>
              <w:t>4,953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40" w:right="33"/>
              <w:rPr>
                <w:sz w:val="15"/>
              </w:rPr>
            </w:pPr>
            <w:r>
              <w:rPr>
                <w:sz w:val="15"/>
              </w:rPr>
              <w:t>5,029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41" w:right="32"/>
              <w:rPr>
                <w:sz w:val="15"/>
              </w:rPr>
            </w:pPr>
            <w:r>
              <w:rPr>
                <w:sz w:val="15"/>
              </w:rPr>
              <w:t>6,046</w:t>
            </w:r>
          </w:p>
        </w:tc>
        <w:tc>
          <w:tcPr>
            <w:tcW w:w="61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6,509</w:t>
            </w:r>
          </w:p>
        </w:tc>
        <w:tc>
          <w:tcPr>
            <w:tcW w:w="69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1" w:lineRule="exact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6,509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152.2%</w:t>
            </w:r>
          </w:p>
        </w:tc>
        <w:tc>
          <w:tcPr>
            <w:tcW w:w="63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426.0%</w:t>
            </w:r>
          </w:p>
        </w:tc>
        <w:tc>
          <w:tcPr>
            <w:tcW w:w="6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521.2%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873.1%</w:t>
            </w:r>
          </w:p>
        </w:tc>
        <w:tc>
          <w:tcPr>
            <w:tcW w:w="60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1063%</w:t>
            </w:r>
          </w:p>
        </w:tc>
        <w:tc>
          <w:tcPr>
            <w:tcW w:w="62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37" w:right="22"/>
              <w:rPr>
                <w:sz w:val="15"/>
              </w:rPr>
            </w:pPr>
            <w:r>
              <w:rPr>
                <w:sz w:val="15"/>
              </w:rPr>
              <w:t>1306%</w:t>
            </w:r>
          </w:p>
        </w:tc>
        <w:tc>
          <w:tcPr>
            <w:tcW w:w="1224" w:type="dxa"/>
            <w:gridSpan w:val="2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46"/>
              <w:jc w:val="left"/>
              <w:rPr>
                <w:sz w:val="15"/>
              </w:rPr>
            </w:pPr>
            <w:r>
              <w:rPr>
                <w:sz w:val="15"/>
              </w:rPr>
              <w:t>1602.9% 1344.9%</w:t>
            </w:r>
          </w:p>
        </w:tc>
        <w:tc>
          <w:tcPr>
            <w:tcW w:w="2919" w:type="dxa"/>
            <w:gridSpan w:val="5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1346.3% 1220.2% 1050.0% 1030.4% 891.7%</w:t>
            </w:r>
          </w:p>
        </w:tc>
        <w:tc>
          <w:tcPr>
            <w:tcW w:w="699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891.7%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643" w:type="dxa"/>
            <w:gridSpan w:val="2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tabs>
                <w:tab w:val="left" w:pos="1228"/>
              </w:tabs>
              <w:spacing w:line="151" w:lineRule="exact"/>
              <w:ind w:left="59"/>
              <w:jc w:val="left"/>
              <w:rPr>
                <w:sz w:val="15"/>
              </w:rPr>
            </w:pPr>
            <w:r>
              <w:rPr>
                <w:sz w:val="15"/>
              </w:rPr>
              <w:t>国</w:t>
            </w:r>
            <w:r>
              <w:rPr>
                <w:spacing w:val="-13"/>
                <w:sz w:val="15"/>
              </w:rPr>
              <w:t xml:space="preserve"> </w:t>
            </w:r>
            <w:r>
              <w:rPr>
                <w:sz w:val="15"/>
              </w:rPr>
              <w:t>收入</w:t>
            </w:r>
            <w:r>
              <w:rPr>
                <w:spacing w:val="-3"/>
                <w:sz w:val="15"/>
              </w:rPr>
              <w:t>客</w:t>
            </w:r>
            <w:r>
              <w:rPr>
                <w:sz w:val="15"/>
              </w:rPr>
              <w:t>公里</w:t>
              <w:tab/>
              <w:t>437</w:t>
            </w:r>
          </w:p>
        </w:tc>
        <w:tc>
          <w:tcPr>
            <w:tcW w:w="63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88"/>
              <w:jc w:val="left"/>
              <w:rPr>
                <w:sz w:val="15"/>
              </w:rPr>
            </w:pPr>
            <w:r>
              <w:rPr>
                <w:sz w:val="15"/>
              </w:rPr>
              <w:t>621</w:t>
            </w:r>
          </w:p>
        </w:tc>
        <w:tc>
          <w:tcPr>
            <w:tcW w:w="6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223"/>
              <w:jc w:val="left"/>
              <w:rPr>
                <w:sz w:val="15"/>
              </w:rPr>
            </w:pPr>
            <w:r>
              <w:rPr>
                <w:sz w:val="15"/>
              </w:rPr>
              <w:t>891</w:t>
            </w:r>
          </w:p>
        </w:tc>
        <w:tc>
          <w:tcPr>
            <w:tcW w:w="618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1,215</w:t>
            </w:r>
          </w:p>
        </w:tc>
        <w:tc>
          <w:tcPr>
            <w:tcW w:w="60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1,672</w:t>
            </w:r>
          </w:p>
        </w:tc>
        <w:tc>
          <w:tcPr>
            <w:tcW w:w="62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37" w:right="22"/>
              <w:rPr>
                <w:sz w:val="15"/>
              </w:rPr>
            </w:pPr>
            <w:r>
              <w:rPr>
                <w:sz w:val="15"/>
              </w:rPr>
              <w:t>2,322</w:t>
            </w:r>
          </w:p>
        </w:tc>
        <w:tc>
          <w:tcPr>
            <w:tcW w:w="4143" w:type="dxa"/>
            <w:gridSpan w:val="7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tabs>
                <w:tab w:val="left" w:pos="728"/>
                <w:tab w:val="left" w:pos="1350"/>
                <w:tab w:val="left" w:pos="1933"/>
              </w:tabs>
              <w:spacing w:line="151" w:lineRule="exact"/>
              <w:ind w:left="123"/>
              <w:jc w:val="left"/>
              <w:rPr>
                <w:sz w:val="15"/>
              </w:rPr>
            </w:pPr>
            <w:r>
              <w:rPr>
                <w:sz w:val="15"/>
              </w:rPr>
              <w:t>3,245</w:t>
              <w:tab/>
              <w:t>3,501</w:t>
              <w:tab/>
              <w:t>3,415</w:t>
              <w:tab/>
              <w:t>3,536 3,558 4,432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sz w:val="15"/>
              </w:rPr>
              <w:t>4,800</w:t>
            </w:r>
          </w:p>
        </w:tc>
        <w:tc>
          <w:tcPr>
            <w:tcW w:w="699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4,800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59"/>
              <w:jc w:val="left"/>
              <w:rPr>
                <w:sz w:val="15"/>
              </w:rPr>
            </w:pPr>
            <w:r>
              <w:rPr>
                <w:sz w:val="15"/>
              </w:rPr>
              <w:t>际 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right="73"/>
              <w:jc w:val="right"/>
              <w:rPr>
                <w:sz w:val="15"/>
              </w:rPr>
            </w:pPr>
            <w:r>
              <w:rPr>
                <w:sz w:val="15"/>
              </w:rPr>
              <w:t>260.0%</w:t>
            </w:r>
          </w:p>
        </w:tc>
        <w:tc>
          <w:tcPr>
            <w:tcW w:w="63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593.4%</w:t>
            </w:r>
          </w:p>
        </w:tc>
        <w:tc>
          <w:tcPr>
            <w:tcW w:w="6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675.8%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1205%</w:t>
            </w:r>
          </w:p>
        </w:tc>
        <w:tc>
          <w:tcPr>
            <w:tcW w:w="60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1467%</w:t>
            </w:r>
          </w:p>
        </w:tc>
        <w:tc>
          <w:tcPr>
            <w:tcW w:w="62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37" w:right="24"/>
              <w:rPr>
                <w:sz w:val="15"/>
              </w:rPr>
            </w:pPr>
            <w:r>
              <w:rPr>
                <w:sz w:val="15"/>
              </w:rPr>
              <w:t>1840.5%</w:t>
            </w:r>
          </w:p>
        </w:tc>
        <w:tc>
          <w:tcPr>
            <w:tcW w:w="4143" w:type="dxa"/>
            <w:gridSpan w:val="7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46"/>
              <w:jc w:val="left"/>
              <w:rPr>
                <w:sz w:val="15"/>
              </w:rPr>
            </w:pPr>
            <w:r>
              <w:rPr>
                <w:sz w:val="15"/>
              </w:rPr>
              <w:t>2260.1% 1796.7% 1521.4% 1432.7% 1202.7% 1232.8% 998.9%</w:t>
            </w:r>
          </w:p>
        </w:tc>
        <w:tc>
          <w:tcPr>
            <w:tcW w:w="699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998.9%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57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66.6%</w:t>
            </w:r>
          </w:p>
        </w:tc>
        <w:tc>
          <w:tcPr>
            <w:tcW w:w="63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62.8%</w:t>
            </w:r>
          </w:p>
        </w:tc>
        <w:tc>
          <w:tcPr>
            <w:tcW w:w="6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61.6%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88" w:right="38"/>
              <w:rPr>
                <w:sz w:val="15"/>
              </w:rPr>
            </w:pPr>
            <w:r>
              <w:rPr>
                <w:sz w:val="15"/>
              </w:rPr>
              <w:t>60.9%</w:t>
            </w:r>
          </w:p>
        </w:tc>
        <w:tc>
          <w:tcPr>
            <w:tcW w:w="60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75" w:right="36"/>
              <w:rPr>
                <w:sz w:val="15"/>
              </w:rPr>
            </w:pPr>
            <w:r>
              <w:rPr>
                <w:sz w:val="15"/>
              </w:rPr>
              <w:t>61.5%</w:t>
            </w:r>
          </w:p>
        </w:tc>
        <w:tc>
          <w:tcPr>
            <w:tcW w:w="62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37" w:right="22"/>
              <w:rPr>
                <w:sz w:val="15"/>
              </w:rPr>
            </w:pPr>
            <w:r>
              <w:rPr>
                <w:sz w:val="15"/>
              </w:rPr>
              <w:t>74.0%</w:t>
            </w:r>
          </w:p>
        </w:tc>
        <w:tc>
          <w:tcPr>
            <w:tcW w:w="61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77.2%</w:t>
            </w:r>
          </w:p>
        </w:tc>
        <w:tc>
          <w:tcPr>
            <w:tcW w:w="61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60" w:right="61"/>
              <w:rPr>
                <w:sz w:val="15"/>
              </w:rPr>
            </w:pPr>
            <w:r>
              <w:rPr>
                <w:sz w:val="15"/>
              </w:rPr>
              <w:t>77.4%</w:t>
            </w:r>
          </w:p>
        </w:tc>
        <w:tc>
          <w:tcPr>
            <w:tcW w:w="60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99"/>
              <w:jc w:val="right"/>
              <w:rPr>
                <w:sz w:val="15"/>
              </w:rPr>
            </w:pPr>
            <w:r>
              <w:rPr>
                <w:sz w:val="15"/>
              </w:rPr>
              <w:t>73.5%</w:t>
            </w:r>
          </w:p>
        </w:tc>
        <w:tc>
          <w:tcPr>
            <w:tcW w:w="574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49" w:right="35"/>
              <w:rPr>
                <w:sz w:val="15"/>
              </w:rPr>
            </w:pPr>
            <w:r>
              <w:rPr>
                <w:sz w:val="15"/>
              </w:rPr>
              <w:t>71.4%</w:t>
            </w:r>
          </w:p>
        </w:tc>
        <w:tc>
          <w:tcPr>
            <w:tcW w:w="566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40" w:right="33"/>
              <w:rPr>
                <w:sz w:val="15"/>
              </w:rPr>
            </w:pPr>
            <w:r>
              <w:rPr>
                <w:sz w:val="15"/>
              </w:rPr>
              <w:t>70.7%</w:t>
            </w:r>
          </w:p>
        </w:tc>
        <w:tc>
          <w:tcPr>
            <w:tcW w:w="566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41" w:right="32"/>
              <w:rPr>
                <w:sz w:val="15"/>
              </w:rPr>
            </w:pPr>
            <w:r>
              <w:rPr>
                <w:sz w:val="15"/>
              </w:rPr>
              <w:t>73.3%</w:t>
            </w:r>
          </w:p>
        </w:tc>
        <w:tc>
          <w:tcPr>
            <w:tcW w:w="61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73.7%</w:t>
            </w:r>
          </w:p>
        </w:tc>
        <w:tc>
          <w:tcPr>
            <w:tcW w:w="699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73.7%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0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19.9%</w:t>
            </w:r>
          </w:p>
        </w:tc>
        <w:tc>
          <w:tcPr>
            <w:tcW w:w="63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15.2%</w:t>
            </w:r>
          </w:p>
        </w:tc>
        <w:tc>
          <w:tcPr>
            <w:tcW w:w="67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12.3%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15.5%</w:t>
            </w:r>
          </w:p>
        </w:tc>
        <w:tc>
          <w:tcPr>
            <w:tcW w:w="60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75" w:right="36"/>
              <w:rPr>
                <w:sz w:val="15"/>
              </w:rPr>
            </w:pPr>
            <w:r>
              <w:rPr>
                <w:sz w:val="15"/>
              </w:rPr>
              <w:t>15.8%</w:t>
            </w:r>
          </w:p>
        </w:tc>
        <w:tc>
          <w:tcPr>
            <w:tcW w:w="62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37" w:right="22"/>
              <w:rPr>
                <w:sz w:val="15"/>
              </w:rPr>
            </w:pPr>
            <w:r>
              <w:rPr>
                <w:sz w:val="15"/>
              </w:rPr>
              <w:t>20.4%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21.5%</w:t>
            </w:r>
          </w:p>
        </w:tc>
        <w:tc>
          <w:tcPr>
            <w:tcW w:w="612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18.4%</w:t>
            </w:r>
          </w:p>
        </w:tc>
        <w:tc>
          <w:tcPr>
            <w:tcW w:w="60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162"/>
              <w:jc w:val="left"/>
              <w:rPr>
                <w:sz w:val="15"/>
              </w:rPr>
            </w:pPr>
            <w:r>
              <w:rPr>
                <w:sz w:val="15"/>
              </w:rPr>
              <w:t>7.9%</w:t>
            </w:r>
          </w:p>
        </w:tc>
        <w:tc>
          <w:tcPr>
            <w:tcW w:w="57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6" w:right="35"/>
              <w:rPr>
                <w:sz w:val="15"/>
              </w:rPr>
            </w:pPr>
            <w:r>
              <w:rPr>
                <w:sz w:val="15"/>
              </w:rPr>
              <w:t>9.9%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37" w:right="33"/>
              <w:rPr>
                <w:sz w:val="15"/>
              </w:rPr>
            </w:pPr>
            <w:r>
              <w:rPr>
                <w:sz w:val="15"/>
              </w:rPr>
              <w:t>8.3%</w:t>
            </w:r>
          </w:p>
        </w:tc>
        <w:tc>
          <w:tcPr>
            <w:tcW w:w="56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left="41" w:right="32"/>
              <w:rPr>
                <w:sz w:val="15"/>
              </w:rPr>
            </w:pPr>
            <w:r>
              <w:rPr>
                <w:sz w:val="15"/>
              </w:rPr>
              <w:t>11.1%</w:t>
            </w:r>
          </w:p>
        </w:tc>
        <w:tc>
          <w:tcPr>
            <w:tcW w:w="61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170"/>
              <w:jc w:val="right"/>
              <w:rPr>
                <w:sz w:val="15"/>
              </w:rPr>
            </w:pPr>
            <w:r>
              <w:rPr>
                <w:sz w:val="15"/>
              </w:rPr>
              <w:t>7.2%</w:t>
            </w:r>
          </w:p>
        </w:tc>
        <w:tc>
          <w:tcPr>
            <w:tcW w:w="69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60"/>
              <w:ind w:right="212"/>
              <w:jc w:val="right"/>
              <w:rPr>
                <w:sz w:val="15"/>
              </w:rPr>
            </w:pPr>
            <w:r>
              <w:rPr>
                <w:sz w:val="15"/>
              </w:rPr>
              <w:t>7.2%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9"/>
          <w:jc w:val="left"/>
        </w:trPr>
        <w:tc>
          <w:tcPr>
            <w:tcW w:w="10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8" w:line="151" w:lineRule="exact"/>
              <w:ind w:right="43"/>
              <w:jc w:val="right"/>
              <w:rPr>
                <w:sz w:val="15"/>
              </w:rPr>
            </w:pPr>
            <w:r>
              <w:rPr>
                <w:sz w:val="15"/>
              </w:rPr>
              <w:t>可用座公里</w:t>
            </w:r>
          </w:p>
        </w:tc>
        <w:tc>
          <w:tcPr>
            <w:tcW w:w="57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158"/>
              <w:jc w:val="left"/>
              <w:rPr>
                <w:sz w:val="15"/>
              </w:rPr>
            </w:pPr>
            <w:r>
              <w:rPr>
                <w:sz w:val="15"/>
              </w:rPr>
              <w:t>138</w:t>
            </w:r>
          </w:p>
        </w:tc>
        <w:tc>
          <w:tcPr>
            <w:tcW w:w="63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188"/>
              <w:jc w:val="left"/>
              <w:rPr>
                <w:sz w:val="15"/>
              </w:rPr>
            </w:pPr>
            <w:r>
              <w:rPr>
                <w:sz w:val="15"/>
              </w:rPr>
              <w:t>194</w:t>
            </w:r>
          </w:p>
        </w:tc>
        <w:tc>
          <w:tcPr>
            <w:tcW w:w="67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223"/>
              <w:jc w:val="left"/>
              <w:rPr>
                <w:sz w:val="15"/>
              </w:rPr>
            </w:pPr>
            <w:r>
              <w:rPr>
                <w:sz w:val="15"/>
              </w:rPr>
              <w:t>297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400</w:t>
            </w:r>
          </w:p>
        </w:tc>
        <w:tc>
          <w:tcPr>
            <w:tcW w:w="60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436</w:t>
            </w:r>
          </w:p>
        </w:tc>
        <w:tc>
          <w:tcPr>
            <w:tcW w:w="62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37" w:right="22"/>
              <w:rPr>
                <w:sz w:val="15"/>
              </w:rPr>
            </w:pPr>
            <w:r>
              <w:rPr>
                <w:sz w:val="15"/>
              </w:rPr>
              <w:t>420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197"/>
              <w:jc w:val="left"/>
              <w:rPr>
                <w:sz w:val="15"/>
              </w:rPr>
            </w:pPr>
            <w:r>
              <w:rPr>
                <w:sz w:val="15"/>
              </w:rPr>
              <w:t>442</w:t>
            </w:r>
          </w:p>
        </w:tc>
        <w:tc>
          <w:tcPr>
            <w:tcW w:w="612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60" w:right="61"/>
              <w:rPr>
                <w:sz w:val="15"/>
              </w:rPr>
            </w:pPr>
            <w:r>
              <w:rPr>
                <w:sz w:val="15"/>
              </w:rPr>
              <w:t>470</w:t>
            </w:r>
          </w:p>
        </w:tc>
        <w:tc>
          <w:tcPr>
            <w:tcW w:w="60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200"/>
              <w:jc w:val="left"/>
              <w:rPr>
                <w:sz w:val="15"/>
              </w:rPr>
            </w:pPr>
            <w:r>
              <w:rPr>
                <w:sz w:val="15"/>
              </w:rPr>
              <w:t>421</w:t>
            </w:r>
          </w:p>
        </w:tc>
        <w:tc>
          <w:tcPr>
            <w:tcW w:w="57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49" w:right="35"/>
              <w:rPr>
                <w:sz w:val="15"/>
              </w:rPr>
            </w:pPr>
            <w:r>
              <w:rPr>
                <w:sz w:val="15"/>
              </w:rPr>
              <w:t>489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40" w:right="33"/>
              <w:rPr>
                <w:sz w:val="15"/>
              </w:rPr>
            </w:pPr>
            <w:r>
              <w:rPr>
                <w:sz w:val="15"/>
              </w:rPr>
              <w:t>532</w:t>
            </w:r>
          </w:p>
        </w:tc>
        <w:tc>
          <w:tcPr>
            <w:tcW w:w="56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42" w:right="33"/>
              <w:rPr>
                <w:sz w:val="15"/>
              </w:rPr>
            </w:pPr>
            <w:r>
              <w:rPr>
                <w:sz w:val="15"/>
              </w:rPr>
              <w:t>566</w:t>
            </w:r>
          </w:p>
        </w:tc>
        <w:tc>
          <w:tcPr>
            <w:tcW w:w="61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174"/>
              <w:jc w:val="left"/>
              <w:rPr>
                <w:sz w:val="15"/>
              </w:rPr>
            </w:pPr>
            <w:r>
              <w:rPr>
                <w:sz w:val="15"/>
              </w:rPr>
              <w:t>584</w:t>
            </w:r>
          </w:p>
        </w:tc>
        <w:tc>
          <w:tcPr>
            <w:tcW w:w="69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61" w:line="158" w:lineRule="exact"/>
              <w:ind w:left="219"/>
              <w:jc w:val="left"/>
              <w:rPr>
                <w:sz w:val="15"/>
              </w:rPr>
            </w:pPr>
            <w:r>
              <w:rPr>
                <w:sz w:val="15"/>
              </w:rPr>
              <w:t>584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1"/>
          <w:jc w:val="left"/>
        </w:trPr>
        <w:tc>
          <w:tcPr>
            <w:tcW w:w="1070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51.3%</w:t>
            </w:r>
          </w:p>
        </w:tc>
        <w:tc>
          <w:tcPr>
            <w:tcW w:w="637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106.7%</w:t>
            </w:r>
          </w:p>
        </w:tc>
        <w:tc>
          <w:tcPr>
            <w:tcW w:w="670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110"/>
              <w:jc w:val="left"/>
              <w:rPr>
                <w:sz w:val="15"/>
              </w:rPr>
            </w:pPr>
            <w:r>
              <w:rPr>
                <w:sz w:val="15"/>
              </w:rPr>
              <w:t>576.4%</w:t>
            </w:r>
          </w:p>
        </w:tc>
        <w:tc>
          <w:tcPr>
            <w:tcW w:w="618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24566%</w:t>
            </w:r>
          </w:p>
        </w:tc>
        <w:tc>
          <w:tcPr>
            <w:tcW w:w="602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41069%</w:t>
            </w:r>
          </w:p>
        </w:tc>
        <w:tc>
          <w:tcPr>
            <w:tcW w:w="627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37" w:right="22"/>
              <w:rPr>
                <w:sz w:val="15"/>
              </w:rPr>
            </w:pPr>
            <w:r>
              <w:rPr>
                <w:sz w:val="15"/>
              </w:rPr>
              <w:t>79121%</w:t>
            </w:r>
          </w:p>
        </w:tc>
        <w:tc>
          <w:tcPr>
            <w:tcW w:w="612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41580%</w:t>
            </w:r>
          </w:p>
        </w:tc>
        <w:tc>
          <w:tcPr>
            <w:tcW w:w="612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60" w:right="61"/>
              <w:rPr>
                <w:sz w:val="15"/>
              </w:rPr>
            </w:pPr>
            <w:r>
              <w:rPr>
                <w:sz w:val="15"/>
              </w:rPr>
              <w:t>1819%</w:t>
            </w:r>
          </w:p>
        </w:tc>
        <w:tc>
          <w:tcPr>
            <w:tcW w:w="2309" w:type="dxa"/>
            <w:gridSpan w:val="4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1752.9% 1079.0%</w:t>
            </w:r>
            <w:r>
              <w:rPr>
                <w:spacing w:val="-57"/>
                <w:sz w:val="15"/>
              </w:rPr>
              <w:t xml:space="preserve"> </w:t>
            </w:r>
            <w:r>
              <w:rPr>
                <w:sz w:val="15"/>
              </w:rPr>
              <w:t>1056.8% 593.8%</w:t>
            </w:r>
          </w:p>
        </w:tc>
        <w:tc>
          <w:tcPr>
            <w:tcW w:w="610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right="94"/>
              <w:jc w:val="right"/>
              <w:rPr>
                <w:sz w:val="15"/>
              </w:rPr>
            </w:pPr>
            <w:r>
              <w:rPr>
                <w:sz w:val="15"/>
              </w:rPr>
              <w:t>323.9%</w:t>
            </w:r>
          </w:p>
        </w:tc>
        <w:tc>
          <w:tcPr>
            <w:tcW w:w="699" w:type="dxa"/>
          </w:tcPr>
          <w:p>
            <w:pPr>
              <w:pStyle w:val="TableParagraph"/>
              <w:spacing w:before="3"/>
              <w:jc w:val="left"/>
              <w:rPr>
                <w:rFonts w:ascii="Microsoft JhengHei"/>
                <w:b/>
                <w:sz w:val="8"/>
              </w:rPr>
            </w:pPr>
          </w:p>
          <w:p>
            <w:pPr>
              <w:pStyle w:val="TableParagraph"/>
              <w:spacing w:line="151" w:lineRule="exact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323.9%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070" w:type="dxa"/>
          </w:tcPr>
          <w:p>
            <w:pPr>
              <w:pStyle w:val="TableParagraph"/>
              <w:spacing w:before="130" w:line="161" w:lineRule="exact"/>
              <w:ind w:left="59"/>
              <w:jc w:val="left"/>
              <w:rPr>
                <w:sz w:val="15"/>
              </w:rPr>
            </w:pPr>
            <w:r>
              <w:rPr>
                <w:position w:val="1"/>
                <w:sz w:val="15"/>
              </w:rPr>
              <w:t xml:space="preserve">地 </w:t>
            </w:r>
            <w:r>
              <w:rPr>
                <w:sz w:val="15"/>
              </w:rPr>
              <w:t>收入客公里</w:t>
            </w:r>
          </w:p>
        </w:tc>
        <w:tc>
          <w:tcPr>
            <w:tcW w:w="57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58"/>
              <w:jc w:val="left"/>
              <w:rPr>
                <w:sz w:val="15"/>
              </w:rPr>
            </w:pPr>
            <w:r>
              <w:rPr>
                <w:sz w:val="15"/>
              </w:rPr>
              <w:t>100</w:t>
            </w:r>
          </w:p>
        </w:tc>
        <w:tc>
          <w:tcPr>
            <w:tcW w:w="63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88"/>
              <w:jc w:val="left"/>
              <w:rPr>
                <w:sz w:val="15"/>
              </w:rPr>
            </w:pPr>
            <w:r>
              <w:rPr>
                <w:sz w:val="15"/>
              </w:rPr>
              <w:t>142</w:t>
            </w:r>
          </w:p>
        </w:tc>
        <w:tc>
          <w:tcPr>
            <w:tcW w:w="6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223"/>
              <w:jc w:val="left"/>
              <w:rPr>
                <w:sz w:val="15"/>
              </w:rPr>
            </w:pPr>
            <w:r>
              <w:rPr>
                <w:sz w:val="15"/>
              </w:rPr>
              <w:t>217</w:t>
            </w:r>
          </w:p>
        </w:tc>
        <w:tc>
          <w:tcPr>
            <w:tcW w:w="618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88" w:right="38"/>
              <w:rPr>
                <w:sz w:val="15"/>
              </w:rPr>
            </w:pPr>
            <w:r>
              <w:rPr>
                <w:sz w:val="15"/>
              </w:rPr>
              <w:t>270</w:t>
            </w:r>
          </w:p>
        </w:tc>
        <w:tc>
          <w:tcPr>
            <w:tcW w:w="60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75" w:right="36"/>
              <w:rPr>
                <w:sz w:val="15"/>
              </w:rPr>
            </w:pPr>
            <w:r>
              <w:rPr>
                <w:sz w:val="15"/>
              </w:rPr>
              <w:t>298</w:t>
            </w:r>
          </w:p>
        </w:tc>
        <w:tc>
          <w:tcPr>
            <w:tcW w:w="62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37" w:right="22"/>
              <w:rPr>
                <w:sz w:val="15"/>
              </w:rPr>
            </w:pPr>
            <w:r>
              <w:rPr>
                <w:sz w:val="15"/>
              </w:rPr>
              <w:t>315</w:t>
            </w:r>
          </w:p>
        </w:tc>
        <w:tc>
          <w:tcPr>
            <w:tcW w:w="61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97"/>
              <w:jc w:val="left"/>
              <w:rPr>
                <w:sz w:val="15"/>
              </w:rPr>
            </w:pPr>
            <w:r>
              <w:rPr>
                <w:sz w:val="15"/>
              </w:rPr>
              <w:t>366</w:t>
            </w:r>
          </w:p>
        </w:tc>
        <w:tc>
          <w:tcPr>
            <w:tcW w:w="61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60" w:right="61"/>
              <w:rPr>
                <w:sz w:val="15"/>
              </w:rPr>
            </w:pPr>
            <w:r>
              <w:rPr>
                <w:sz w:val="15"/>
              </w:rPr>
              <w:t>387</w:t>
            </w:r>
          </w:p>
        </w:tc>
        <w:tc>
          <w:tcPr>
            <w:tcW w:w="60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200"/>
              <w:jc w:val="left"/>
              <w:rPr>
                <w:sz w:val="15"/>
              </w:rPr>
            </w:pPr>
            <w:r>
              <w:rPr>
                <w:sz w:val="15"/>
              </w:rPr>
              <w:t>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49" w:right="35"/>
              <w:rPr>
                <w:sz w:val="15"/>
              </w:rPr>
            </w:pPr>
            <w:r>
              <w:rPr>
                <w:sz w:val="15"/>
              </w:rPr>
              <w:t>352</w:t>
            </w:r>
          </w:p>
        </w:tc>
        <w:tc>
          <w:tcPr>
            <w:tcW w:w="566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40" w:right="33"/>
              <w:rPr>
                <w:sz w:val="15"/>
              </w:rPr>
            </w:pPr>
            <w:r>
              <w:rPr>
                <w:sz w:val="15"/>
              </w:rPr>
              <w:t>372</w:t>
            </w:r>
          </w:p>
        </w:tc>
        <w:tc>
          <w:tcPr>
            <w:tcW w:w="566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42" w:right="33"/>
              <w:rPr>
                <w:sz w:val="15"/>
              </w:rPr>
            </w:pPr>
            <w:r>
              <w:rPr>
                <w:sz w:val="15"/>
              </w:rPr>
              <w:t>400</w:t>
            </w:r>
          </w:p>
        </w:tc>
        <w:tc>
          <w:tcPr>
            <w:tcW w:w="61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174"/>
              <w:jc w:val="left"/>
              <w:rPr>
                <w:sz w:val="15"/>
              </w:rPr>
            </w:pPr>
            <w:r>
              <w:rPr>
                <w:sz w:val="15"/>
              </w:rPr>
              <w:t>416</w:t>
            </w:r>
          </w:p>
        </w:tc>
        <w:tc>
          <w:tcPr>
            <w:tcW w:w="699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spacing w:line="151" w:lineRule="exact"/>
              <w:ind w:left="219"/>
              <w:jc w:val="left"/>
              <w:rPr>
                <w:sz w:val="15"/>
              </w:rPr>
            </w:pPr>
            <w:r>
              <w:rPr>
                <w:sz w:val="15"/>
              </w:rPr>
              <w:t>416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70" w:type="dxa"/>
          </w:tcPr>
          <w:p>
            <w:pPr>
              <w:pStyle w:val="TableParagraph"/>
              <w:spacing w:before="130"/>
              <w:ind w:left="59"/>
              <w:jc w:val="left"/>
              <w:rPr>
                <w:sz w:val="15"/>
              </w:rPr>
            </w:pPr>
            <w:r>
              <w:rPr>
                <w:position w:val="1"/>
                <w:sz w:val="15"/>
              </w:rPr>
              <w:t xml:space="preserve">区 </w:t>
            </w:r>
            <w:r>
              <w:rPr>
                <w:sz w:val="15"/>
              </w:rPr>
              <w:t>增速</w:t>
            </w:r>
          </w:p>
        </w:tc>
        <w:tc>
          <w:tcPr>
            <w:tcW w:w="573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78.7%</w:t>
            </w:r>
          </w:p>
        </w:tc>
        <w:tc>
          <w:tcPr>
            <w:tcW w:w="637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75"/>
              <w:jc w:val="left"/>
              <w:rPr>
                <w:sz w:val="15"/>
              </w:rPr>
            </w:pPr>
            <w:r>
              <w:rPr>
                <w:sz w:val="15"/>
              </w:rPr>
              <w:t>152.3%</w:t>
            </w:r>
          </w:p>
        </w:tc>
        <w:tc>
          <w:tcPr>
            <w:tcW w:w="67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1199%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88" w:right="38"/>
              <w:rPr>
                <w:sz w:val="15"/>
              </w:rPr>
            </w:pPr>
            <w:r>
              <w:rPr>
                <w:sz w:val="15"/>
              </w:rPr>
              <w:t>58570%</w:t>
            </w:r>
          </w:p>
        </w:tc>
        <w:tc>
          <w:tcPr>
            <w:tcW w:w="1229" w:type="dxa"/>
            <w:gridSpan w:val="2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58"/>
              <w:jc w:val="left"/>
              <w:rPr>
                <w:sz w:val="15"/>
              </w:rPr>
            </w:pPr>
            <w:r>
              <w:rPr>
                <w:sz w:val="15"/>
              </w:rPr>
              <w:t>119164% 185229%</w:t>
            </w:r>
          </w:p>
        </w:tc>
        <w:tc>
          <w:tcPr>
            <w:tcW w:w="61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72"/>
              <w:jc w:val="right"/>
              <w:rPr>
                <w:sz w:val="15"/>
              </w:rPr>
            </w:pPr>
            <w:r>
              <w:rPr>
                <w:sz w:val="15"/>
              </w:rPr>
              <w:t>64156%</w:t>
            </w:r>
          </w:p>
        </w:tc>
        <w:tc>
          <w:tcPr>
            <w:tcW w:w="612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60" w:right="61"/>
              <w:rPr>
                <w:sz w:val="15"/>
              </w:rPr>
            </w:pPr>
            <w:r>
              <w:rPr>
                <w:sz w:val="15"/>
              </w:rPr>
              <w:t>28140%</w:t>
            </w:r>
          </w:p>
        </w:tc>
        <w:tc>
          <w:tcPr>
            <w:tcW w:w="2309" w:type="dxa"/>
            <w:gridSpan w:val="4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2468.3% 1639.8%</w:t>
            </w:r>
            <w:r>
              <w:rPr>
                <w:spacing w:val="-57"/>
                <w:sz w:val="15"/>
              </w:rPr>
              <w:t xml:space="preserve"> </w:t>
            </w:r>
            <w:r>
              <w:rPr>
                <w:sz w:val="15"/>
              </w:rPr>
              <w:t>1190.7% 772.0%</w:t>
            </w:r>
          </w:p>
        </w:tc>
        <w:tc>
          <w:tcPr>
            <w:tcW w:w="610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right="94"/>
              <w:jc w:val="right"/>
              <w:rPr>
                <w:sz w:val="15"/>
              </w:rPr>
            </w:pPr>
            <w:r>
              <w:rPr>
                <w:sz w:val="15"/>
              </w:rPr>
              <w:t>315.9%</w:t>
            </w:r>
          </w:p>
        </w:tc>
        <w:tc>
          <w:tcPr>
            <w:tcW w:w="699" w:type="dxa"/>
          </w:tcPr>
          <w:p>
            <w:pPr>
              <w:pStyle w:val="TableParagraph"/>
              <w:spacing w:before="12"/>
              <w:jc w:val="left"/>
              <w:rPr>
                <w:rFonts w:ascii="Microsoft JhengHei"/>
                <w:b/>
                <w:sz w:val="7"/>
              </w:rPr>
            </w:pPr>
          </w:p>
          <w:p>
            <w:pPr>
              <w:pStyle w:val="TableParagraph"/>
              <w:ind w:left="106"/>
              <w:jc w:val="left"/>
              <w:rPr>
                <w:sz w:val="15"/>
              </w:rPr>
            </w:pPr>
            <w:r>
              <w:rPr>
                <w:sz w:val="15"/>
              </w:rPr>
              <w:t>315.9%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1070" w:type="dxa"/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客座率</w:t>
            </w:r>
          </w:p>
        </w:tc>
        <w:tc>
          <w:tcPr>
            <w:tcW w:w="573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72.6%</w:t>
            </w:r>
          </w:p>
        </w:tc>
        <w:tc>
          <w:tcPr>
            <w:tcW w:w="637" w:type="dxa"/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73.1%</w:t>
            </w:r>
          </w:p>
        </w:tc>
        <w:tc>
          <w:tcPr>
            <w:tcW w:w="670" w:type="dxa"/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73.2%</w:t>
            </w:r>
          </w:p>
        </w:tc>
        <w:tc>
          <w:tcPr>
            <w:tcW w:w="618" w:type="dxa"/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67.5%</w:t>
            </w:r>
          </w:p>
        </w:tc>
        <w:tc>
          <w:tcPr>
            <w:tcW w:w="1229" w:type="dxa"/>
            <w:gridSpan w:val="2"/>
          </w:tcPr>
          <w:p>
            <w:pPr>
              <w:pStyle w:val="TableParagraph"/>
              <w:tabs>
                <w:tab w:val="left" w:pos="735"/>
              </w:tabs>
              <w:spacing w:before="60"/>
              <w:ind w:left="133"/>
              <w:jc w:val="left"/>
              <w:rPr>
                <w:sz w:val="15"/>
              </w:rPr>
            </w:pPr>
            <w:r>
              <w:rPr>
                <w:sz w:val="15"/>
              </w:rPr>
              <w:t>68.3%</w:t>
              <w:tab/>
              <w:t>75.0%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82.9%</w:t>
            </w:r>
          </w:p>
        </w:tc>
        <w:tc>
          <w:tcPr>
            <w:tcW w:w="612" w:type="dxa"/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82.3%</w:t>
            </w:r>
          </w:p>
        </w:tc>
        <w:tc>
          <w:tcPr>
            <w:tcW w:w="2309" w:type="dxa"/>
            <w:gridSpan w:val="4"/>
          </w:tcPr>
          <w:p>
            <w:pPr>
              <w:pStyle w:val="TableParagraph"/>
              <w:tabs>
                <w:tab w:val="left" w:pos="709"/>
              </w:tabs>
              <w:spacing w:before="60"/>
              <w:ind w:left="126"/>
              <w:jc w:val="left"/>
              <w:rPr>
                <w:sz w:val="15"/>
              </w:rPr>
            </w:pPr>
            <w:r>
              <w:rPr>
                <w:sz w:val="15"/>
              </w:rPr>
              <w:t>72.0%</w:t>
              <w:tab/>
              <w:t>72.0% 69.9%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70.7%</w:t>
            </w:r>
          </w:p>
        </w:tc>
        <w:tc>
          <w:tcPr>
            <w:tcW w:w="610" w:type="dxa"/>
          </w:tcPr>
          <w:p>
            <w:pPr>
              <w:pStyle w:val="TableParagraph"/>
              <w:spacing w:before="60"/>
              <w:ind w:right="132"/>
              <w:jc w:val="right"/>
              <w:rPr>
                <w:sz w:val="15"/>
              </w:rPr>
            </w:pPr>
            <w:r>
              <w:rPr>
                <w:sz w:val="15"/>
              </w:rPr>
              <w:t>71.2%</w:t>
            </w:r>
          </w:p>
        </w:tc>
        <w:tc>
          <w:tcPr>
            <w:tcW w:w="699" w:type="dxa"/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71.2%</w:t>
            </w:r>
          </w:p>
        </w:tc>
      </w:tr>
      <w:tr>
        <w:tblPrEx>
          <w:tblW w:w="0" w:type="auto"/>
          <w:jc w:val="left"/>
          <w:tblInd w:w="1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1070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left="271"/>
              <w:jc w:val="left"/>
              <w:rPr>
                <w:sz w:val="15"/>
              </w:rPr>
            </w:pPr>
            <w:r>
              <w:rPr>
                <w:sz w:val="15"/>
              </w:rPr>
              <w:t>增速</w:t>
            </w:r>
          </w:p>
        </w:tc>
        <w:tc>
          <w:tcPr>
            <w:tcW w:w="573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11.1%</w:t>
            </w:r>
          </w:p>
        </w:tc>
        <w:tc>
          <w:tcPr>
            <w:tcW w:w="637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left="113"/>
              <w:jc w:val="left"/>
              <w:rPr>
                <w:sz w:val="15"/>
              </w:rPr>
            </w:pPr>
            <w:r>
              <w:rPr>
                <w:sz w:val="15"/>
              </w:rPr>
              <w:t>13.2%</w:t>
            </w:r>
          </w:p>
        </w:tc>
        <w:tc>
          <w:tcPr>
            <w:tcW w:w="670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left="148"/>
              <w:jc w:val="left"/>
              <w:rPr>
                <w:sz w:val="15"/>
              </w:rPr>
            </w:pPr>
            <w:r>
              <w:rPr>
                <w:sz w:val="15"/>
              </w:rPr>
              <w:t>35.1%</w:t>
            </w:r>
          </w:p>
        </w:tc>
        <w:tc>
          <w:tcPr>
            <w:tcW w:w="618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left="88" w:right="38"/>
              <w:rPr>
                <w:sz w:val="15"/>
              </w:rPr>
            </w:pPr>
            <w:r>
              <w:rPr>
                <w:sz w:val="15"/>
              </w:rPr>
              <w:t>39.1%</w:t>
            </w:r>
          </w:p>
        </w:tc>
        <w:tc>
          <w:tcPr>
            <w:tcW w:w="1229" w:type="dxa"/>
            <w:gridSpan w:val="2"/>
            <w:tcBorders>
              <w:bottom w:val="single" w:sz="8" w:space="0" w:color="044E7D"/>
            </w:tcBorders>
          </w:tcPr>
          <w:p>
            <w:pPr>
              <w:pStyle w:val="TableParagraph"/>
              <w:tabs>
                <w:tab w:val="left" w:pos="735"/>
              </w:tabs>
              <w:spacing w:before="60"/>
              <w:ind w:left="133"/>
              <w:jc w:val="left"/>
              <w:rPr>
                <w:sz w:val="15"/>
              </w:rPr>
            </w:pPr>
            <w:r>
              <w:rPr>
                <w:sz w:val="15"/>
              </w:rPr>
              <w:t>44.5%</w:t>
              <w:tab/>
              <w:t>42.0%</w:t>
            </w:r>
          </w:p>
        </w:tc>
        <w:tc>
          <w:tcPr>
            <w:tcW w:w="612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right="111"/>
              <w:jc w:val="right"/>
              <w:rPr>
                <w:sz w:val="15"/>
              </w:rPr>
            </w:pPr>
            <w:r>
              <w:rPr>
                <w:sz w:val="15"/>
              </w:rPr>
              <w:t>29.0%</w:t>
            </w:r>
          </w:p>
        </w:tc>
        <w:tc>
          <w:tcPr>
            <w:tcW w:w="612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left="60" w:right="61"/>
              <w:rPr>
                <w:sz w:val="15"/>
              </w:rPr>
            </w:pPr>
            <w:r>
              <w:rPr>
                <w:sz w:val="15"/>
              </w:rPr>
              <w:t>28.9%</w:t>
            </w:r>
          </w:p>
        </w:tc>
        <w:tc>
          <w:tcPr>
            <w:tcW w:w="2309" w:type="dxa"/>
            <w:gridSpan w:val="4"/>
            <w:tcBorders>
              <w:bottom w:val="single" w:sz="8" w:space="0" w:color="044E7D"/>
            </w:tcBorders>
          </w:tcPr>
          <w:p>
            <w:pPr>
              <w:pStyle w:val="TableParagraph"/>
              <w:tabs>
                <w:tab w:val="left" w:pos="709"/>
                <w:tab w:val="left" w:pos="1311"/>
                <w:tab w:val="left" w:pos="1842"/>
              </w:tabs>
              <w:spacing w:before="60"/>
              <w:ind w:left="126"/>
              <w:jc w:val="left"/>
              <w:rPr>
                <w:sz w:val="15"/>
              </w:rPr>
            </w:pPr>
            <w:r>
              <w:rPr>
                <w:sz w:val="15"/>
              </w:rPr>
              <w:t>20.1%</w:t>
              <w:tab/>
              <w:t>23.2%</w:t>
              <w:tab/>
              <w:t>7.3%</w:t>
              <w:tab/>
              <w:t>14.5%</w:t>
            </w:r>
          </w:p>
        </w:tc>
        <w:tc>
          <w:tcPr>
            <w:tcW w:w="610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right="133"/>
              <w:jc w:val="right"/>
              <w:rPr>
                <w:sz w:val="15"/>
              </w:rPr>
            </w:pPr>
            <w:r>
              <w:rPr>
                <w:sz w:val="15"/>
              </w:rPr>
              <w:t>-1.4%</w:t>
            </w:r>
          </w:p>
        </w:tc>
        <w:tc>
          <w:tcPr>
            <w:tcW w:w="699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60"/>
              <w:ind w:left="145"/>
              <w:jc w:val="left"/>
              <w:rPr>
                <w:sz w:val="15"/>
              </w:rPr>
            </w:pPr>
            <w:r>
              <w:rPr>
                <w:sz w:val="15"/>
              </w:rPr>
              <w:t>-1.4%</w:t>
            </w:r>
          </w:p>
        </w:tc>
      </w:tr>
    </w:tbl>
    <w:p>
      <w:pPr>
        <w:spacing w:before="36"/>
        <w:ind w:left="128" w:right="0" w:firstLine="0"/>
        <w:jc w:val="left"/>
        <w:rPr>
          <w:sz w:val="17"/>
        </w:rPr>
      </w:pPr>
      <w:r>
        <w:t xml:space="preserve">资料来源：公司公告，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12"/>
        </w:rPr>
      </w:pPr>
      <w:r>
        <w:pict>
          <v:shape id="_x0000_s1138" style="width:482.25pt;height:0.1pt;margin-top:10.31pt;margin-left:56.55pt;mso-position-horizontal-relative:page;mso-wrap-distance-left:0;mso-wrap-distance-right:0;position:absolute;z-index:-251622400" coordorigin="1131,206" coordsize="9645,0" path="m1131,206l10776,206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2"/>
        </w:rPr>
        <w:sectPr>
          <w:headerReference w:type="default" r:id="rId36"/>
          <w:footerReference w:type="default" r:id="rId37"/>
          <w:pgSz w:w="11910" w:h="16840"/>
          <w:pgMar w:top="1660" w:right="0" w:bottom="920" w:left="1000" w:header="708" w:footer="708"/>
          <w:pgNumType w:start="15"/>
          <w:cols w:space="708"/>
        </w:sectPr>
      </w:pPr>
    </w:p>
    <w:p>
      <w:pPr>
        <w:spacing w:before="89"/>
        <w:ind w:left="0" w:right="1191" w:firstLine="0"/>
        <w:jc w:val="right"/>
        <w:rPr>
          <w:sz w:val="16"/>
        </w:rPr>
      </w:pPr>
      <w:r>
        <w:rPr>
          <w:color w:val="044E7D"/>
          <w:sz w:val="16"/>
        </w:rPr>
        <w:t>行业动态研究报告</w:t>
      </w:r>
    </w:p>
    <w:p>
      <w:pPr>
        <w:pStyle w:val="BodyText"/>
        <w:spacing w:before="7"/>
        <w:rPr>
          <w:sz w:val="14"/>
        </w:rPr>
      </w:pPr>
    </w:p>
    <w:p>
      <w:pPr>
        <w:spacing w:before="21"/>
        <w:ind w:left="132" w:right="0" w:firstLine="0"/>
        <w:jc w:val="left"/>
        <w:rPr>
          <w:rFonts w:ascii="Microsoft JhengHei" w:eastAsia="Microsoft JhengHei" w:hint="eastAsia"/>
          <w:b/>
          <w:sz w:val="18"/>
        </w:rPr>
      </w:pPr>
      <w:r>
        <w:pict>
          <v:line id="_x0000_s1139" style="mso-position-horizontal-relative:page;position:absolute;z-index:251695104" from="56.65pt,18.3pt" to="545.75pt,18.3pt" stroked="t" strokecolor="#044b80" strokeweight="1.44pt">
            <v:stroke dashstyle="solid"/>
          </v:line>
        </w:pict>
      </w:r>
      <w:r>
        <w:rPr>
          <w:rFonts w:ascii="Microsoft JhengHei" w:eastAsia="Microsoft JhengHei" w:hint="eastAsia"/>
          <w:b/>
          <w:sz w:val="18"/>
        </w:rPr>
        <w:t>图表</w:t>
      </w:r>
      <w:r>
        <w:rPr>
          <w:rFonts w:ascii="Times New Roman" w:eastAsia="Times New Roman"/>
          <w:b/>
          <w:sz w:val="18"/>
        </w:rPr>
        <w:t>12</w:t>
      </w:r>
      <w:r>
        <w:rPr>
          <w:rFonts w:ascii="Microsoft JhengHei" w:eastAsia="Microsoft JhengHei" w:hint="eastAsia"/>
          <w:b/>
          <w:sz w:val="18"/>
        </w:rPr>
        <w:t>： 春秋航空各航线月度经营数据</w:t>
      </w:r>
    </w:p>
    <w:p>
      <w:pPr>
        <w:spacing w:after="0"/>
        <w:jc w:val="left"/>
        <w:rPr>
          <w:rFonts w:ascii="Microsoft JhengHei" w:eastAsia="Microsoft JhengHei" w:hint="eastAsia"/>
          <w:sz w:val="18"/>
        </w:rPr>
        <w:sectPr>
          <w:headerReference w:type="default" r:id="rId38"/>
          <w:footerReference w:type="default" r:id="rId39"/>
          <w:pgSz w:w="11910" w:h="16840"/>
          <w:pgMar w:top="1660" w:right="0" w:bottom="920" w:left="1000" w:header="708" w:footer="708"/>
          <w:pgNumType w:start="16"/>
          <w:cols w:space="708"/>
        </w:sectPr>
      </w:pPr>
    </w:p>
    <w:p>
      <w:pPr>
        <w:spacing w:before="87"/>
        <w:ind w:left="0" w:right="0" w:firstLine="0"/>
        <w:jc w:val="right"/>
        <w:rPr>
          <w:sz w:val="16"/>
        </w:rPr>
      </w:pPr>
      <w:r>
        <w:rPr>
          <w:sz w:val="16"/>
        </w:rPr>
        <w:t>2023</w:t>
      </w:r>
    </w:p>
    <w:p>
      <w:pPr>
        <w:spacing w:before="87"/>
        <w:ind w:left="222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15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189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141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256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282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393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25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184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290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296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2023</w:t>
      </w:r>
    </w:p>
    <w:p>
      <w:pPr>
        <w:spacing w:before="87"/>
        <w:ind w:left="228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2024</w:t>
      </w:r>
    </w:p>
    <w:p>
      <w:pPr>
        <w:spacing w:before="87"/>
        <w:ind w:left="370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2024</w:t>
      </w:r>
    </w:p>
    <w:p>
      <w:pPr>
        <w:spacing w:after="0"/>
        <w:jc w:val="left"/>
        <w:rPr>
          <w:sz w:val="16"/>
        </w:rPr>
        <w:sectPr>
          <w:headerReference w:type="default" r:id="rId40"/>
          <w:footerReference w:type="default" r:id="rId41"/>
          <w:type w:val="continuous"/>
          <w:pgSz w:w="11910" w:h="16840"/>
          <w:pgMar w:top="1660" w:right="0" w:bottom="920" w:left="1000" w:header="708" w:footer="708"/>
          <w:pgNumType w:start="17"/>
          <w:cols w:num="14" w:space="708" w:equalWidth="0">
            <w:col w:w="1860" w:space="40"/>
            <w:col w:w="544" w:space="39"/>
            <w:col w:w="479" w:space="40"/>
            <w:col w:w="511" w:space="39"/>
            <w:col w:w="462" w:space="39"/>
            <w:col w:w="577" w:space="40"/>
            <w:col w:w="604" w:space="40"/>
            <w:col w:w="714" w:space="39"/>
            <w:col w:w="580" w:space="40"/>
            <w:col w:w="505" w:space="39"/>
            <w:col w:w="610" w:space="40"/>
            <w:col w:w="616" w:space="39"/>
            <w:col w:w="548" w:space="40"/>
            <w:col w:w="1786" w:space="0"/>
          </w:cols>
        </w:sectPr>
      </w:pPr>
    </w:p>
    <w:p>
      <w:pPr>
        <w:pStyle w:val="BodyText"/>
        <w:rPr>
          <w:sz w:val="10"/>
        </w:rPr>
      </w:pPr>
    </w:p>
    <w:tbl>
      <w:tblPr>
        <w:tblStyle w:val="TableNormal5"/>
        <w:tblW w:w="0" w:type="auto"/>
        <w:jc w:val="left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"/>
        <w:gridCol w:w="858"/>
        <w:gridCol w:w="578"/>
        <w:gridCol w:w="551"/>
        <w:gridCol w:w="534"/>
        <w:gridCol w:w="547"/>
        <w:gridCol w:w="618"/>
        <w:gridCol w:w="630"/>
        <w:gridCol w:w="646"/>
        <w:gridCol w:w="646"/>
        <w:gridCol w:w="635"/>
        <w:gridCol w:w="658"/>
        <w:gridCol w:w="614"/>
        <w:gridCol w:w="663"/>
        <w:gridCol w:w="639"/>
        <w:gridCol w:w="625"/>
        <w:gridCol w:w="183"/>
      </w:tblGrid>
      <w:tr>
        <w:tblPrEx>
          <w:tblW w:w="0" w:type="auto"/>
          <w:jc w:val="left"/>
          <w:tblInd w:w="1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3"/>
          <w:jc w:val="left"/>
        </w:trPr>
        <w:tc>
          <w:tcPr>
            <w:tcW w:w="2864" w:type="dxa"/>
            <w:gridSpan w:val="5"/>
            <w:tcBorders>
              <w:bottom w:val="single" w:sz="4" w:space="0" w:color="044E7D"/>
            </w:tcBorders>
          </w:tcPr>
          <w:p>
            <w:pPr>
              <w:pStyle w:val="TableParagraph"/>
              <w:tabs>
                <w:tab w:val="left" w:pos="1346"/>
                <w:tab w:val="left" w:pos="1927"/>
                <w:tab w:val="left" w:pos="2445"/>
              </w:tabs>
              <w:spacing w:line="183" w:lineRule="exact"/>
              <w:ind w:left="21"/>
              <w:jc w:val="left"/>
              <w:rPr>
                <w:sz w:val="16"/>
              </w:rPr>
            </w:pPr>
            <w:r>
              <w:rPr>
                <w:sz w:val="16"/>
              </w:rPr>
              <w:t>（单位</w:t>
            </w:r>
            <w:r>
              <w:rPr>
                <w:spacing w:val="-3"/>
                <w:sz w:val="16"/>
              </w:rPr>
              <w:t>：</w:t>
            </w:r>
            <w:r>
              <w:rPr>
                <w:sz w:val="16"/>
              </w:rPr>
              <w:t>百万）</w:t>
              <w:tab/>
              <w:t>1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月</w:t>
              <w:tab/>
              <w:t>2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月</w:t>
              <w:tab/>
              <w:t>3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月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line="183" w:lineRule="exact"/>
              <w:ind w:left="65"/>
              <w:jc w:val="left"/>
              <w:rPr>
                <w:sz w:val="16"/>
              </w:rPr>
            </w:pPr>
            <w:r>
              <w:rPr>
                <w:sz w:val="16"/>
              </w:rPr>
              <w:t>4 月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line="183" w:lineRule="exact"/>
              <w:ind w:left="41" w:right="39"/>
              <w:rPr>
                <w:sz w:val="16"/>
              </w:rPr>
            </w:pPr>
            <w:r>
              <w:rPr>
                <w:sz w:val="16"/>
              </w:rPr>
              <w:t>5 月</w:t>
            </w:r>
          </w:p>
        </w:tc>
        <w:tc>
          <w:tcPr>
            <w:tcW w:w="63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line="183" w:lineRule="exact"/>
              <w:ind w:left="9" w:right="19"/>
              <w:rPr>
                <w:sz w:val="16"/>
              </w:rPr>
            </w:pPr>
            <w:r>
              <w:rPr>
                <w:sz w:val="16"/>
              </w:rPr>
              <w:t>6 月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line="183" w:lineRule="exact"/>
              <w:ind w:left="21" w:right="22"/>
              <w:rPr>
                <w:sz w:val="16"/>
              </w:rPr>
            </w:pPr>
            <w:r>
              <w:rPr>
                <w:sz w:val="16"/>
              </w:rPr>
              <w:t>7 月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line="183" w:lineRule="exact"/>
              <w:ind w:left="22" w:right="20"/>
              <w:rPr>
                <w:sz w:val="16"/>
              </w:rPr>
            </w:pPr>
            <w:r>
              <w:rPr>
                <w:sz w:val="16"/>
              </w:rPr>
              <w:t>8 月</w:t>
            </w:r>
          </w:p>
        </w:tc>
        <w:tc>
          <w:tcPr>
            <w:tcW w:w="63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line="183" w:lineRule="exact"/>
              <w:ind w:left="261"/>
              <w:jc w:val="left"/>
              <w:rPr>
                <w:sz w:val="16"/>
              </w:rPr>
            </w:pPr>
            <w:r>
              <w:rPr>
                <w:sz w:val="16"/>
              </w:rPr>
              <w:t>9 月</w:t>
            </w:r>
          </w:p>
        </w:tc>
        <w:tc>
          <w:tcPr>
            <w:tcW w:w="65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83" w:lineRule="exact"/>
              <w:ind w:right="81"/>
              <w:jc w:val="right"/>
              <w:rPr>
                <w:sz w:val="16"/>
              </w:rPr>
            </w:pPr>
            <w:r>
              <w:rPr>
                <w:sz w:val="16"/>
              </w:rPr>
              <w:t>10 月</w:t>
            </w:r>
          </w:p>
        </w:tc>
        <w:tc>
          <w:tcPr>
            <w:tcW w:w="614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83" w:lineRule="exact"/>
              <w:ind w:right="126"/>
              <w:jc w:val="right"/>
              <w:rPr>
                <w:sz w:val="16"/>
              </w:rPr>
            </w:pPr>
            <w:r>
              <w:rPr>
                <w:sz w:val="16"/>
              </w:rPr>
              <w:t>11 月</w:t>
            </w:r>
          </w:p>
        </w:tc>
        <w:tc>
          <w:tcPr>
            <w:tcW w:w="663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83" w:lineRule="exact"/>
              <w:ind w:left="46" w:right="13"/>
              <w:rPr>
                <w:sz w:val="16"/>
              </w:rPr>
            </w:pPr>
            <w:r>
              <w:rPr>
                <w:sz w:val="16"/>
              </w:rPr>
              <w:t>12 月</w:t>
            </w:r>
          </w:p>
        </w:tc>
        <w:tc>
          <w:tcPr>
            <w:tcW w:w="639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183" w:lineRule="exact"/>
              <w:ind w:left="130"/>
              <w:jc w:val="left"/>
              <w:rPr>
                <w:sz w:val="16"/>
              </w:rPr>
            </w:pPr>
            <w:r>
              <w:rPr>
                <w:sz w:val="16"/>
              </w:rPr>
              <w:t>1 月</w:t>
            </w:r>
          </w:p>
        </w:tc>
        <w:tc>
          <w:tcPr>
            <w:tcW w:w="808" w:type="dxa"/>
            <w:gridSpan w:val="2"/>
            <w:tcBorders>
              <w:bottom w:val="single" w:sz="4" w:space="0" w:color="000000"/>
            </w:tcBorders>
          </w:tcPr>
          <w:p>
            <w:pPr>
              <w:pStyle w:val="TableParagraph"/>
              <w:spacing w:line="183" w:lineRule="exact"/>
              <w:ind w:left="202"/>
              <w:jc w:val="left"/>
              <w:rPr>
                <w:sz w:val="16"/>
              </w:rPr>
            </w:pPr>
            <w:r>
              <w:rPr>
                <w:sz w:val="16"/>
              </w:rPr>
              <w:t>累计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2864" w:type="dxa"/>
            <w:gridSpan w:val="5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353"/>
              <w:jc w:val="left"/>
              <w:rPr>
                <w:sz w:val="16"/>
              </w:rPr>
            </w:pPr>
            <w:r>
              <w:rPr>
                <w:sz w:val="16"/>
              </w:rPr>
              <w:t>可用座公里 3,143 3,435 3,783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3,861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39" w:right="39"/>
              <w:rPr>
                <w:sz w:val="16"/>
              </w:rPr>
            </w:pPr>
            <w:r>
              <w:rPr>
                <w:sz w:val="16"/>
              </w:rPr>
              <w:t>3,957</w:t>
            </w:r>
          </w:p>
        </w:tc>
        <w:tc>
          <w:tcPr>
            <w:tcW w:w="63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9" w:right="20"/>
              <w:rPr>
                <w:sz w:val="16"/>
              </w:rPr>
            </w:pPr>
            <w:r>
              <w:rPr>
                <w:sz w:val="16"/>
              </w:rPr>
              <w:t>3,867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1" w:right="22"/>
              <w:rPr>
                <w:sz w:val="16"/>
              </w:rPr>
            </w:pPr>
            <w:r>
              <w:rPr>
                <w:sz w:val="16"/>
              </w:rPr>
              <w:t>4,805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2" w:right="21"/>
              <w:rPr>
                <w:sz w:val="16"/>
              </w:rPr>
            </w:pPr>
            <w:r>
              <w:rPr>
                <w:sz w:val="16"/>
              </w:rPr>
              <w:t>4,855</w:t>
            </w:r>
          </w:p>
        </w:tc>
        <w:tc>
          <w:tcPr>
            <w:tcW w:w="63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3,916</w:t>
            </w:r>
          </w:p>
        </w:tc>
        <w:tc>
          <w:tcPr>
            <w:tcW w:w="65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5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3,998</w:t>
            </w:r>
          </w:p>
        </w:tc>
        <w:tc>
          <w:tcPr>
            <w:tcW w:w="614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5"/>
              <w:ind w:right="148"/>
              <w:jc w:val="right"/>
              <w:rPr>
                <w:sz w:val="16"/>
              </w:rPr>
            </w:pPr>
            <w:r>
              <w:rPr>
                <w:sz w:val="16"/>
              </w:rPr>
              <w:t>3805</w:t>
            </w:r>
          </w:p>
        </w:tc>
        <w:tc>
          <w:tcPr>
            <w:tcW w:w="663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5"/>
              <w:ind w:left="45" w:right="16"/>
              <w:rPr>
                <w:sz w:val="16"/>
              </w:rPr>
            </w:pPr>
            <w:r>
              <w:rPr>
                <w:sz w:val="16"/>
              </w:rPr>
              <w:t>4,042</w:t>
            </w:r>
          </w:p>
        </w:tc>
        <w:tc>
          <w:tcPr>
            <w:tcW w:w="639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55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4,436</w:t>
            </w:r>
          </w:p>
        </w:tc>
        <w:tc>
          <w:tcPr>
            <w:tcW w:w="808" w:type="dxa"/>
            <w:gridSpan w:val="2"/>
            <w:tcBorders>
              <w:top w:val="single" w:sz="4" w:space="0" w:color="000000"/>
            </w:tcBorders>
          </w:tcPr>
          <w:p>
            <w:pPr>
              <w:pStyle w:val="TableParagraph"/>
              <w:spacing w:before="55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4,436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6"/>
          <w:jc w:val="left"/>
        </w:trPr>
        <w:tc>
          <w:tcPr>
            <w:tcW w:w="2864" w:type="dxa"/>
            <w:gridSpan w:val="5"/>
          </w:tcPr>
          <w:p>
            <w:pPr>
              <w:pStyle w:val="TableParagraph"/>
              <w:spacing w:before="53" w:line="163" w:lineRule="exact"/>
              <w:ind w:left="432"/>
              <w:jc w:val="left"/>
              <w:rPr>
                <w:sz w:val="16"/>
              </w:rPr>
            </w:pPr>
            <w:r>
              <w:rPr>
                <w:sz w:val="16"/>
              </w:rPr>
              <w:t>同比增速 -22.0% -11.6% 90.1%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 w:line="163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302.7%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 w:line="163" w:lineRule="exact"/>
              <w:ind w:left="9" w:right="7"/>
              <w:rPr>
                <w:sz w:val="16"/>
              </w:rPr>
            </w:pPr>
            <w:r>
              <w:rPr>
                <w:sz w:val="16"/>
              </w:rPr>
              <w:t>167.0%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 w:line="163" w:lineRule="exact"/>
              <w:ind w:left="9" w:right="20"/>
              <w:rPr>
                <w:sz w:val="16"/>
              </w:rPr>
            </w:pPr>
            <w:r>
              <w:rPr>
                <w:sz w:val="16"/>
              </w:rPr>
              <w:t>62.1%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 w:line="163" w:lineRule="exact"/>
              <w:ind w:left="21" w:right="22"/>
              <w:rPr>
                <w:sz w:val="16"/>
              </w:rPr>
            </w:pPr>
            <w:r>
              <w:rPr>
                <w:sz w:val="16"/>
              </w:rPr>
              <w:t>34.9%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 w:line="163" w:lineRule="exact"/>
              <w:ind w:left="22" w:right="21"/>
              <w:rPr>
                <w:sz w:val="16"/>
              </w:rPr>
            </w:pPr>
            <w:r>
              <w:rPr>
                <w:sz w:val="16"/>
              </w:rPr>
              <w:t>39.9%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 w:line="163" w:lineRule="exact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53.5%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 w:line="163" w:lineRule="exact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89.4%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 w:line="163" w:lineRule="exact"/>
              <w:ind w:right="67"/>
              <w:jc w:val="right"/>
              <w:rPr>
                <w:sz w:val="16"/>
              </w:rPr>
            </w:pPr>
            <w:r>
              <w:rPr>
                <w:sz w:val="16"/>
              </w:rPr>
              <w:t>141.1%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 w:line="163" w:lineRule="exact"/>
              <w:ind w:left="45" w:right="16"/>
              <w:rPr>
                <w:sz w:val="16"/>
              </w:rPr>
            </w:pPr>
            <w:r>
              <w:rPr>
                <w:sz w:val="16"/>
              </w:rPr>
              <w:t>72.0%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 w:line="163" w:lineRule="exact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41.1%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 w:line="163" w:lineRule="exact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41.1%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9"/>
          <w:jc w:val="left"/>
        </w:trPr>
        <w:tc>
          <w:tcPr>
            <w:tcW w:w="343" w:type="dxa"/>
          </w:tcPr>
          <w:p>
            <w:pPr>
              <w:pStyle w:val="TableParagraph"/>
              <w:spacing w:before="3"/>
              <w:jc w:val="left"/>
              <w:rPr>
                <w:sz w:val="22"/>
              </w:rPr>
            </w:pPr>
          </w:p>
          <w:p>
            <w:pPr>
              <w:pStyle w:val="TableParagraph"/>
              <w:ind w:right="6"/>
              <w:rPr>
                <w:sz w:val="16"/>
              </w:rPr>
            </w:pPr>
            <w:r>
              <w:rPr>
                <w:sz w:val="16"/>
              </w:rPr>
              <w:t>总体</w:t>
            </w:r>
          </w:p>
        </w:tc>
        <w:tc>
          <w:tcPr>
            <w:tcW w:w="858" w:type="dxa"/>
          </w:tcPr>
          <w:p>
            <w:pPr>
              <w:pStyle w:val="TableParagraph"/>
              <w:spacing w:before="24" w:line="310" w:lineRule="atLeast"/>
              <w:ind w:left="89" w:right="44" w:hanging="80"/>
              <w:jc w:val="left"/>
              <w:rPr>
                <w:sz w:val="16"/>
              </w:rPr>
            </w:pPr>
            <w:r>
              <w:rPr>
                <w:sz w:val="16"/>
              </w:rPr>
              <w:t>收入客公里同比增速</w:t>
            </w:r>
          </w:p>
        </w:tc>
        <w:tc>
          <w:tcPr>
            <w:tcW w:w="578" w:type="dxa"/>
          </w:tcPr>
          <w:p>
            <w:pPr>
              <w:pStyle w:val="TableParagraph"/>
              <w:spacing w:before="129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2,672</w:t>
            </w:r>
          </w:p>
          <w:p>
            <w:pPr>
              <w:pStyle w:val="TableParagraph"/>
              <w:spacing w:before="107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-6.3%</w:t>
            </w:r>
          </w:p>
        </w:tc>
        <w:tc>
          <w:tcPr>
            <w:tcW w:w="551" w:type="dxa"/>
          </w:tcPr>
          <w:p>
            <w:pPr>
              <w:pStyle w:val="TableParagraph"/>
              <w:spacing w:before="129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2,992</w:t>
            </w:r>
          </w:p>
          <w:p>
            <w:pPr>
              <w:pStyle w:val="TableParagraph"/>
              <w:spacing w:before="107"/>
              <w:ind w:left="129"/>
              <w:jc w:val="left"/>
              <w:rPr>
                <w:sz w:val="16"/>
              </w:rPr>
            </w:pPr>
            <w:r>
              <w:rPr>
                <w:sz w:val="16"/>
              </w:rPr>
              <w:t>1.1%</w:t>
            </w:r>
          </w:p>
        </w:tc>
        <w:tc>
          <w:tcPr>
            <w:tcW w:w="534" w:type="dxa"/>
          </w:tcPr>
          <w:p>
            <w:pPr>
              <w:pStyle w:val="TableParagraph"/>
              <w:spacing w:before="129"/>
              <w:ind w:left="55"/>
              <w:jc w:val="left"/>
              <w:rPr>
                <w:sz w:val="16"/>
              </w:rPr>
            </w:pPr>
            <w:r>
              <w:rPr>
                <w:sz w:val="16"/>
              </w:rPr>
              <w:t>3,337</w:t>
            </w:r>
          </w:p>
          <w:p>
            <w:pPr>
              <w:pStyle w:val="TableParagraph"/>
              <w:spacing w:before="107"/>
              <w:ind w:left="17"/>
              <w:jc w:val="left"/>
              <w:rPr>
                <w:sz w:val="16"/>
              </w:rPr>
            </w:pPr>
            <w:r>
              <w:rPr>
                <w:sz w:val="16"/>
              </w:rPr>
              <w:t>148.3%</w:t>
            </w:r>
          </w:p>
        </w:tc>
        <w:tc>
          <w:tcPr>
            <w:tcW w:w="547" w:type="dxa"/>
          </w:tcPr>
          <w:p>
            <w:pPr>
              <w:pStyle w:val="TableParagraph"/>
              <w:spacing w:before="129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3,426</w:t>
            </w:r>
          </w:p>
          <w:p>
            <w:pPr>
              <w:pStyle w:val="TableParagraph"/>
              <w:spacing w:before="107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436.0%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9"/>
              <w:ind w:left="108"/>
              <w:jc w:val="left"/>
              <w:rPr>
                <w:sz w:val="16"/>
              </w:rPr>
            </w:pPr>
            <w:r>
              <w:rPr>
                <w:sz w:val="16"/>
              </w:rPr>
              <w:t>3,476</w:t>
            </w:r>
          </w:p>
          <w:p>
            <w:pPr>
              <w:pStyle w:val="TableParagraph"/>
              <w:spacing w:before="107"/>
              <w:ind w:left="70"/>
              <w:jc w:val="left"/>
              <w:rPr>
                <w:sz w:val="16"/>
              </w:rPr>
            </w:pPr>
            <w:r>
              <w:rPr>
                <w:sz w:val="16"/>
              </w:rPr>
              <w:t>239.8%</w:t>
            </w:r>
          </w:p>
        </w:tc>
        <w:tc>
          <w:tcPr>
            <w:tcW w:w="630" w:type="dxa"/>
          </w:tcPr>
          <w:p>
            <w:pPr>
              <w:pStyle w:val="TableParagraph"/>
              <w:spacing w:before="129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3,485</w:t>
            </w:r>
          </w:p>
          <w:p>
            <w:pPr>
              <w:pStyle w:val="TableParagraph"/>
              <w:spacing w:before="107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85.7%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4,435</w:t>
            </w:r>
          </w:p>
          <w:p>
            <w:pPr>
              <w:pStyle w:val="TableParagraph"/>
              <w:spacing w:before="107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58.6%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122"/>
              <w:jc w:val="left"/>
              <w:rPr>
                <w:sz w:val="16"/>
              </w:rPr>
            </w:pPr>
            <w:r>
              <w:rPr>
                <w:sz w:val="16"/>
              </w:rPr>
              <w:t>4,491</w:t>
            </w:r>
          </w:p>
          <w:p>
            <w:pPr>
              <w:pStyle w:val="TableParagraph"/>
              <w:spacing w:before="107"/>
              <w:ind w:left="122"/>
              <w:jc w:val="left"/>
              <w:rPr>
                <w:sz w:val="16"/>
              </w:rPr>
            </w:pPr>
            <w:r>
              <w:rPr>
                <w:sz w:val="16"/>
              </w:rPr>
              <w:t>67.0%</w:t>
            </w:r>
          </w:p>
        </w:tc>
        <w:tc>
          <w:tcPr>
            <w:tcW w:w="635" w:type="dxa"/>
          </w:tcPr>
          <w:p>
            <w:pPr>
              <w:pStyle w:val="TableParagraph"/>
              <w:spacing w:before="129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3,536</w:t>
            </w:r>
          </w:p>
          <w:p>
            <w:pPr>
              <w:pStyle w:val="TableParagraph"/>
              <w:spacing w:before="107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78.5%</w:t>
            </w:r>
          </w:p>
        </w:tc>
        <w:tc>
          <w:tcPr>
            <w:tcW w:w="658" w:type="dxa"/>
          </w:tcPr>
          <w:p>
            <w:pPr>
              <w:pStyle w:val="TableParagraph"/>
              <w:spacing w:before="129"/>
              <w:ind w:left="111"/>
              <w:jc w:val="left"/>
              <w:rPr>
                <w:sz w:val="16"/>
              </w:rPr>
            </w:pPr>
            <w:r>
              <w:rPr>
                <w:sz w:val="16"/>
              </w:rPr>
              <w:t>3,606</w:t>
            </w:r>
          </w:p>
          <w:p>
            <w:pPr>
              <w:pStyle w:val="TableParagraph"/>
              <w:spacing w:before="107"/>
              <w:ind w:left="70"/>
              <w:jc w:val="left"/>
              <w:rPr>
                <w:sz w:val="16"/>
              </w:rPr>
            </w:pPr>
            <w:r>
              <w:rPr>
                <w:sz w:val="16"/>
              </w:rPr>
              <w:t>125.0%</w:t>
            </w:r>
          </w:p>
        </w:tc>
        <w:tc>
          <w:tcPr>
            <w:tcW w:w="614" w:type="dxa"/>
          </w:tcPr>
          <w:p>
            <w:pPr>
              <w:pStyle w:val="TableParagraph"/>
              <w:spacing w:before="129"/>
              <w:ind w:left="144"/>
              <w:jc w:val="left"/>
              <w:rPr>
                <w:sz w:val="16"/>
              </w:rPr>
            </w:pPr>
            <w:r>
              <w:rPr>
                <w:sz w:val="16"/>
              </w:rPr>
              <w:t>3641</w:t>
            </w:r>
          </w:p>
          <w:p>
            <w:pPr>
              <w:pStyle w:val="TableParagraph"/>
              <w:spacing w:before="107"/>
              <w:ind w:left="144"/>
              <w:jc w:val="left"/>
              <w:rPr>
                <w:sz w:val="16"/>
              </w:rPr>
            </w:pPr>
            <w:r>
              <w:rPr>
                <w:sz w:val="16"/>
              </w:rPr>
              <w:t>139%</w:t>
            </w:r>
          </w:p>
        </w:tc>
        <w:tc>
          <w:tcPr>
            <w:tcW w:w="663" w:type="dxa"/>
          </w:tcPr>
          <w:p>
            <w:pPr>
              <w:pStyle w:val="TableParagraph"/>
              <w:spacing w:before="129"/>
              <w:ind w:left="145"/>
              <w:jc w:val="left"/>
              <w:rPr>
                <w:sz w:val="16"/>
              </w:rPr>
            </w:pPr>
            <w:r>
              <w:rPr>
                <w:sz w:val="16"/>
              </w:rPr>
              <w:t>3,606</w:t>
            </w:r>
          </w:p>
          <w:p>
            <w:pPr>
              <w:pStyle w:val="TableParagraph"/>
              <w:spacing w:before="107"/>
              <w:ind w:left="107"/>
              <w:jc w:val="left"/>
              <w:rPr>
                <w:sz w:val="16"/>
              </w:rPr>
            </w:pPr>
            <w:r>
              <w:rPr>
                <w:sz w:val="16"/>
              </w:rPr>
              <w:t>105.5%</w:t>
            </w:r>
          </w:p>
        </w:tc>
        <w:tc>
          <w:tcPr>
            <w:tcW w:w="639" w:type="dxa"/>
          </w:tcPr>
          <w:p>
            <w:pPr>
              <w:pStyle w:val="TableParagraph"/>
              <w:spacing w:before="129"/>
              <w:ind w:left="70"/>
              <w:jc w:val="left"/>
              <w:rPr>
                <w:sz w:val="16"/>
              </w:rPr>
            </w:pPr>
            <w:r>
              <w:rPr>
                <w:sz w:val="16"/>
              </w:rPr>
              <w:t>4,030</w:t>
            </w:r>
          </w:p>
          <w:p>
            <w:pPr>
              <w:pStyle w:val="TableParagraph"/>
              <w:spacing w:before="107"/>
              <w:ind w:left="70"/>
              <w:jc w:val="left"/>
              <w:rPr>
                <w:sz w:val="16"/>
              </w:rPr>
            </w:pPr>
            <w:r>
              <w:rPr>
                <w:sz w:val="16"/>
              </w:rPr>
              <w:t>50.8%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129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4,030</w:t>
            </w:r>
          </w:p>
          <w:p>
            <w:pPr>
              <w:pStyle w:val="TableParagraph"/>
              <w:spacing w:before="107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50.8%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6"/>
              <w:rPr>
                <w:sz w:val="16"/>
              </w:rPr>
            </w:pPr>
            <w:r>
              <w:rPr>
                <w:sz w:val="16"/>
              </w:rPr>
              <w:t>客座率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85.0%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27"/>
              <w:rPr>
                <w:sz w:val="16"/>
              </w:rPr>
            </w:pPr>
            <w:r>
              <w:rPr>
                <w:sz w:val="16"/>
              </w:rPr>
              <w:t>87.1%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88.2%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88.7%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/>
              <w:ind w:left="39" w:right="39"/>
              <w:rPr>
                <w:sz w:val="16"/>
              </w:rPr>
            </w:pPr>
            <w:r>
              <w:rPr>
                <w:sz w:val="16"/>
              </w:rPr>
              <w:t>87.8%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90.1%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92.3%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92.5%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90.3%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90.2%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88.5%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89.2%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90.9%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90.9%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343" w:type="dxa"/>
            <w:tcBorders>
              <w:bottom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14.2%</w:t>
            </w:r>
          </w:p>
        </w:tc>
        <w:tc>
          <w:tcPr>
            <w:tcW w:w="55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7"/>
              <w:rPr>
                <w:sz w:val="16"/>
              </w:rPr>
            </w:pPr>
            <w:r>
              <w:rPr>
                <w:sz w:val="16"/>
              </w:rPr>
              <w:t>10.9%</w:t>
            </w:r>
          </w:p>
        </w:tc>
        <w:tc>
          <w:tcPr>
            <w:tcW w:w="53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20.7%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22.1%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39" w:right="39"/>
              <w:rPr>
                <w:sz w:val="16"/>
              </w:rPr>
            </w:pPr>
            <w:r>
              <w:rPr>
                <w:sz w:val="16"/>
              </w:rPr>
              <w:t>18.8%</w:t>
            </w:r>
          </w:p>
        </w:tc>
        <w:tc>
          <w:tcPr>
            <w:tcW w:w="63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11.5%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13.8%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15.0%</w:t>
            </w:r>
          </w:p>
        </w:tc>
        <w:tc>
          <w:tcPr>
            <w:tcW w:w="63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12.7%</w:t>
            </w:r>
          </w:p>
        </w:tc>
        <w:tc>
          <w:tcPr>
            <w:tcW w:w="65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14.3%</w:t>
            </w:r>
          </w:p>
        </w:tc>
        <w:tc>
          <w:tcPr>
            <w:tcW w:w="61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16.3%</w:t>
            </w:r>
          </w:p>
        </w:tc>
        <w:tc>
          <w:tcPr>
            <w:tcW w:w="66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14.5%</w:t>
            </w:r>
          </w:p>
        </w:tc>
        <w:tc>
          <w:tcPr>
            <w:tcW w:w="63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111"/>
              <w:jc w:val="left"/>
              <w:rPr>
                <w:sz w:val="16"/>
              </w:rPr>
            </w:pPr>
            <w:r>
              <w:rPr>
                <w:sz w:val="16"/>
              </w:rPr>
              <w:t>5.8%</w:t>
            </w:r>
          </w:p>
        </w:tc>
        <w:tc>
          <w:tcPr>
            <w:tcW w:w="808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02"/>
              <w:jc w:val="left"/>
              <w:rPr>
                <w:sz w:val="16"/>
              </w:rPr>
            </w:pPr>
            <w:r>
              <w:rPr>
                <w:sz w:val="16"/>
              </w:rPr>
              <w:t>5.8%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343" w:type="dxa"/>
            <w:tcBorders>
              <w:top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right="33"/>
              <w:rPr>
                <w:sz w:val="16"/>
              </w:rPr>
            </w:pPr>
            <w:r>
              <w:rPr>
                <w:sz w:val="16"/>
              </w:rPr>
              <w:t>可用座公里</w:t>
            </w:r>
          </w:p>
        </w:tc>
        <w:tc>
          <w:tcPr>
            <w:tcW w:w="57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26" w:right="28"/>
              <w:rPr>
                <w:sz w:val="16"/>
              </w:rPr>
            </w:pPr>
            <w:r>
              <w:rPr>
                <w:sz w:val="16"/>
              </w:rPr>
              <w:t>3,024</w:t>
            </w:r>
          </w:p>
        </w:tc>
        <w:tc>
          <w:tcPr>
            <w:tcW w:w="55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27"/>
              <w:rPr>
                <w:sz w:val="16"/>
              </w:rPr>
            </w:pPr>
            <w:r>
              <w:rPr>
                <w:sz w:val="16"/>
              </w:rPr>
              <w:t>3,071</w:t>
            </w:r>
          </w:p>
        </w:tc>
        <w:tc>
          <w:tcPr>
            <w:tcW w:w="53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38" w:right="56"/>
              <w:rPr>
                <w:sz w:val="16"/>
              </w:rPr>
            </w:pPr>
            <w:r>
              <w:rPr>
                <w:sz w:val="16"/>
              </w:rPr>
              <w:t>3,293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3,296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39" w:right="39"/>
              <w:rPr>
                <w:sz w:val="16"/>
              </w:rPr>
            </w:pPr>
            <w:r>
              <w:rPr>
                <w:sz w:val="16"/>
              </w:rPr>
              <w:t>3,363</w:t>
            </w:r>
          </w:p>
        </w:tc>
        <w:tc>
          <w:tcPr>
            <w:tcW w:w="63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9" w:right="20"/>
              <w:rPr>
                <w:sz w:val="16"/>
              </w:rPr>
            </w:pPr>
            <w:r>
              <w:rPr>
                <w:sz w:val="16"/>
              </w:rPr>
              <w:t>3,277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21" w:right="22"/>
              <w:rPr>
                <w:sz w:val="16"/>
              </w:rPr>
            </w:pPr>
            <w:r>
              <w:rPr>
                <w:sz w:val="16"/>
              </w:rPr>
              <w:t>4,049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22" w:right="21"/>
              <w:rPr>
                <w:sz w:val="16"/>
              </w:rPr>
            </w:pPr>
            <w:r>
              <w:rPr>
                <w:sz w:val="16"/>
              </w:rPr>
              <w:t>4,085</w:t>
            </w:r>
          </w:p>
        </w:tc>
        <w:tc>
          <w:tcPr>
            <w:tcW w:w="63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3,393</w:t>
            </w:r>
          </w:p>
        </w:tc>
        <w:tc>
          <w:tcPr>
            <w:tcW w:w="65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3,506</w:t>
            </w:r>
          </w:p>
        </w:tc>
        <w:tc>
          <w:tcPr>
            <w:tcW w:w="61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right="148"/>
              <w:jc w:val="right"/>
              <w:rPr>
                <w:sz w:val="16"/>
              </w:rPr>
            </w:pPr>
            <w:r>
              <w:rPr>
                <w:sz w:val="16"/>
              </w:rPr>
              <w:t>3336</w:t>
            </w:r>
          </w:p>
        </w:tc>
        <w:tc>
          <w:tcPr>
            <w:tcW w:w="66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45" w:right="16"/>
              <w:rPr>
                <w:sz w:val="16"/>
              </w:rPr>
            </w:pPr>
            <w:r>
              <w:rPr>
                <w:sz w:val="16"/>
              </w:rPr>
              <w:t>3,459</w:t>
            </w:r>
          </w:p>
        </w:tc>
        <w:tc>
          <w:tcPr>
            <w:tcW w:w="63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3,701</w:t>
            </w:r>
          </w:p>
        </w:tc>
        <w:tc>
          <w:tcPr>
            <w:tcW w:w="808" w:type="dxa"/>
            <w:gridSpan w:val="2"/>
            <w:tcBorders>
              <w:top w:val="single" w:sz="4" w:space="0" w:color="044E7D"/>
            </w:tcBorders>
          </w:tcPr>
          <w:p>
            <w:pPr>
              <w:pStyle w:val="TableParagraph"/>
              <w:spacing w:before="56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3,701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30"/>
              <w:rPr>
                <w:sz w:val="16"/>
              </w:rPr>
            </w:pPr>
            <w:r>
              <w:rPr>
                <w:sz w:val="16"/>
              </w:rPr>
              <w:t>-24.5%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30"/>
              <w:rPr>
                <w:sz w:val="16"/>
              </w:rPr>
            </w:pPr>
            <w:r>
              <w:rPr>
                <w:sz w:val="16"/>
              </w:rPr>
              <w:t>-20.5%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66.6%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246.1%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/>
              <w:ind w:left="9" w:right="7"/>
              <w:rPr>
                <w:sz w:val="16"/>
              </w:rPr>
            </w:pPr>
            <w:r>
              <w:rPr>
                <w:sz w:val="16"/>
              </w:rPr>
              <w:t>128.2%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37.9%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14.0%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18.1%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33.5%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67.4%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right="67"/>
              <w:jc w:val="right"/>
              <w:rPr>
                <w:sz w:val="16"/>
              </w:rPr>
            </w:pPr>
            <w:r>
              <w:rPr>
                <w:sz w:val="16"/>
              </w:rPr>
              <w:t>115.8%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50.2%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22.4%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22.4%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43" w:type="dxa"/>
          </w:tcPr>
          <w:p>
            <w:pPr>
              <w:pStyle w:val="TableParagraph"/>
              <w:spacing w:before="4"/>
              <w:jc w:val="left"/>
              <w:rPr>
                <w:sz w:val="16"/>
              </w:rPr>
            </w:pPr>
          </w:p>
          <w:p>
            <w:pPr>
              <w:pStyle w:val="TableParagraph"/>
              <w:spacing w:line="163" w:lineRule="exact"/>
              <w:ind w:right="6"/>
              <w:rPr>
                <w:sz w:val="16"/>
              </w:rPr>
            </w:pPr>
            <w:r>
              <w:rPr>
                <w:sz w:val="16"/>
              </w:rPr>
              <w:t>国内</w:t>
            </w: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收入客公里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2,583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27"/>
              <w:rPr>
                <w:sz w:val="16"/>
              </w:rPr>
            </w:pPr>
            <w:r>
              <w:rPr>
                <w:sz w:val="16"/>
              </w:rPr>
              <w:t>2,702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2,921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2,972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/>
              <w:ind w:left="39" w:right="39"/>
              <w:rPr>
                <w:sz w:val="16"/>
              </w:rPr>
            </w:pPr>
            <w:r>
              <w:rPr>
                <w:sz w:val="16"/>
              </w:rPr>
              <w:t>3,012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2,993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3,773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3,789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3,126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3,219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right="148"/>
              <w:jc w:val="right"/>
              <w:rPr>
                <w:sz w:val="16"/>
              </w:rPr>
            </w:pPr>
            <w:r>
              <w:rPr>
                <w:sz w:val="16"/>
              </w:rPr>
              <w:t>3198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3,099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3,389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3,389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"/>
          <w:jc w:val="left"/>
        </w:trPr>
        <w:tc>
          <w:tcPr>
            <w:tcW w:w="4029" w:type="dxa"/>
            <w:gridSpan w:val="7"/>
          </w:tcPr>
          <w:p>
            <w:pPr>
              <w:pStyle w:val="TableParagraph"/>
              <w:tabs>
                <w:tab w:val="left" w:pos="1286"/>
              </w:tabs>
              <w:spacing w:line="141" w:lineRule="exact"/>
              <w:ind w:left="432"/>
              <w:jc w:val="left"/>
              <w:rPr>
                <w:sz w:val="16"/>
              </w:rPr>
            </w:pPr>
            <w:r>
              <w:rPr>
                <w:sz w:val="16"/>
              </w:rPr>
              <w:t>同比增速</w:t>
              <w:tab/>
              <w:t>-9.0% -8.2% 118.2% 367.5%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195.9%</w:t>
            </w:r>
          </w:p>
        </w:tc>
        <w:tc>
          <w:tcPr>
            <w:tcW w:w="630" w:type="dxa"/>
          </w:tcPr>
          <w:p>
            <w:pPr>
              <w:pStyle w:val="TableParagraph"/>
              <w:spacing w:line="141" w:lineRule="exact"/>
              <w:ind w:left="9" w:right="20"/>
              <w:rPr>
                <w:sz w:val="16"/>
              </w:rPr>
            </w:pPr>
            <w:r>
              <w:rPr>
                <w:sz w:val="16"/>
              </w:rPr>
              <w:t>59.9%</w:t>
            </w:r>
          </w:p>
        </w:tc>
        <w:tc>
          <w:tcPr>
            <w:tcW w:w="646" w:type="dxa"/>
          </w:tcPr>
          <w:p>
            <w:pPr>
              <w:pStyle w:val="TableParagraph"/>
              <w:spacing w:line="141" w:lineRule="exact"/>
              <w:ind w:left="21" w:right="22"/>
              <w:rPr>
                <w:sz w:val="16"/>
              </w:rPr>
            </w:pPr>
            <w:r>
              <w:rPr>
                <w:sz w:val="16"/>
              </w:rPr>
              <w:t>35.3%</w:t>
            </w:r>
          </w:p>
        </w:tc>
        <w:tc>
          <w:tcPr>
            <w:tcW w:w="646" w:type="dxa"/>
          </w:tcPr>
          <w:p>
            <w:pPr>
              <w:pStyle w:val="TableParagraph"/>
              <w:spacing w:line="141" w:lineRule="exact"/>
              <w:ind w:left="22" w:right="21"/>
              <w:rPr>
                <w:sz w:val="16"/>
              </w:rPr>
            </w:pPr>
            <w:r>
              <w:rPr>
                <w:sz w:val="16"/>
              </w:rPr>
              <w:t>41.3%</w:t>
            </w:r>
          </w:p>
        </w:tc>
        <w:tc>
          <w:tcPr>
            <w:tcW w:w="635" w:type="dxa"/>
          </w:tcPr>
          <w:p>
            <w:pPr>
              <w:pStyle w:val="TableParagraph"/>
              <w:spacing w:line="141" w:lineRule="exact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58.4%</w:t>
            </w:r>
          </w:p>
        </w:tc>
        <w:tc>
          <w:tcPr>
            <w:tcW w:w="658" w:type="dxa"/>
          </w:tcPr>
          <w:p>
            <w:pPr>
              <w:pStyle w:val="TableParagraph"/>
              <w:spacing w:line="141" w:lineRule="exact"/>
              <w:ind w:right="104"/>
              <w:jc w:val="right"/>
              <w:rPr>
                <w:sz w:val="16"/>
              </w:rPr>
            </w:pPr>
            <w:r>
              <w:rPr>
                <w:sz w:val="16"/>
              </w:rPr>
              <w:t>102.1%</w:t>
            </w:r>
          </w:p>
        </w:tc>
        <w:tc>
          <w:tcPr>
            <w:tcW w:w="614" w:type="dxa"/>
          </w:tcPr>
          <w:p>
            <w:pPr>
              <w:pStyle w:val="TableParagraph"/>
              <w:spacing w:line="141" w:lineRule="exact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99.8%</w:t>
            </w:r>
          </w:p>
        </w:tc>
        <w:tc>
          <w:tcPr>
            <w:tcW w:w="663" w:type="dxa"/>
          </w:tcPr>
          <w:p>
            <w:pPr>
              <w:pStyle w:val="TableParagraph"/>
              <w:spacing w:line="141" w:lineRule="exact"/>
              <w:ind w:left="45" w:right="16"/>
              <w:rPr>
                <w:sz w:val="16"/>
              </w:rPr>
            </w:pPr>
            <w:r>
              <w:rPr>
                <w:sz w:val="16"/>
              </w:rPr>
              <w:t>79.4%</w:t>
            </w:r>
          </w:p>
        </w:tc>
        <w:tc>
          <w:tcPr>
            <w:tcW w:w="639" w:type="dxa"/>
          </w:tcPr>
          <w:p>
            <w:pPr>
              <w:pStyle w:val="TableParagraph"/>
              <w:spacing w:line="141" w:lineRule="exact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31.2%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line="141" w:lineRule="exact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31.2%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spacing w:before="129"/>
              <w:ind w:right="36"/>
              <w:rPr>
                <w:sz w:val="16"/>
              </w:rPr>
            </w:pPr>
            <w:r>
              <w:rPr>
                <w:sz w:val="16"/>
              </w:rPr>
              <w:t>客座率</w:t>
            </w:r>
          </w:p>
        </w:tc>
        <w:tc>
          <w:tcPr>
            <w:tcW w:w="578" w:type="dxa"/>
          </w:tcPr>
          <w:p>
            <w:pPr>
              <w:pStyle w:val="TableParagraph"/>
              <w:spacing w:before="129"/>
              <w:ind w:left="26" w:right="28"/>
              <w:rPr>
                <w:sz w:val="16"/>
              </w:rPr>
            </w:pPr>
            <w:r>
              <w:rPr>
                <w:sz w:val="16"/>
              </w:rPr>
              <w:t>85.4%</w:t>
            </w:r>
          </w:p>
        </w:tc>
        <w:tc>
          <w:tcPr>
            <w:tcW w:w="551" w:type="dxa"/>
          </w:tcPr>
          <w:p>
            <w:pPr>
              <w:pStyle w:val="TableParagraph"/>
              <w:spacing w:before="129"/>
              <w:ind w:left="27"/>
              <w:rPr>
                <w:sz w:val="16"/>
              </w:rPr>
            </w:pPr>
            <w:r>
              <w:rPr>
                <w:sz w:val="16"/>
              </w:rPr>
              <w:t>88.0%</w:t>
            </w:r>
          </w:p>
        </w:tc>
        <w:tc>
          <w:tcPr>
            <w:tcW w:w="534" w:type="dxa"/>
          </w:tcPr>
          <w:p>
            <w:pPr>
              <w:pStyle w:val="TableParagraph"/>
              <w:spacing w:before="129"/>
              <w:ind w:left="38" w:right="56"/>
              <w:rPr>
                <w:sz w:val="16"/>
              </w:rPr>
            </w:pPr>
            <w:r>
              <w:rPr>
                <w:sz w:val="16"/>
              </w:rPr>
              <w:t>88.7%</w:t>
            </w:r>
          </w:p>
        </w:tc>
        <w:tc>
          <w:tcPr>
            <w:tcW w:w="547" w:type="dxa"/>
          </w:tcPr>
          <w:p>
            <w:pPr>
              <w:pStyle w:val="TableParagraph"/>
              <w:spacing w:before="129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90.2%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9"/>
              <w:ind w:left="39" w:right="39"/>
              <w:rPr>
                <w:sz w:val="16"/>
              </w:rPr>
            </w:pPr>
            <w:r>
              <w:rPr>
                <w:sz w:val="16"/>
              </w:rPr>
              <w:t>89.6%</w:t>
            </w:r>
          </w:p>
        </w:tc>
        <w:tc>
          <w:tcPr>
            <w:tcW w:w="630" w:type="dxa"/>
          </w:tcPr>
          <w:p>
            <w:pPr>
              <w:pStyle w:val="TableParagraph"/>
              <w:spacing w:before="129"/>
              <w:ind w:left="9" w:right="20"/>
              <w:rPr>
                <w:sz w:val="16"/>
              </w:rPr>
            </w:pPr>
            <w:r>
              <w:rPr>
                <w:sz w:val="16"/>
              </w:rPr>
              <w:t>91.3%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21" w:right="22"/>
              <w:rPr>
                <w:sz w:val="16"/>
              </w:rPr>
            </w:pPr>
            <w:r>
              <w:rPr>
                <w:sz w:val="16"/>
              </w:rPr>
              <w:t>93.2%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22" w:right="21"/>
              <w:rPr>
                <w:sz w:val="16"/>
              </w:rPr>
            </w:pPr>
            <w:r>
              <w:rPr>
                <w:sz w:val="16"/>
              </w:rPr>
              <w:t>92.8%</w:t>
            </w:r>
          </w:p>
        </w:tc>
        <w:tc>
          <w:tcPr>
            <w:tcW w:w="635" w:type="dxa"/>
          </w:tcPr>
          <w:p>
            <w:pPr>
              <w:pStyle w:val="TableParagraph"/>
              <w:spacing w:before="129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92.1%</w:t>
            </w:r>
          </w:p>
        </w:tc>
        <w:tc>
          <w:tcPr>
            <w:tcW w:w="658" w:type="dxa"/>
          </w:tcPr>
          <w:p>
            <w:pPr>
              <w:pStyle w:val="TableParagraph"/>
              <w:spacing w:before="129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91.8%</w:t>
            </w:r>
          </w:p>
        </w:tc>
        <w:tc>
          <w:tcPr>
            <w:tcW w:w="614" w:type="dxa"/>
          </w:tcPr>
          <w:p>
            <w:pPr>
              <w:pStyle w:val="TableParagraph"/>
              <w:spacing w:before="129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89.6%</w:t>
            </w:r>
          </w:p>
        </w:tc>
        <w:tc>
          <w:tcPr>
            <w:tcW w:w="663" w:type="dxa"/>
          </w:tcPr>
          <w:p>
            <w:pPr>
              <w:pStyle w:val="TableParagraph"/>
              <w:spacing w:before="129"/>
              <w:ind w:left="45" w:right="16"/>
              <w:rPr>
                <w:sz w:val="16"/>
              </w:rPr>
            </w:pPr>
            <w:r>
              <w:rPr>
                <w:sz w:val="16"/>
              </w:rPr>
              <w:t>89.6%</w:t>
            </w:r>
          </w:p>
        </w:tc>
        <w:tc>
          <w:tcPr>
            <w:tcW w:w="639" w:type="dxa"/>
          </w:tcPr>
          <w:p>
            <w:pPr>
              <w:pStyle w:val="TableParagraph"/>
              <w:spacing w:before="129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91.6%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129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91.6%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343" w:type="dxa"/>
            <w:tcBorders>
              <w:bottom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14.6%</w:t>
            </w:r>
          </w:p>
        </w:tc>
        <w:tc>
          <w:tcPr>
            <w:tcW w:w="55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7"/>
              <w:rPr>
                <w:sz w:val="16"/>
              </w:rPr>
            </w:pPr>
            <w:r>
              <w:rPr>
                <w:sz w:val="16"/>
              </w:rPr>
              <w:t>11.7%</w:t>
            </w:r>
          </w:p>
        </w:tc>
        <w:tc>
          <w:tcPr>
            <w:tcW w:w="53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21.0%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23.4%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39" w:right="39"/>
              <w:rPr>
                <w:sz w:val="16"/>
              </w:rPr>
            </w:pPr>
            <w:r>
              <w:rPr>
                <w:sz w:val="16"/>
              </w:rPr>
              <w:t>20.5%</w:t>
            </w:r>
          </w:p>
        </w:tc>
        <w:tc>
          <w:tcPr>
            <w:tcW w:w="63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12.6%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14.6%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15.3%</w:t>
            </w:r>
          </w:p>
        </w:tc>
        <w:tc>
          <w:tcPr>
            <w:tcW w:w="63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14.5%</w:t>
            </w:r>
          </w:p>
        </w:tc>
        <w:tc>
          <w:tcPr>
            <w:tcW w:w="65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15.8%</w:t>
            </w:r>
          </w:p>
        </w:tc>
        <w:tc>
          <w:tcPr>
            <w:tcW w:w="61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17.1%</w:t>
            </w:r>
          </w:p>
        </w:tc>
        <w:tc>
          <w:tcPr>
            <w:tcW w:w="66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14.6%</w:t>
            </w:r>
          </w:p>
        </w:tc>
        <w:tc>
          <w:tcPr>
            <w:tcW w:w="63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111"/>
              <w:jc w:val="left"/>
              <w:rPr>
                <w:sz w:val="16"/>
              </w:rPr>
            </w:pPr>
            <w:r>
              <w:rPr>
                <w:sz w:val="16"/>
              </w:rPr>
              <w:t>6.1%</w:t>
            </w:r>
          </w:p>
        </w:tc>
        <w:tc>
          <w:tcPr>
            <w:tcW w:w="808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02"/>
              <w:jc w:val="left"/>
              <w:rPr>
                <w:sz w:val="16"/>
              </w:rPr>
            </w:pPr>
            <w:r>
              <w:rPr>
                <w:sz w:val="16"/>
              </w:rPr>
              <w:t>6.1%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343" w:type="dxa"/>
            <w:tcBorders>
              <w:top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right="33"/>
              <w:rPr>
                <w:sz w:val="16"/>
              </w:rPr>
            </w:pPr>
            <w:r>
              <w:rPr>
                <w:sz w:val="16"/>
              </w:rPr>
              <w:t>可用座公里</w:t>
            </w:r>
          </w:p>
        </w:tc>
        <w:tc>
          <w:tcPr>
            <w:tcW w:w="57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6" w:right="27"/>
              <w:rPr>
                <w:sz w:val="16"/>
              </w:rPr>
            </w:pPr>
            <w:r>
              <w:rPr>
                <w:sz w:val="16"/>
              </w:rPr>
              <w:t>96</w:t>
            </w:r>
          </w:p>
        </w:tc>
        <w:tc>
          <w:tcPr>
            <w:tcW w:w="55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30"/>
              <w:rPr>
                <w:sz w:val="16"/>
              </w:rPr>
            </w:pPr>
            <w:r>
              <w:rPr>
                <w:sz w:val="16"/>
              </w:rPr>
              <w:t>326</w:t>
            </w:r>
          </w:p>
        </w:tc>
        <w:tc>
          <w:tcPr>
            <w:tcW w:w="53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38" w:right="53"/>
              <w:rPr>
                <w:sz w:val="16"/>
              </w:rPr>
            </w:pPr>
            <w:r>
              <w:rPr>
                <w:sz w:val="16"/>
              </w:rPr>
              <w:t>429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53"/>
              <w:jc w:val="left"/>
              <w:rPr>
                <w:sz w:val="16"/>
              </w:rPr>
            </w:pPr>
            <w:r>
              <w:rPr>
                <w:sz w:val="16"/>
              </w:rPr>
              <w:t>502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42" w:right="39"/>
              <w:rPr>
                <w:sz w:val="16"/>
              </w:rPr>
            </w:pPr>
            <w:r>
              <w:rPr>
                <w:sz w:val="16"/>
              </w:rPr>
              <w:t>533</w:t>
            </w:r>
          </w:p>
        </w:tc>
        <w:tc>
          <w:tcPr>
            <w:tcW w:w="63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6" w:right="20"/>
              <w:rPr>
                <w:sz w:val="16"/>
              </w:rPr>
            </w:pPr>
            <w:r>
              <w:rPr>
                <w:sz w:val="16"/>
              </w:rPr>
              <w:t>532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9" w:right="22"/>
              <w:rPr>
                <w:sz w:val="16"/>
              </w:rPr>
            </w:pPr>
            <w:r>
              <w:rPr>
                <w:sz w:val="16"/>
              </w:rPr>
              <w:t>701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2" w:right="22"/>
              <w:rPr>
                <w:sz w:val="16"/>
              </w:rPr>
            </w:pPr>
            <w:r>
              <w:rPr>
                <w:sz w:val="16"/>
              </w:rPr>
              <w:t>713</w:t>
            </w:r>
          </w:p>
        </w:tc>
        <w:tc>
          <w:tcPr>
            <w:tcW w:w="63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01"/>
              <w:jc w:val="left"/>
              <w:rPr>
                <w:sz w:val="16"/>
              </w:rPr>
            </w:pPr>
            <w:r>
              <w:rPr>
                <w:sz w:val="16"/>
              </w:rPr>
              <w:t>466</w:t>
            </w:r>
          </w:p>
        </w:tc>
        <w:tc>
          <w:tcPr>
            <w:tcW w:w="65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438</w:t>
            </w:r>
          </w:p>
        </w:tc>
        <w:tc>
          <w:tcPr>
            <w:tcW w:w="61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83"/>
              <w:jc w:val="left"/>
              <w:rPr>
                <w:sz w:val="16"/>
              </w:rPr>
            </w:pPr>
            <w:r>
              <w:rPr>
                <w:sz w:val="16"/>
              </w:rPr>
              <w:t>413</w:t>
            </w:r>
          </w:p>
        </w:tc>
        <w:tc>
          <w:tcPr>
            <w:tcW w:w="66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46" w:right="14"/>
              <w:rPr>
                <w:sz w:val="16"/>
              </w:rPr>
            </w:pPr>
            <w:r>
              <w:rPr>
                <w:sz w:val="16"/>
              </w:rPr>
              <w:t>526</w:t>
            </w:r>
          </w:p>
        </w:tc>
        <w:tc>
          <w:tcPr>
            <w:tcW w:w="63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52"/>
              <w:jc w:val="left"/>
              <w:rPr>
                <w:sz w:val="16"/>
              </w:rPr>
            </w:pPr>
            <w:r>
              <w:rPr>
                <w:sz w:val="16"/>
              </w:rPr>
              <w:t>671</w:t>
            </w:r>
          </w:p>
        </w:tc>
        <w:tc>
          <w:tcPr>
            <w:tcW w:w="808" w:type="dxa"/>
            <w:gridSpan w:val="2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40"/>
              <w:jc w:val="left"/>
              <w:rPr>
                <w:sz w:val="16"/>
              </w:rPr>
            </w:pPr>
            <w:r>
              <w:rPr>
                <w:sz w:val="16"/>
              </w:rPr>
              <w:t>671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31"/>
              <w:rPr>
                <w:sz w:val="16"/>
              </w:rPr>
            </w:pPr>
            <w:r>
              <w:rPr>
                <w:sz w:val="16"/>
              </w:rPr>
              <w:t>758.7%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27"/>
              <w:rPr>
                <w:sz w:val="16"/>
              </w:rPr>
            </w:pPr>
            <w:r>
              <w:rPr>
                <w:sz w:val="16"/>
              </w:rPr>
              <w:t>2701%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3240%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7561%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/>
              <w:ind w:left="9" w:right="9"/>
              <w:rPr>
                <w:sz w:val="16"/>
              </w:rPr>
            </w:pPr>
            <w:r>
              <w:rPr>
                <w:sz w:val="16"/>
              </w:rPr>
              <w:t>6364.0%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6427.2%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6448.8%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7276.7%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40"/>
              <w:jc w:val="left"/>
              <w:rPr>
                <w:sz w:val="16"/>
              </w:rPr>
            </w:pPr>
            <w:r>
              <w:rPr>
                <w:sz w:val="16"/>
              </w:rPr>
              <w:t>5127.9%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right="63"/>
              <w:jc w:val="right"/>
              <w:rPr>
                <w:sz w:val="16"/>
              </w:rPr>
            </w:pPr>
            <w:r>
              <w:rPr>
                <w:sz w:val="16"/>
              </w:rPr>
              <w:t>2842.6%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4265%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6" w:right="16"/>
              <w:rPr>
                <w:sz w:val="16"/>
              </w:rPr>
            </w:pPr>
            <w:r>
              <w:rPr>
                <w:sz w:val="16"/>
              </w:rPr>
              <w:t>1252.8%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598.9%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598.9%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43" w:type="dxa"/>
          </w:tcPr>
          <w:p>
            <w:pPr>
              <w:pStyle w:val="TableParagraph"/>
              <w:spacing w:before="4"/>
              <w:jc w:val="left"/>
              <w:rPr>
                <w:sz w:val="16"/>
              </w:rPr>
            </w:pPr>
          </w:p>
          <w:p>
            <w:pPr>
              <w:pStyle w:val="TableParagraph"/>
              <w:spacing w:line="163" w:lineRule="exact"/>
              <w:ind w:right="6"/>
              <w:rPr>
                <w:sz w:val="16"/>
              </w:rPr>
            </w:pPr>
            <w:r>
              <w:rPr>
                <w:sz w:val="16"/>
              </w:rPr>
              <w:t>国际</w:t>
            </w: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收入客公里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27"/>
              <w:rPr>
                <w:sz w:val="16"/>
              </w:rPr>
            </w:pPr>
            <w:r>
              <w:rPr>
                <w:sz w:val="16"/>
              </w:rPr>
              <w:t>71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30"/>
              <w:rPr>
                <w:sz w:val="16"/>
              </w:rPr>
            </w:pPr>
            <w:r>
              <w:rPr>
                <w:sz w:val="16"/>
              </w:rPr>
              <w:t>257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3"/>
              <w:rPr>
                <w:sz w:val="16"/>
              </w:rPr>
            </w:pPr>
            <w:r>
              <w:rPr>
                <w:sz w:val="16"/>
              </w:rPr>
              <w:t>362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/>
              <w:ind w:left="153"/>
              <w:jc w:val="left"/>
              <w:rPr>
                <w:sz w:val="16"/>
              </w:rPr>
            </w:pPr>
            <w:r>
              <w:rPr>
                <w:sz w:val="16"/>
              </w:rPr>
              <w:t>398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/>
              <w:ind w:left="42" w:right="39"/>
              <w:rPr>
                <w:sz w:val="16"/>
              </w:rPr>
            </w:pPr>
            <w:r>
              <w:rPr>
                <w:sz w:val="16"/>
              </w:rPr>
              <w:t>409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/>
              <w:ind w:left="6" w:right="20"/>
              <w:rPr>
                <w:sz w:val="16"/>
              </w:rPr>
            </w:pPr>
            <w:r>
              <w:rPr>
                <w:sz w:val="16"/>
              </w:rPr>
              <w:t>439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19" w:right="22"/>
              <w:rPr>
                <w:sz w:val="16"/>
              </w:rPr>
            </w:pPr>
            <w:r>
              <w:rPr>
                <w:sz w:val="16"/>
              </w:rPr>
              <w:t>609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2"/>
              <w:rPr>
                <w:sz w:val="16"/>
              </w:rPr>
            </w:pPr>
            <w:r>
              <w:rPr>
                <w:sz w:val="16"/>
              </w:rPr>
              <w:t>647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201"/>
              <w:jc w:val="left"/>
              <w:rPr>
                <w:sz w:val="16"/>
              </w:rPr>
            </w:pPr>
            <w:r>
              <w:rPr>
                <w:sz w:val="16"/>
              </w:rPr>
              <w:t>358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337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left="183"/>
              <w:jc w:val="left"/>
              <w:rPr>
                <w:sz w:val="16"/>
              </w:rPr>
            </w:pPr>
            <w:r>
              <w:rPr>
                <w:sz w:val="16"/>
              </w:rPr>
              <w:t>390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6" w:right="14"/>
              <w:rPr>
                <w:sz w:val="16"/>
              </w:rPr>
            </w:pPr>
            <w:r>
              <w:rPr>
                <w:sz w:val="16"/>
              </w:rPr>
              <w:t>453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left="152"/>
              <w:jc w:val="left"/>
              <w:rPr>
                <w:sz w:val="16"/>
              </w:rPr>
            </w:pPr>
            <w:r>
              <w:rPr>
                <w:sz w:val="16"/>
              </w:rPr>
              <w:t>582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240"/>
              <w:jc w:val="left"/>
              <w:rPr>
                <w:sz w:val="16"/>
              </w:rPr>
            </w:pPr>
            <w:r>
              <w:rPr>
                <w:sz w:val="16"/>
              </w:rPr>
              <w:t>582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"/>
          <w:jc w:val="left"/>
        </w:trPr>
        <w:tc>
          <w:tcPr>
            <w:tcW w:w="1201" w:type="dxa"/>
            <w:gridSpan w:val="2"/>
          </w:tcPr>
          <w:p>
            <w:pPr>
              <w:pStyle w:val="TableParagraph"/>
              <w:spacing w:line="141" w:lineRule="exact"/>
              <w:ind w:left="432"/>
              <w:jc w:val="left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</w:tcPr>
          <w:p>
            <w:pPr>
              <w:pStyle w:val="TableParagraph"/>
              <w:spacing w:line="141" w:lineRule="exact"/>
              <w:ind w:left="26" w:right="28"/>
              <w:rPr>
                <w:sz w:val="16"/>
              </w:rPr>
            </w:pPr>
            <w:r>
              <w:rPr>
                <w:sz w:val="16"/>
              </w:rPr>
              <w:t>1448%</w:t>
            </w:r>
          </w:p>
        </w:tc>
        <w:tc>
          <w:tcPr>
            <w:tcW w:w="551" w:type="dxa"/>
          </w:tcPr>
          <w:p>
            <w:pPr>
              <w:pStyle w:val="TableParagraph"/>
              <w:spacing w:line="141" w:lineRule="exact"/>
              <w:ind w:left="27"/>
              <w:rPr>
                <w:sz w:val="16"/>
              </w:rPr>
            </w:pPr>
            <w:r>
              <w:rPr>
                <w:sz w:val="16"/>
              </w:rPr>
              <w:t>4937%</w:t>
            </w:r>
          </w:p>
        </w:tc>
        <w:tc>
          <w:tcPr>
            <w:tcW w:w="534" w:type="dxa"/>
          </w:tcPr>
          <w:p>
            <w:pPr>
              <w:pStyle w:val="TableParagraph"/>
              <w:spacing w:line="141" w:lineRule="exact"/>
              <w:ind w:left="38" w:right="56"/>
              <w:rPr>
                <w:sz w:val="16"/>
              </w:rPr>
            </w:pPr>
            <w:r>
              <w:rPr>
                <w:sz w:val="16"/>
              </w:rPr>
              <w:t>6568%</w:t>
            </w:r>
          </w:p>
        </w:tc>
        <w:tc>
          <w:tcPr>
            <w:tcW w:w="4380" w:type="dxa"/>
            <w:gridSpan w:val="7"/>
          </w:tcPr>
          <w:p>
            <w:pPr>
              <w:pStyle w:val="TableParagraph"/>
              <w:spacing w:line="141" w:lineRule="exact"/>
              <w:ind w:left="33"/>
              <w:jc w:val="left"/>
              <w:rPr>
                <w:sz w:val="16"/>
              </w:rPr>
            </w:pPr>
            <w:r>
              <w:rPr>
                <w:sz w:val="16"/>
              </w:rPr>
              <w:t>11650% 8350.4% 8042.1% 8033.9% 7988.3% 5249.5% 3565.5%</w:t>
            </w:r>
          </w:p>
        </w:tc>
        <w:tc>
          <w:tcPr>
            <w:tcW w:w="614" w:type="dxa"/>
          </w:tcPr>
          <w:p>
            <w:pPr>
              <w:pStyle w:val="TableParagraph"/>
              <w:spacing w:line="141" w:lineRule="exact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3510%</w:t>
            </w:r>
          </w:p>
        </w:tc>
        <w:tc>
          <w:tcPr>
            <w:tcW w:w="1302" w:type="dxa"/>
            <w:gridSpan w:val="2"/>
          </w:tcPr>
          <w:p>
            <w:pPr>
              <w:pStyle w:val="TableParagraph"/>
              <w:spacing w:line="141" w:lineRule="exact"/>
              <w:ind w:left="66"/>
              <w:jc w:val="left"/>
              <w:rPr>
                <w:sz w:val="16"/>
              </w:rPr>
            </w:pPr>
            <w:r>
              <w:rPr>
                <w:sz w:val="16"/>
              </w:rPr>
              <w:t>1933.4% 716.0%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line="141" w:lineRule="exact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716.0%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spacing w:before="129"/>
              <w:ind w:right="36"/>
              <w:rPr>
                <w:sz w:val="16"/>
              </w:rPr>
            </w:pPr>
            <w:r>
              <w:rPr>
                <w:sz w:val="16"/>
              </w:rPr>
              <w:t>客座率</w:t>
            </w:r>
          </w:p>
        </w:tc>
        <w:tc>
          <w:tcPr>
            <w:tcW w:w="578" w:type="dxa"/>
          </w:tcPr>
          <w:p>
            <w:pPr>
              <w:pStyle w:val="TableParagraph"/>
              <w:spacing w:before="129"/>
              <w:ind w:left="26" w:right="28"/>
              <w:rPr>
                <w:sz w:val="16"/>
              </w:rPr>
            </w:pPr>
            <w:r>
              <w:rPr>
                <w:sz w:val="16"/>
              </w:rPr>
              <w:t>74.2%</w:t>
            </w:r>
          </w:p>
        </w:tc>
        <w:tc>
          <w:tcPr>
            <w:tcW w:w="551" w:type="dxa"/>
          </w:tcPr>
          <w:p>
            <w:pPr>
              <w:pStyle w:val="TableParagraph"/>
              <w:spacing w:before="129"/>
              <w:ind w:left="27"/>
              <w:rPr>
                <w:sz w:val="16"/>
              </w:rPr>
            </w:pPr>
            <w:r>
              <w:rPr>
                <w:sz w:val="16"/>
              </w:rPr>
              <w:t>78.7%</w:t>
            </w:r>
          </w:p>
        </w:tc>
        <w:tc>
          <w:tcPr>
            <w:tcW w:w="534" w:type="dxa"/>
          </w:tcPr>
          <w:p>
            <w:pPr>
              <w:pStyle w:val="TableParagraph"/>
              <w:spacing w:before="129"/>
              <w:ind w:left="38" w:right="56"/>
              <w:rPr>
                <w:sz w:val="16"/>
              </w:rPr>
            </w:pPr>
            <w:r>
              <w:rPr>
                <w:sz w:val="16"/>
              </w:rPr>
              <w:t>84.5%</w:t>
            </w:r>
          </w:p>
        </w:tc>
        <w:tc>
          <w:tcPr>
            <w:tcW w:w="547" w:type="dxa"/>
          </w:tcPr>
          <w:p>
            <w:pPr>
              <w:pStyle w:val="TableParagraph"/>
              <w:spacing w:before="129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79.2%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9"/>
              <w:ind w:left="39" w:right="39"/>
              <w:rPr>
                <w:sz w:val="16"/>
              </w:rPr>
            </w:pPr>
            <w:r>
              <w:rPr>
                <w:sz w:val="16"/>
              </w:rPr>
              <w:t>76.8%</w:t>
            </w:r>
          </w:p>
        </w:tc>
        <w:tc>
          <w:tcPr>
            <w:tcW w:w="630" w:type="dxa"/>
          </w:tcPr>
          <w:p>
            <w:pPr>
              <w:pStyle w:val="TableParagraph"/>
              <w:spacing w:before="129"/>
              <w:ind w:left="9" w:right="20"/>
              <w:rPr>
                <w:sz w:val="16"/>
              </w:rPr>
            </w:pPr>
            <w:r>
              <w:rPr>
                <w:sz w:val="16"/>
              </w:rPr>
              <w:t>82.6%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21" w:right="22"/>
              <w:rPr>
                <w:sz w:val="16"/>
              </w:rPr>
            </w:pPr>
            <w:r>
              <w:rPr>
                <w:sz w:val="16"/>
              </w:rPr>
              <w:t>86.9%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22" w:right="21"/>
              <w:rPr>
                <w:sz w:val="16"/>
              </w:rPr>
            </w:pPr>
            <w:r>
              <w:rPr>
                <w:sz w:val="16"/>
              </w:rPr>
              <w:t>90.7%</w:t>
            </w:r>
          </w:p>
        </w:tc>
        <w:tc>
          <w:tcPr>
            <w:tcW w:w="635" w:type="dxa"/>
          </w:tcPr>
          <w:p>
            <w:pPr>
              <w:pStyle w:val="TableParagraph"/>
              <w:spacing w:before="129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76.8%</w:t>
            </w:r>
          </w:p>
        </w:tc>
        <w:tc>
          <w:tcPr>
            <w:tcW w:w="658" w:type="dxa"/>
          </w:tcPr>
          <w:p>
            <w:pPr>
              <w:pStyle w:val="TableParagraph"/>
              <w:spacing w:before="129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76.9%</w:t>
            </w:r>
          </w:p>
        </w:tc>
        <w:tc>
          <w:tcPr>
            <w:tcW w:w="614" w:type="dxa"/>
          </w:tcPr>
          <w:p>
            <w:pPr>
              <w:pStyle w:val="TableParagraph"/>
              <w:spacing w:before="129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79.1%</w:t>
            </w:r>
          </w:p>
        </w:tc>
        <w:tc>
          <w:tcPr>
            <w:tcW w:w="663" w:type="dxa"/>
          </w:tcPr>
          <w:p>
            <w:pPr>
              <w:pStyle w:val="TableParagraph"/>
              <w:spacing w:before="129"/>
              <w:ind w:left="45" w:right="16"/>
              <w:rPr>
                <w:sz w:val="16"/>
              </w:rPr>
            </w:pPr>
            <w:r>
              <w:rPr>
                <w:sz w:val="16"/>
              </w:rPr>
              <w:t>86.2%</w:t>
            </w:r>
          </w:p>
        </w:tc>
        <w:tc>
          <w:tcPr>
            <w:tcW w:w="639" w:type="dxa"/>
          </w:tcPr>
          <w:p>
            <w:pPr>
              <w:pStyle w:val="TableParagraph"/>
              <w:spacing w:before="129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86.6%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129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86.6%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343" w:type="dxa"/>
            <w:tcBorders>
              <w:bottom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33.0%</w:t>
            </w:r>
          </w:p>
        </w:tc>
        <w:tc>
          <w:tcPr>
            <w:tcW w:w="551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7"/>
              <w:rPr>
                <w:sz w:val="16"/>
              </w:rPr>
            </w:pPr>
            <w:r>
              <w:rPr>
                <w:sz w:val="16"/>
              </w:rPr>
              <w:t>34.9%</w:t>
            </w:r>
          </w:p>
        </w:tc>
        <w:tc>
          <w:tcPr>
            <w:tcW w:w="53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42.1%</w:t>
            </w:r>
          </w:p>
        </w:tc>
        <w:tc>
          <w:tcPr>
            <w:tcW w:w="547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74"/>
              <w:jc w:val="left"/>
              <w:rPr>
                <w:sz w:val="16"/>
              </w:rPr>
            </w:pPr>
            <w:r>
              <w:rPr>
                <w:sz w:val="16"/>
              </w:rPr>
              <w:t>27.6%</w:t>
            </w:r>
          </w:p>
        </w:tc>
        <w:tc>
          <w:tcPr>
            <w:tcW w:w="61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39" w:right="39"/>
              <w:rPr>
                <w:sz w:val="16"/>
              </w:rPr>
            </w:pPr>
            <w:r>
              <w:rPr>
                <w:sz w:val="16"/>
              </w:rPr>
              <w:t>18.1%</w:t>
            </w:r>
          </w:p>
        </w:tc>
        <w:tc>
          <w:tcPr>
            <w:tcW w:w="630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16.4%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16.9%</w:t>
            </w:r>
          </w:p>
        </w:tc>
        <w:tc>
          <w:tcPr>
            <w:tcW w:w="646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8.0%</w:t>
            </w:r>
          </w:p>
        </w:tc>
        <w:tc>
          <w:tcPr>
            <w:tcW w:w="635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160"/>
              <w:jc w:val="left"/>
              <w:rPr>
                <w:sz w:val="16"/>
              </w:rPr>
            </w:pPr>
            <w:r>
              <w:rPr>
                <w:sz w:val="16"/>
              </w:rPr>
              <w:t>1.8%</w:t>
            </w:r>
          </w:p>
        </w:tc>
        <w:tc>
          <w:tcPr>
            <w:tcW w:w="658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42"/>
              <w:jc w:val="right"/>
              <w:rPr>
                <w:sz w:val="16"/>
              </w:rPr>
            </w:pPr>
            <w:r>
              <w:rPr>
                <w:sz w:val="16"/>
              </w:rPr>
              <w:t>15.2%</w:t>
            </w:r>
          </w:p>
        </w:tc>
        <w:tc>
          <w:tcPr>
            <w:tcW w:w="614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17.2%</w:t>
            </w:r>
          </w:p>
        </w:tc>
        <w:tc>
          <w:tcPr>
            <w:tcW w:w="663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28.9%</w:t>
            </w:r>
          </w:p>
        </w:tc>
        <w:tc>
          <w:tcPr>
            <w:tcW w:w="639" w:type="dxa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12.4%</w:t>
            </w:r>
          </w:p>
        </w:tc>
        <w:tc>
          <w:tcPr>
            <w:tcW w:w="808" w:type="dxa"/>
            <w:gridSpan w:val="2"/>
            <w:tcBorders>
              <w:bottom w:val="single" w:sz="4" w:space="0" w:color="044E7D"/>
            </w:tcBorders>
          </w:tcPr>
          <w:p>
            <w:pPr>
              <w:pStyle w:val="TableParagraph"/>
              <w:spacing w:before="53"/>
              <w:ind w:left="161"/>
              <w:jc w:val="left"/>
              <w:rPr>
                <w:sz w:val="16"/>
              </w:rPr>
            </w:pPr>
            <w:r>
              <w:rPr>
                <w:sz w:val="16"/>
              </w:rPr>
              <w:t>12.4%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343" w:type="dxa"/>
            <w:tcBorders>
              <w:top w:val="single" w:sz="4" w:space="0" w:color="044E7D"/>
            </w:tcBorders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right="33"/>
              <w:rPr>
                <w:sz w:val="16"/>
              </w:rPr>
            </w:pPr>
            <w:r>
              <w:rPr>
                <w:sz w:val="16"/>
              </w:rPr>
              <w:t>可用座公里</w:t>
            </w:r>
          </w:p>
        </w:tc>
        <w:tc>
          <w:tcPr>
            <w:tcW w:w="57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6" w:right="27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551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9"/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53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38" w:right="54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  <w:tc>
          <w:tcPr>
            <w:tcW w:w="547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7" w:right="22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61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41" w:right="39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630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9" w:right="19"/>
              <w:rPr>
                <w:sz w:val="16"/>
              </w:rPr>
            </w:pPr>
            <w:r>
              <w:rPr>
                <w:sz w:val="16"/>
              </w:rPr>
              <w:t>57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1" w:right="22"/>
              <w:rPr>
                <w:sz w:val="16"/>
              </w:rPr>
            </w:pPr>
            <w:r>
              <w:rPr>
                <w:sz w:val="16"/>
              </w:rPr>
              <w:t>56</w:t>
            </w:r>
          </w:p>
        </w:tc>
        <w:tc>
          <w:tcPr>
            <w:tcW w:w="646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2" w:right="20"/>
              <w:rPr>
                <w:sz w:val="16"/>
              </w:rPr>
            </w:pPr>
            <w:r>
              <w:rPr>
                <w:sz w:val="16"/>
              </w:rPr>
              <w:t>57</w:t>
            </w:r>
          </w:p>
        </w:tc>
        <w:tc>
          <w:tcPr>
            <w:tcW w:w="635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21" w:right="213"/>
              <w:rPr>
                <w:sz w:val="16"/>
              </w:rPr>
            </w:pPr>
            <w:r>
              <w:rPr>
                <w:sz w:val="16"/>
              </w:rPr>
              <w:t>56</w:t>
            </w:r>
          </w:p>
        </w:tc>
        <w:tc>
          <w:tcPr>
            <w:tcW w:w="658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13" w:right="244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614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06" w:right="208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663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46" w:right="15"/>
              <w:rPr>
                <w:sz w:val="16"/>
              </w:rPr>
            </w:pPr>
            <w:r>
              <w:rPr>
                <w:sz w:val="16"/>
              </w:rPr>
              <w:t>58</w:t>
            </w:r>
          </w:p>
        </w:tc>
        <w:tc>
          <w:tcPr>
            <w:tcW w:w="639" w:type="dxa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808" w:type="dxa"/>
            <w:gridSpan w:val="2"/>
            <w:tcBorders>
              <w:top w:val="single" w:sz="4" w:space="0" w:color="044E7D"/>
            </w:tcBorders>
          </w:tcPr>
          <w:p>
            <w:pPr>
              <w:pStyle w:val="TableParagraph"/>
              <w:spacing w:before="55"/>
              <w:ind w:left="264" w:right="344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4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92.2%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30"/>
              <w:rPr>
                <w:sz w:val="16"/>
              </w:rPr>
            </w:pPr>
            <w:r>
              <w:rPr>
                <w:sz w:val="16"/>
              </w:rPr>
              <w:t>182.9%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6"/>
              <w:rPr>
                <w:sz w:val="16"/>
              </w:rPr>
            </w:pPr>
            <w:r>
              <w:rPr>
                <w:sz w:val="16"/>
              </w:rPr>
              <w:t>9676%</w:t>
            </w:r>
          </w:p>
        </w:tc>
        <w:tc>
          <w:tcPr>
            <w:tcW w:w="547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5301.5%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4048.9%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40"/>
              <w:jc w:val="left"/>
              <w:rPr>
                <w:sz w:val="16"/>
              </w:rPr>
            </w:pPr>
            <w:r>
              <w:rPr>
                <w:sz w:val="16"/>
              </w:rPr>
              <w:t>3209.9%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right="63"/>
              <w:jc w:val="right"/>
              <w:rPr>
                <w:sz w:val="16"/>
              </w:rPr>
            </w:pPr>
            <w:r>
              <w:rPr>
                <w:sz w:val="16"/>
              </w:rPr>
              <w:t>3853.6%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3265%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6" w:right="14"/>
              <w:rPr>
                <w:sz w:val="16"/>
              </w:rPr>
            </w:pPr>
            <w:r>
              <w:rPr>
                <w:sz w:val="16"/>
              </w:rPr>
              <w:t>630.0%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177.7%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177.7%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343" w:type="dxa"/>
          </w:tcPr>
          <w:p>
            <w:pPr>
              <w:pStyle w:val="TableParagraph"/>
              <w:spacing w:before="4"/>
              <w:jc w:val="left"/>
              <w:rPr>
                <w:sz w:val="16"/>
              </w:rPr>
            </w:pPr>
          </w:p>
          <w:p>
            <w:pPr>
              <w:pStyle w:val="TableParagraph"/>
              <w:spacing w:line="163" w:lineRule="exact"/>
              <w:ind w:right="6"/>
              <w:rPr>
                <w:sz w:val="16"/>
              </w:rPr>
            </w:pPr>
            <w:r>
              <w:rPr>
                <w:sz w:val="16"/>
              </w:rPr>
              <w:t>地区</w:t>
            </w:r>
          </w:p>
        </w:tc>
        <w:tc>
          <w:tcPr>
            <w:tcW w:w="858" w:type="dxa"/>
          </w:tcPr>
          <w:p>
            <w:pPr>
              <w:pStyle w:val="TableParagraph"/>
              <w:spacing w:before="53"/>
              <w:ind w:right="33"/>
              <w:rPr>
                <w:sz w:val="16"/>
              </w:rPr>
            </w:pPr>
            <w:r>
              <w:rPr>
                <w:sz w:val="16"/>
              </w:rPr>
              <w:t>收入客公里</w:t>
            </w:r>
          </w:p>
        </w:tc>
        <w:tc>
          <w:tcPr>
            <w:tcW w:w="578" w:type="dxa"/>
          </w:tcPr>
          <w:p>
            <w:pPr>
              <w:pStyle w:val="TableParagraph"/>
              <w:spacing w:before="53"/>
              <w:ind w:left="26" w:right="27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551" w:type="dxa"/>
          </w:tcPr>
          <w:p>
            <w:pPr>
              <w:pStyle w:val="TableParagraph"/>
              <w:spacing w:before="53"/>
              <w:ind w:left="29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34" w:type="dxa"/>
          </w:tcPr>
          <w:p>
            <w:pPr>
              <w:pStyle w:val="TableParagraph"/>
              <w:spacing w:before="53"/>
              <w:ind w:left="38" w:right="54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547" w:type="dxa"/>
          </w:tcPr>
          <w:p>
            <w:pPr>
              <w:pStyle w:val="TableParagraph"/>
              <w:spacing w:before="53"/>
              <w:ind w:left="27" w:right="22"/>
              <w:rPr>
                <w:sz w:val="16"/>
              </w:rPr>
            </w:pPr>
            <w:r>
              <w:rPr>
                <w:sz w:val="16"/>
              </w:rPr>
              <w:t>56</w:t>
            </w:r>
          </w:p>
        </w:tc>
        <w:tc>
          <w:tcPr>
            <w:tcW w:w="618" w:type="dxa"/>
          </w:tcPr>
          <w:p>
            <w:pPr>
              <w:pStyle w:val="TableParagraph"/>
              <w:spacing w:before="53"/>
              <w:ind w:left="41" w:right="39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630" w:type="dxa"/>
          </w:tcPr>
          <w:p>
            <w:pPr>
              <w:pStyle w:val="TableParagraph"/>
              <w:spacing w:before="53"/>
              <w:ind w:left="9" w:right="19"/>
              <w:rPr>
                <w:sz w:val="16"/>
              </w:rPr>
            </w:pPr>
            <w:r>
              <w:rPr>
                <w:sz w:val="16"/>
              </w:rPr>
              <w:t>53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646" w:type="dxa"/>
          </w:tcPr>
          <w:p>
            <w:pPr>
              <w:pStyle w:val="TableParagraph"/>
              <w:spacing w:before="53"/>
              <w:ind w:left="22" w:right="20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635" w:type="dxa"/>
          </w:tcPr>
          <w:p>
            <w:pPr>
              <w:pStyle w:val="TableParagraph"/>
              <w:spacing w:before="53"/>
              <w:ind w:left="221" w:right="213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658" w:type="dxa"/>
          </w:tcPr>
          <w:p>
            <w:pPr>
              <w:pStyle w:val="TableParagraph"/>
              <w:spacing w:before="53"/>
              <w:ind w:left="213" w:right="244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614" w:type="dxa"/>
          </w:tcPr>
          <w:p>
            <w:pPr>
              <w:pStyle w:val="TableParagraph"/>
              <w:spacing w:before="53"/>
              <w:ind w:left="206" w:right="208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  <w:tc>
          <w:tcPr>
            <w:tcW w:w="663" w:type="dxa"/>
          </w:tcPr>
          <w:p>
            <w:pPr>
              <w:pStyle w:val="TableParagraph"/>
              <w:spacing w:before="53"/>
              <w:ind w:left="46" w:right="15"/>
              <w:rPr>
                <w:sz w:val="16"/>
              </w:rPr>
            </w:pPr>
            <w:r>
              <w:rPr>
                <w:sz w:val="16"/>
              </w:rPr>
              <w:t>54</w:t>
            </w:r>
          </w:p>
        </w:tc>
        <w:tc>
          <w:tcPr>
            <w:tcW w:w="639" w:type="dxa"/>
          </w:tcPr>
          <w:p>
            <w:pPr>
              <w:pStyle w:val="TableParagraph"/>
              <w:spacing w:before="53"/>
              <w:ind w:left="190"/>
              <w:jc w:val="left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before="53"/>
              <w:ind w:left="264" w:right="344"/>
              <w:rPr>
                <w:sz w:val="16"/>
              </w:rPr>
            </w:pPr>
            <w:r>
              <w:rPr>
                <w:sz w:val="16"/>
              </w:rPr>
              <w:t>59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"/>
          <w:jc w:val="left"/>
        </w:trPr>
        <w:tc>
          <w:tcPr>
            <w:tcW w:w="1201" w:type="dxa"/>
            <w:gridSpan w:val="2"/>
          </w:tcPr>
          <w:p>
            <w:pPr>
              <w:pStyle w:val="TableParagraph"/>
              <w:spacing w:line="141" w:lineRule="exact"/>
              <w:ind w:left="432"/>
              <w:jc w:val="left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</w:tcPr>
          <w:p>
            <w:pPr>
              <w:pStyle w:val="TableParagraph"/>
              <w:spacing w:line="141" w:lineRule="exact"/>
              <w:ind w:left="26" w:right="28"/>
              <w:rPr>
                <w:sz w:val="16"/>
              </w:rPr>
            </w:pPr>
            <w:r>
              <w:rPr>
                <w:sz w:val="16"/>
              </w:rPr>
              <w:t>94.4%</w:t>
            </w:r>
          </w:p>
        </w:tc>
        <w:tc>
          <w:tcPr>
            <w:tcW w:w="1085" w:type="dxa"/>
            <w:gridSpan w:val="2"/>
          </w:tcPr>
          <w:p>
            <w:pPr>
              <w:pStyle w:val="TableParagraph"/>
              <w:spacing w:line="141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221.5%</w:t>
            </w:r>
            <w:r>
              <w:rPr>
                <w:spacing w:val="-47"/>
                <w:sz w:val="16"/>
              </w:rPr>
              <w:t xml:space="preserve"> </w:t>
            </w:r>
            <w:r>
              <w:rPr>
                <w:sz w:val="16"/>
              </w:rPr>
              <w:t>27215%</w:t>
            </w:r>
          </w:p>
        </w:tc>
        <w:tc>
          <w:tcPr>
            <w:tcW w:w="4380" w:type="dxa"/>
            <w:gridSpan w:val="7"/>
          </w:tcPr>
          <w:p>
            <w:pPr>
              <w:pStyle w:val="TableParagraph"/>
              <w:spacing w:line="141" w:lineRule="exact"/>
              <w:ind w:left="1836"/>
              <w:jc w:val="left"/>
              <w:rPr>
                <w:sz w:val="16"/>
              </w:rPr>
            </w:pPr>
            <w:r>
              <w:rPr>
                <w:sz w:val="16"/>
              </w:rPr>
              <w:t>9342.3% 8130.9% 6118.1% 6849.1%</w:t>
            </w:r>
          </w:p>
        </w:tc>
        <w:tc>
          <w:tcPr>
            <w:tcW w:w="614" w:type="dxa"/>
          </w:tcPr>
          <w:p>
            <w:pPr>
              <w:pStyle w:val="TableParagraph"/>
              <w:spacing w:line="141" w:lineRule="exact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5962%</w:t>
            </w:r>
          </w:p>
        </w:tc>
        <w:tc>
          <w:tcPr>
            <w:tcW w:w="663" w:type="dxa"/>
          </w:tcPr>
          <w:p>
            <w:pPr>
              <w:pStyle w:val="TableParagraph"/>
              <w:spacing w:line="141" w:lineRule="exact"/>
              <w:ind w:left="46" w:right="14"/>
              <w:rPr>
                <w:sz w:val="16"/>
              </w:rPr>
            </w:pPr>
            <w:r>
              <w:rPr>
                <w:sz w:val="16"/>
              </w:rPr>
              <w:t>983.9%</w:t>
            </w:r>
          </w:p>
        </w:tc>
        <w:tc>
          <w:tcPr>
            <w:tcW w:w="639" w:type="dxa"/>
          </w:tcPr>
          <w:p>
            <w:pPr>
              <w:pStyle w:val="TableParagraph"/>
              <w:spacing w:line="141" w:lineRule="exact"/>
              <w:ind w:right="123"/>
              <w:jc w:val="right"/>
              <w:rPr>
                <w:sz w:val="16"/>
              </w:rPr>
            </w:pPr>
            <w:r>
              <w:rPr>
                <w:sz w:val="16"/>
              </w:rPr>
              <w:t>234.7%</w:t>
            </w:r>
          </w:p>
        </w:tc>
        <w:tc>
          <w:tcPr>
            <w:tcW w:w="808" w:type="dxa"/>
            <w:gridSpan w:val="2"/>
          </w:tcPr>
          <w:p>
            <w:pPr>
              <w:pStyle w:val="TableParagraph"/>
              <w:spacing w:line="141" w:lineRule="exact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234.7%</w:t>
            </w: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7"/>
          <w:jc w:val="left"/>
        </w:trPr>
        <w:tc>
          <w:tcPr>
            <w:tcW w:w="1201" w:type="dxa"/>
            <w:gridSpan w:val="2"/>
          </w:tcPr>
          <w:p>
            <w:pPr>
              <w:pStyle w:val="TableParagraph"/>
              <w:spacing w:before="129"/>
              <w:ind w:left="511"/>
              <w:jc w:val="left"/>
              <w:rPr>
                <w:sz w:val="16"/>
              </w:rPr>
            </w:pPr>
            <w:r>
              <w:rPr>
                <w:sz w:val="16"/>
              </w:rPr>
              <w:t>客座率</w:t>
            </w:r>
          </w:p>
        </w:tc>
        <w:tc>
          <w:tcPr>
            <w:tcW w:w="578" w:type="dxa"/>
          </w:tcPr>
          <w:p>
            <w:pPr>
              <w:pStyle w:val="TableParagraph"/>
              <w:spacing w:before="129"/>
              <w:ind w:left="26" w:right="28"/>
              <w:rPr>
                <w:sz w:val="16"/>
              </w:rPr>
            </w:pPr>
            <w:r>
              <w:rPr>
                <w:sz w:val="16"/>
              </w:rPr>
              <w:t>77.6%</w:t>
            </w:r>
          </w:p>
        </w:tc>
        <w:tc>
          <w:tcPr>
            <w:tcW w:w="1632" w:type="dxa"/>
            <w:gridSpan w:val="3"/>
          </w:tcPr>
          <w:p>
            <w:pPr>
              <w:pStyle w:val="TableParagraph"/>
              <w:spacing w:before="129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88.2% 90.1% 88.8%</w:t>
            </w:r>
          </w:p>
        </w:tc>
        <w:tc>
          <w:tcPr>
            <w:tcW w:w="618" w:type="dxa"/>
          </w:tcPr>
          <w:p>
            <w:pPr>
              <w:pStyle w:val="TableParagraph"/>
              <w:spacing w:before="129"/>
              <w:ind w:left="39" w:right="39"/>
              <w:rPr>
                <w:sz w:val="16"/>
              </w:rPr>
            </w:pPr>
            <w:r>
              <w:rPr>
                <w:sz w:val="16"/>
              </w:rPr>
              <w:t>89.9%</w:t>
            </w:r>
          </w:p>
        </w:tc>
        <w:tc>
          <w:tcPr>
            <w:tcW w:w="630" w:type="dxa"/>
          </w:tcPr>
          <w:p>
            <w:pPr>
              <w:pStyle w:val="TableParagraph"/>
              <w:spacing w:before="129"/>
              <w:ind w:left="9" w:right="20"/>
              <w:rPr>
                <w:sz w:val="16"/>
              </w:rPr>
            </w:pPr>
            <w:r>
              <w:rPr>
                <w:sz w:val="16"/>
              </w:rPr>
              <w:t>92.8%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21" w:right="22"/>
              <w:rPr>
                <w:sz w:val="16"/>
              </w:rPr>
            </w:pPr>
            <w:r>
              <w:rPr>
                <w:sz w:val="16"/>
              </w:rPr>
              <w:t>95.7%</w:t>
            </w:r>
          </w:p>
        </w:tc>
        <w:tc>
          <w:tcPr>
            <w:tcW w:w="646" w:type="dxa"/>
          </w:tcPr>
          <w:p>
            <w:pPr>
              <w:pStyle w:val="TableParagraph"/>
              <w:spacing w:before="129"/>
              <w:ind w:left="22" w:right="21"/>
              <w:rPr>
                <w:sz w:val="16"/>
              </w:rPr>
            </w:pPr>
            <w:r>
              <w:rPr>
                <w:sz w:val="16"/>
              </w:rPr>
              <w:t>96.8%</w:t>
            </w:r>
          </w:p>
        </w:tc>
        <w:tc>
          <w:tcPr>
            <w:tcW w:w="1293" w:type="dxa"/>
            <w:gridSpan w:val="2"/>
          </w:tcPr>
          <w:p>
            <w:pPr>
              <w:pStyle w:val="TableParagraph"/>
              <w:tabs>
                <w:tab w:val="left" w:pos="746"/>
              </w:tabs>
              <w:spacing w:before="129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92.0%</w:t>
              <w:tab/>
              <w:t>93.3%</w:t>
            </w:r>
          </w:p>
        </w:tc>
        <w:tc>
          <w:tcPr>
            <w:tcW w:w="614" w:type="dxa"/>
          </w:tcPr>
          <w:p>
            <w:pPr>
              <w:pStyle w:val="TableParagraph"/>
              <w:spacing w:before="129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90.6%</w:t>
            </w:r>
          </w:p>
        </w:tc>
        <w:tc>
          <w:tcPr>
            <w:tcW w:w="663" w:type="dxa"/>
          </w:tcPr>
          <w:p>
            <w:pPr>
              <w:pStyle w:val="TableParagraph"/>
              <w:spacing w:before="129"/>
              <w:ind w:left="45" w:right="16"/>
              <w:rPr>
                <w:sz w:val="16"/>
              </w:rPr>
            </w:pPr>
            <w:r>
              <w:rPr>
                <w:sz w:val="16"/>
              </w:rPr>
              <w:t>93.0%</w:t>
            </w:r>
          </w:p>
        </w:tc>
        <w:tc>
          <w:tcPr>
            <w:tcW w:w="639" w:type="dxa"/>
          </w:tcPr>
          <w:p>
            <w:pPr>
              <w:pStyle w:val="TableParagraph"/>
              <w:spacing w:before="129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93.5%</w:t>
            </w:r>
          </w:p>
        </w:tc>
        <w:tc>
          <w:tcPr>
            <w:tcW w:w="625" w:type="dxa"/>
          </w:tcPr>
          <w:p>
            <w:pPr>
              <w:pStyle w:val="TableParagraph"/>
              <w:spacing w:before="129"/>
              <w:ind w:right="60"/>
              <w:jc w:val="right"/>
              <w:rPr>
                <w:sz w:val="16"/>
              </w:rPr>
            </w:pPr>
            <w:r>
              <w:rPr>
                <w:sz w:val="16"/>
              </w:rPr>
              <w:t>93.5%</w:t>
            </w:r>
          </w:p>
        </w:tc>
        <w:tc>
          <w:tcPr>
            <w:tcW w:w="18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1201" w:type="dxa"/>
            <w:gridSpan w:val="2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432"/>
              <w:jc w:val="left"/>
              <w:rPr>
                <w:sz w:val="16"/>
              </w:rPr>
            </w:pPr>
            <w:r>
              <w:rPr>
                <w:sz w:val="16"/>
              </w:rPr>
              <w:t>同比增速</w:t>
            </w:r>
          </w:p>
        </w:tc>
        <w:tc>
          <w:tcPr>
            <w:tcW w:w="578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26" w:right="28"/>
              <w:rPr>
                <w:sz w:val="16"/>
              </w:rPr>
            </w:pPr>
            <w:r>
              <w:rPr>
                <w:sz w:val="16"/>
              </w:rPr>
              <w:t>0.9%</w:t>
            </w:r>
          </w:p>
        </w:tc>
        <w:tc>
          <w:tcPr>
            <w:tcW w:w="1632" w:type="dxa"/>
            <w:gridSpan w:val="3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10.6% 57.9% 88.8%</w:t>
            </w:r>
          </w:p>
        </w:tc>
        <w:tc>
          <w:tcPr>
            <w:tcW w:w="618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39" w:right="39"/>
              <w:rPr>
                <w:sz w:val="16"/>
              </w:rPr>
            </w:pPr>
            <w:r>
              <w:rPr>
                <w:sz w:val="16"/>
              </w:rPr>
              <w:t>89.9%</w:t>
            </w:r>
          </w:p>
        </w:tc>
        <w:tc>
          <w:tcPr>
            <w:tcW w:w="630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9" w:right="20"/>
              <w:rPr>
                <w:sz w:val="16"/>
              </w:rPr>
            </w:pPr>
            <w:r>
              <w:rPr>
                <w:sz w:val="16"/>
              </w:rPr>
              <w:t>92.8%</w:t>
            </w:r>
          </w:p>
        </w:tc>
        <w:tc>
          <w:tcPr>
            <w:tcW w:w="646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21" w:right="22"/>
              <w:rPr>
                <w:sz w:val="16"/>
              </w:rPr>
            </w:pPr>
            <w:r>
              <w:rPr>
                <w:sz w:val="16"/>
              </w:rPr>
              <w:t>41.0%</w:t>
            </w:r>
          </w:p>
        </w:tc>
        <w:tc>
          <w:tcPr>
            <w:tcW w:w="646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22" w:right="21"/>
              <w:rPr>
                <w:sz w:val="16"/>
              </w:rPr>
            </w:pPr>
            <w:r>
              <w:rPr>
                <w:sz w:val="16"/>
              </w:rPr>
              <w:t>48.0%</w:t>
            </w:r>
          </w:p>
        </w:tc>
        <w:tc>
          <w:tcPr>
            <w:tcW w:w="1293" w:type="dxa"/>
            <w:gridSpan w:val="2"/>
            <w:tcBorders>
              <w:bottom w:val="single" w:sz="8" w:space="0" w:color="044E7D"/>
            </w:tcBorders>
          </w:tcPr>
          <w:p>
            <w:pPr>
              <w:pStyle w:val="TableParagraph"/>
              <w:tabs>
                <w:tab w:val="left" w:pos="746"/>
              </w:tabs>
              <w:spacing w:before="53"/>
              <w:ind w:left="120"/>
              <w:jc w:val="left"/>
              <w:rPr>
                <w:sz w:val="16"/>
              </w:rPr>
            </w:pPr>
            <w:r>
              <w:rPr>
                <w:sz w:val="16"/>
              </w:rPr>
              <w:t>43.0%</w:t>
              <w:tab/>
              <w:t>40.2%</w:t>
            </w:r>
          </w:p>
        </w:tc>
        <w:tc>
          <w:tcPr>
            <w:tcW w:w="614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right="106"/>
              <w:jc w:val="right"/>
              <w:rPr>
                <w:sz w:val="16"/>
              </w:rPr>
            </w:pPr>
            <w:r>
              <w:rPr>
                <w:sz w:val="16"/>
              </w:rPr>
              <w:t>28.3%</w:t>
            </w:r>
          </w:p>
        </w:tc>
        <w:tc>
          <w:tcPr>
            <w:tcW w:w="663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left="45" w:right="16"/>
              <w:rPr>
                <w:sz w:val="16"/>
              </w:rPr>
            </w:pPr>
            <w:r>
              <w:rPr>
                <w:sz w:val="16"/>
              </w:rPr>
              <w:t>30.4%</w:t>
            </w:r>
          </w:p>
        </w:tc>
        <w:tc>
          <w:tcPr>
            <w:tcW w:w="639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right="164"/>
              <w:jc w:val="right"/>
              <w:rPr>
                <w:sz w:val="16"/>
              </w:rPr>
            </w:pPr>
            <w:r>
              <w:rPr>
                <w:sz w:val="16"/>
              </w:rPr>
              <w:t>15.9%</w:t>
            </w:r>
          </w:p>
        </w:tc>
        <w:tc>
          <w:tcPr>
            <w:tcW w:w="625" w:type="dxa"/>
            <w:tcBorders>
              <w:bottom w:val="single" w:sz="8" w:space="0" w:color="044E7D"/>
            </w:tcBorders>
          </w:tcPr>
          <w:p>
            <w:pPr>
              <w:pStyle w:val="TableParagraph"/>
              <w:spacing w:before="53"/>
              <w:ind w:right="100"/>
              <w:jc w:val="right"/>
              <w:rPr>
                <w:sz w:val="16"/>
              </w:rPr>
            </w:pPr>
            <w:r>
              <w:rPr>
                <w:sz w:val="16"/>
              </w:rPr>
              <w:t>15.9</w:t>
            </w:r>
          </w:p>
        </w:tc>
        <w:tc>
          <w:tcPr>
            <w:tcW w:w="183" w:type="dxa"/>
          </w:tcPr>
          <w:p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spacing w:before="39"/>
        <w:ind w:left="128" w:right="0" w:firstLine="0"/>
        <w:jc w:val="left"/>
        <w:rPr>
          <w:sz w:val="17"/>
        </w:rPr>
      </w:pPr>
      <w:r>
        <w:t xml:space="preserve">资料来源：公司公告， 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  <w:r>
        <w:pict>
          <v:shape id="_x0000_s1140" style="width:482.25pt;height:0.1pt;margin-top:11pt;margin-left:56.55pt;mso-position-horizontal-relative:page;mso-wrap-distance-left:0;mso-wrap-distance-right:0;position:absolute;z-index:-251620352" coordorigin="1131,220" coordsize="9645,0" path="m1131,220l10776,220e" filled="f" stroked="t" strokecolor="#044e7d" strokeweight="0.75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3"/>
        </w:rPr>
      </w:pPr>
      <w:r>
        <w:rPr>
          <w:sz w:val="13"/>
        </w:rPr>
        <w:br/>
      </w:r>
      <w:r>
        <w:rPr>
          <w:sz w:val="1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https://d.book118.com/925303110102011124</w:t>
        </w:r>
      </w:hyperlink>
    </w:p>
    <w:p>
      <w:pPr>
        <w:spacing w:after="0"/>
        <w:rPr>
          <w:sz w:val="13"/>
        </w:rPr>
      </w:pPr>
    </w:p>
    <w:sectPr>
      <w:headerReference w:type="default" r:id="rId43"/>
      <w:footerReference w:type="default" r:id="rId44"/>
      <w:type w:val="continuous"/>
      <w:pgSz w:w="11910" w:h="16840"/>
      <w:pgMar w:top="1660" w:right="0" w:bottom="920" w:left="1000" w:header="708" w:footer="708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22289"/>
    <w:multiLevelType w:val="hybridMultilevel"/>
    <w:tmpl w:val="00000000"/>
    <w:lvl w:ilvl="0">
      <w:start w:val="2"/>
      <w:numFmt w:val="decimal"/>
      <w:lvlText w:val="%1"/>
      <w:lvlJc w:val="left"/>
      <w:pPr>
        <w:ind w:left="925" w:hanging="372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25" w:hanging="372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17" w:hanging="372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915" w:hanging="37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914" w:hanging="37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913" w:hanging="37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911" w:hanging="37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910" w:hanging="37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909" w:hanging="372"/>
      </w:pPr>
      <w:rPr>
        <w:rFonts w:hint="default"/>
        <w:lang w:val="zh-CN" w:eastAsia="zh-CN" w:bidi="zh-CN"/>
      </w:rPr>
    </w:lvl>
  </w:abstractNum>
  <w:abstractNum w:abstractNumId="1">
    <w:nsid w:val="257194E3"/>
    <w:multiLevelType w:val="hybridMultilevel"/>
    <w:tmpl w:val="00000000"/>
    <w:lvl w:ilvl="0">
      <w:start w:val="2"/>
      <w:numFmt w:val="decimal"/>
      <w:lvlText w:val="%1"/>
      <w:lvlJc w:val="left"/>
      <w:pPr>
        <w:ind w:left="260" w:hanging="113"/>
        <w:jc w:val="right"/>
      </w:pPr>
      <w:rPr>
        <w:rFonts w:ascii="宋体" w:eastAsia="宋体" w:hAnsi="宋体" w:cs="宋体" w:hint="default"/>
        <w:w w:val="100"/>
        <w:sz w:val="15"/>
        <w:szCs w:val="15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81" w:hanging="11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02" w:hanging="11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24" w:hanging="11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45" w:hanging="11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366" w:hanging="11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88" w:hanging="11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09" w:hanging="11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30" w:hanging="113"/>
      </w:pPr>
      <w:rPr>
        <w:rFonts w:hint="default"/>
        <w:lang w:val="zh-CN" w:eastAsia="zh-CN" w:bidi="zh-CN"/>
      </w:rPr>
    </w:lvl>
  </w:abstractNum>
  <w:abstractNum w:abstractNumId="2">
    <w:nsid w:val="2EABF900"/>
    <w:multiLevelType w:val="hybridMultilevel"/>
    <w:tmpl w:val="00000000"/>
    <w:lvl w:ilvl="0">
      <w:start w:val="2"/>
      <w:numFmt w:val="decimal"/>
      <w:lvlText w:val="%1"/>
      <w:lvlJc w:val="left"/>
      <w:pPr>
        <w:ind w:left="625" w:hanging="493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25" w:hanging="493"/>
        <w:jc w:val="right"/>
      </w:pPr>
      <w:rPr>
        <w:rFonts w:hint="default"/>
        <w:b/>
        <w:bCs/>
        <w:w w:val="100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677" w:hanging="49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05" w:hanging="49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734" w:hanging="49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763" w:hanging="49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791" w:hanging="49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820" w:hanging="49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49" w:hanging="493"/>
      </w:pPr>
      <w:rPr>
        <w:rFonts w:hint="default"/>
        <w:lang w:val="zh-CN" w:eastAsia="zh-CN" w:bidi="zh-CN"/>
      </w:rPr>
    </w:lvl>
  </w:abstractNum>
  <w:abstractNum w:abstractNumId="3">
    <w:nsid w:val="2F0750A8"/>
    <w:multiLevelType w:val="hybridMultilevel"/>
    <w:tmpl w:val="00000000"/>
    <w:lvl w:ilvl="0">
      <w:start w:val="1"/>
      <w:numFmt w:val="decimal"/>
      <w:lvlText w:val="%1"/>
      <w:lvlJc w:val="left"/>
      <w:pPr>
        <w:ind w:left="867" w:hanging="31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67" w:hanging="315"/>
        <w:jc w:val="left"/>
      </w:pPr>
      <w:rPr>
        <w:rFonts w:ascii="Calibri" w:eastAsia="Calibri" w:hAnsi="Calibri" w:cs="Calibri" w:hint="default"/>
        <w:spacing w:val="-1"/>
        <w:w w:val="100"/>
        <w:sz w:val="21"/>
        <w:szCs w:val="21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869" w:hanging="31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873" w:hanging="31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878" w:hanging="31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883" w:hanging="31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887" w:hanging="31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892" w:hanging="31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97" w:hanging="315"/>
      </w:pPr>
      <w:rPr>
        <w:rFonts w:hint="default"/>
        <w:lang w:val="zh-CN" w:eastAsia="zh-CN" w:bidi="zh-CN"/>
      </w:rPr>
    </w:lvl>
  </w:abstractNum>
  <w:abstractNum w:abstractNumId="4">
    <w:nsid w:val="4939B0B5"/>
    <w:multiLevelType w:val="hybridMultilevel"/>
    <w:tmpl w:val="00000000"/>
    <w:lvl w:ilvl="0">
      <w:start w:val="2"/>
      <w:numFmt w:val="decimal"/>
      <w:lvlText w:val="%1"/>
      <w:lvlJc w:val="left"/>
      <w:pPr>
        <w:ind w:left="273" w:hanging="123"/>
        <w:jc w:val="right"/>
      </w:pPr>
      <w:rPr>
        <w:rFonts w:ascii="宋体" w:eastAsia="宋体" w:hAnsi="宋体" w:cs="宋体" w:hint="default"/>
        <w:w w:val="100"/>
        <w:sz w:val="16"/>
        <w:szCs w:val="1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305" w:hanging="12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330" w:hanging="12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56" w:hanging="12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81" w:hanging="12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06" w:hanging="12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32" w:hanging="12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457" w:hanging="12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482" w:hanging="123"/>
      </w:pPr>
      <w:rPr>
        <w:rFonts w:hint="default"/>
        <w:lang w:val="zh-CN" w:eastAsia="zh-CN" w:bidi="zh-CN"/>
      </w:rPr>
    </w:lvl>
  </w:abstractNum>
  <w:abstractNum w:abstractNumId="5">
    <w:nsid w:val="4BAF113D"/>
    <w:multiLevelType w:val="hybridMultilevel"/>
    <w:tmpl w:val="00000000"/>
    <w:lvl w:ilvl="0">
      <w:start w:val="1"/>
      <w:numFmt w:val="decimal"/>
      <w:lvlText w:val="%1"/>
      <w:lvlJc w:val="left"/>
      <w:pPr>
        <w:ind w:left="339" w:hanging="113"/>
        <w:jc w:val="right"/>
      </w:pPr>
      <w:rPr>
        <w:rFonts w:ascii="宋体" w:eastAsia="宋体" w:hAnsi="宋体" w:cs="宋体" w:hint="default"/>
        <w:w w:val="100"/>
        <w:sz w:val="15"/>
        <w:szCs w:val="15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760" w:hanging="11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98" w:hanging="11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237" w:hanging="11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976" w:hanging="11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" w:hanging="11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453" w:hanging="11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92" w:hanging="11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-70" w:hanging="113"/>
      </w:pPr>
      <w:rPr>
        <w:rFonts w:hint="default"/>
        <w:lang w:val="zh-CN" w:eastAsia="zh-CN" w:bidi="zh-CN"/>
      </w:rPr>
    </w:lvl>
  </w:abstractNum>
  <w:abstractNum w:abstractNumId="6">
    <w:nsid w:val="4EAA7E35"/>
    <w:multiLevelType w:val="hybridMultilevel"/>
    <w:tmpl w:val="00000000"/>
    <w:lvl w:ilvl="0">
      <w:start w:val="1"/>
      <w:numFmt w:val="decimal"/>
      <w:lvlText w:val="%1"/>
      <w:lvlJc w:val="left"/>
      <w:pPr>
        <w:ind w:left="173" w:hanging="113"/>
        <w:jc w:val="right"/>
      </w:pPr>
      <w:rPr>
        <w:rFonts w:ascii="宋体" w:eastAsia="宋体" w:hAnsi="宋体" w:cs="宋体" w:hint="default"/>
        <w:w w:val="100"/>
        <w:sz w:val="15"/>
        <w:szCs w:val="15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03" w:hanging="113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27" w:hanging="11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50" w:hanging="11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274" w:hanging="11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98" w:hanging="11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321" w:hanging="11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345" w:hanging="11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68" w:hanging="113"/>
      </w:pPr>
      <w:rPr>
        <w:rFonts w:hint="default"/>
        <w:lang w:val="zh-CN" w:eastAsia="zh-CN" w:bidi="zh-CN"/>
      </w:rPr>
    </w:lvl>
  </w:abstractNum>
  <w:abstractNum w:abstractNumId="7">
    <w:nsid w:val="774FFFE8"/>
    <w:multiLevelType w:val="hybridMultilevel"/>
    <w:tmpl w:val="00000000"/>
    <w:lvl w:ilvl="0">
      <w:start w:val="1"/>
      <w:numFmt w:val="decimal"/>
      <w:lvlText w:val="%1"/>
      <w:lvlJc w:val="left"/>
      <w:pPr>
        <w:ind w:left="540" w:hanging="408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540" w:hanging="40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3"/>
      <w:lvlJc w:val="left"/>
      <w:pPr>
        <w:ind w:left="1264" w:hanging="572"/>
        <w:jc w:val="left"/>
      </w:pPr>
      <w:rPr>
        <w:rFonts w:ascii="宋体" w:eastAsia="宋体" w:hAnsi="宋体" w:cs="宋体" w:hint="default"/>
        <w:w w:val="99"/>
        <w:sz w:val="14"/>
        <w:szCs w:val="14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393" w:hanging="57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459" w:hanging="57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526" w:hanging="57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592" w:hanging="57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659" w:hanging="57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1726" w:hanging="572"/>
      </w:pPr>
      <w:rPr>
        <w:rFonts w:hint="default"/>
        <w:lang w:val="zh-CN" w:eastAsia="zh-CN" w:bidi="zh-CN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ind w:left="132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paragraph" w:styleId="Heading2">
    <w:name w:val="heading 2"/>
    <w:basedOn w:val="Normal"/>
    <w:uiPriority w:val="1"/>
    <w:qFormat/>
    <w:pPr>
      <w:spacing w:line="493" w:lineRule="exact"/>
      <w:ind w:left="625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eastAsia="zh-CN" w:bidi="zh-CN"/>
    </w:rPr>
  </w:style>
  <w:style w:type="paragraph" w:styleId="Heading3">
    <w:name w:val="heading 3"/>
    <w:basedOn w:val="Normal"/>
    <w:uiPriority w:val="1"/>
    <w:qFormat/>
    <w:pPr>
      <w:spacing w:line="340" w:lineRule="exact"/>
      <w:ind w:left="132"/>
      <w:outlineLvl w:val="2"/>
    </w:pPr>
    <w:rPr>
      <w:rFonts w:ascii="Microsoft JhengHei" w:eastAsia="Microsoft JhengHei" w:hAnsi="Microsoft JhengHei" w:cs="Microsoft JhengHei"/>
      <w:b/>
      <w:bCs/>
      <w:sz w:val="20"/>
      <w:szCs w:val="20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3"/>
      <w:ind w:left="135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43"/>
      <w:ind w:left="925" w:hanging="373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before="372"/>
      <w:ind w:left="3916" w:right="4916"/>
      <w:jc w:val="center"/>
    </w:pPr>
    <w:rPr>
      <w:rFonts w:ascii="Microsoft JhengHei" w:eastAsia="Microsoft JhengHei" w:hAnsi="Microsoft JhengHei" w:cs="Microsoft JhengHei"/>
      <w:b/>
      <w:bCs/>
      <w:sz w:val="28"/>
      <w:szCs w:val="28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spacing w:before="120"/>
      <w:ind w:left="1264" w:hanging="114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2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image" Target="media/image3.png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image" Target="media/image4.jpeg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hyperlink" Target="https://d.book118.com/925303110102011124" TargetMode="External" /><Relationship Id="rId43" Type="http://schemas.openxmlformats.org/officeDocument/2006/relationships/header" Target="header18.xml" /><Relationship Id="rId44" Type="http://schemas.openxmlformats.org/officeDocument/2006/relationships/footer" Target="footer18.xml" /><Relationship Id="rId45" Type="http://schemas.openxmlformats.org/officeDocument/2006/relationships/theme" Target="theme/theme1.xml" /><Relationship Id="rId46" Type="http://schemas.openxmlformats.org/officeDocument/2006/relationships/numbering" Target="numbering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2024-03-19T05:24:47Z</dcterms:created>
  <dcterms:modified xsi:type="dcterms:W3CDTF">2024-03-19T05:24:47Z</dcterms:modified>
</cp:coreProperties>
</file>