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等离子体沉积和刻蚀设备项目规划设计蓝图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93" w:history="1">
        <w:r>
          <w:rPr>
            <w:rFonts w:ascii="仿宋" w:eastAsia="仿宋" w:hAnsi="仿宋" w:cs="仿宋" w:hint="eastAsia"/>
            <w:lang w:eastAsia="zh-CN"/>
          </w:rPr>
          <w:t>序言</w:t>
        </w:r>
        <w:r>
          <w:tab/>
        </w:r>
        <w:r>
          <w:fldChar w:fldCharType="begin"/>
        </w:r>
        <w:r>
          <w:instrText xml:space="preserve"> PAGEREF _Toc21393 \h </w:instrText>
        </w:r>
        <w:r>
          <w:fldChar w:fldCharType="separate"/>
        </w:r>
        <w:r>
          <w:t>3</w:t>
        </w:r>
        <w:r>
          <w:fldChar w:fldCharType="end"/>
        </w:r>
      </w:hyperlink>
    </w:p>
    <w:p>
      <w:pPr>
        <w:pStyle w:val="TOC1"/>
        <w:tabs>
          <w:tab w:val="right" w:leader="dot" w:pos="8306"/>
        </w:tabs>
      </w:pPr>
      <w:hyperlink w:anchor="_Toc21317" w:history="1">
        <w:r>
          <w:rPr>
            <w:rFonts w:ascii="仿宋" w:eastAsia="仿宋" w:hAnsi="仿宋" w:cs="仿宋" w:hint="eastAsia"/>
            <w:lang w:eastAsia="zh-CN"/>
          </w:rPr>
          <w:t>一、等离子体沉积和刻蚀设备项目选址可行性分析</w:t>
        </w:r>
        <w:r>
          <w:tab/>
        </w:r>
        <w:r>
          <w:fldChar w:fldCharType="begin"/>
        </w:r>
        <w:r>
          <w:instrText xml:space="preserve"> PAGEREF _Toc21317 \h </w:instrText>
        </w:r>
        <w:r>
          <w:fldChar w:fldCharType="separate"/>
        </w:r>
        <w:r>
          <w:t>3</w:t>
        </w:r>
        <w:r>
          <w:fldChar w:fldCharType="end"/>
        </w:r>
      </w:hyperlink>
    </w:p>
    <w:p>
      <w:pPr>
        <w:pStyle w:val="TOC2"/>
        <w:tabs>
          <w:tab w:val="right" w:leader="dot" w:pos="8306"/>
        </w:tabs>
      </w:pPr>
      <w:hyperlink w:anchor="_Toc12913" w:history="1">
        <w:r>
          <w:rPr>
            <w:rFonts w:ascii="仿宋" w:eastAsia="仿宋" w:hAnsi="仿宋" w:cs="仿宋" w:hint="eastAsia"/>
            <w:lang w:eastAsia="zh-CN"/>
          </w:rPr>
          <w:t>(一)、等离子体沉积和刻蚀设备项目选址</w:t>
        </w:r>
        <w:r>
          <w:tab/>
        </w:r>
        <w:r>
          <w:fldChar w:fldCharType="begin"/>
        </w:r>
        <w:r>
          <w:instrText xml:space="preserve"> PAGEREF _Toc12913 \h </w:instrText>
        </w:r>
        <w:r>
          <w:fldChar w:fldCharType="separate"/>
        </w:r>
        <w:r>
          <w:t>3</w:t>
        </w:r>
        <w:r>
          <w:fldChar w:fldCharType="end"/>
        </w:r>
      </w:hyperlink>
    </w:p>
    <w:p>
      <w:pPr>
        <w:pStyle w:val="TOC2"/>
        <w:tabs>
          <w:tab w:val="right" w:leader="dot" w:pos="8306"/>
        </w:tabs>
      </w:pPr>
      <w:hyperlink w:anchor="_Toc1989" w:history="1">
        <w:r>
          <w:rPr>
            <w:rFonts w:ascii="仿宋" w:eastAsia="仿宋" w:hAnsi="仿宋" w:cs="仿宋" w:hint="eastAsia"/>
            <w:lang w:eastAsia="zh-CN"/>
          </w:rPr>
          <w:t>(二)、用地控制指标</w:t>
        </w:r>
        <w:r>
          <w:tab/>
        </w:r>
        <w:r>
          <w:fldChar w:fldCharType="begin"/>
        </w:r>
        <w:r>
          <w:instrText xml:space="preserve"> PAGEREF _Toc1989 \h </w:instrText>
        </w:r>
        <w:r>
          <w:fldChar w:fldCharType="separate"/>
        </w:r>
        <w:r>
          <w:t>3</w:t>
        </w:r>
        <w:r>
          <w:fldChar w:fldCharType="end"/>
        </w:r>
      </w:hyperlink>
    </w:p>
    <w:p>
      <w:pPr>
        <w:pStyle w:val="TOC2"/>
        <w:tabs>
          <w:tab w:val="right" w:leader="dot" w:pos="8306"/>
        </w:tabs>
      </w:pPr>
      <w:hyperlink w:anchor="_Toc17968" w:history="1">
        <w:r>
          <w:rPr>
            <w:rFonts w:ascii="仿宋" w:eastAsia="仿宋" w:hAnsi="仿宋" w:cs="仿宋" w:hint="eastAsia"/>
            <w:lang w:eastAsia="zh-CN"/>
          </w:rPr>
          <w:t>(三)、节约用地措施</w:t>
        </w:r>
        <w:r>
          <w:tab/>
        </w:r>
        <w:r>
          <w:fldChar w:fldCharType="begin"/>
        </w:r>
        <w:r>
          <w:instrText xml:space="preserve"> PAGEREF _Toc17968 \h </w:instrText>
        </w:r>
        <w:r>
          <w:fldChar w:fldCharType="separate"/>
        </w:r>
        <w:r>
          <w:t>5</w:t>
        </w:r>
        <w:r>
          <w:fldChar w:fldCharType="end"/>
        </w:r>
      </w:hyperlink>
    </w:p>
    <w:p>
      <w:pPr>
        <w:pStyle w:val="TOC2"/>
        <w:tabs>
          <w:tab w:val="right" w:leader="dot" w:pos="8306"/>
        </w:tabs>
      </w:pPr>
      <w:hyperlink w:anchor="_Toc19184" w:history="1">
        <w:r>
          <w:rPr>
            <w:rFonts w:ascii="仿宋" w:eastAsia="仿宋" w:hAnsi="仿宋" w:cs="仿宋" w:hint="eastAsia"/>
            <w:lang w:eastAsia="zh-CN"/>
          </w:rPr>
          <w:t>(四)、总图布置方案</w:t>
        </w:r>
        <w:r>
          <w:tab/>
        </w:r>
        <w:r>
          <w:fldChar w:fldCharType="begin"/>
        </w:r>
        <w:r>
          <w:instrText xml:space="preserve"> PAGEREF _Toc19184 \h </w:instrText>
        </w:r>
        <w:r>
          <w:fldChar w:fldCharType="separate"/>
        </w:r>
        <w:r>
          <w:t>6</w:t>
        </w:r>
        <w:r>
          <w:fldChar w:fldCharType="end"/>
        </w:r>
      </w:hyperlink>
    </w:p>
    <w:p>
      <w:pPr>
        <w:pStyle w:val="TOC2"/>
        <w:tabs>
          <w:tab w:val="right" w:leader="dot" w:pos="8306"/>
        </w:tabs>
      </w:pPr>
      <w:hyperlink w:anchor="_Toc19229" w:history="1">
        <w:r>
          <w:rPr>
            <w:rFonts w:ascii="仿宋" w:eastAsia="仿宋" w:hAnsi="仿宋" w:cs="仿宋" w:hint="eastAsia"/>
            <w:lang w:eastAsia="zh-CN"/>
          </w:rPr>
          <w:t>(五)、选址综合评价</w:t>
        </w:r>
        <w:r>
          <w:tab/>
        </w:r>
        <w:r>
          <w:fldChar w:fldCharType="begin"/>
        </w:r>
        <w:r>
          <w:instrText xml:space="preserve"> PAGEREF _Toc19229 \h </w:instrText>
        </w:r>
        <w:r>
          <w:fldChar w:fldCharType="separate"/>
        </w:r>
        <w:r>
          <w:t>7</w:t>
        </w:r>
        <w:r>
          <w:fldChar w:fldCharType="end"/>
        </w:r>
      </w:hyperlink>
    </w:p>
    <w:p>
      <w:pPr>
        <w:pStyle w:val="TOC1"/>
        <w:tabs>
          <w:tab w:val="right" w:leader="dot" w:pos="8306"/>
        </w:tabs>
      </w:pPr>
      <w:hyperlink w:anchor="_Toc29693" w:history="1">
        <w:r>
          <w:rPr>
            <w:rFonts w:ascii="仿宋" w:eastAsia="仿宋" w:hAnsi="仿宋" w:cs="仿宋" w:hint="eastAsia"/>
            <w:lang w:eastAsia="zh-CN"/>
          </w:rPr>
          <w:t>二、等离子体沉积和刻蚀设备项目建设单位说明</w:t>
        </w:r>
        <w:r>
          <w:tab/>
        </w:r>
        <w:r>
          <w:fldChar w:fldCharType="begin"/>
        </w:r>
        <w:r>
          <w:instrText xml:space="preserve"> PAGEREF _Toc29693 \h </w:instrText>
        </w:r>
        <w:r>
          <w:fldChar w:fldCharType="separate"/>
        </w:r>
        <w:r>
          <w:t>9</w:t>
        </w:r>
        <w:r>
          <w:fldChar w:fldCharType="end"/>
        </w:r>
      </w:hyperlink>
    </w:p>
    <w:p>
      <w:pPr>
        <w:pStyle w:val="TOC2"/>
        <w:tabs>
          <w:tab w:val="right" w:leader="dot" w:pos="8306"/>
        </w:tabs>
      </w:pPr>
      <w:hyperlink w:anchor="_Toc16151" w:history="1">
        <w:r>
          <w:rPr>
            <w:rFonts w:ascii="仿宋" w:eastAsia="仿宋" w:hAnsi="仿宋" w:cs="仿宋" w:hint="eastAsia"/>
            <w:lang w:eastAsia="zh-CN"/>
          </w:rPr>
          <w:t>(一)、等离子体沉积和刻蚀设备项目承办单位基本情况</w:t>
        </w:r>
        <w:r>
          <w:tab/>
        </w:r>
        <w:r>
          <w:fldChar w:fldCharType="begin"/>
        </w:r>
        <w:r>
          <w:instrText xml:space="preserve"> PAGEREF _Toc16151 \h </w:instrText>
        </w:r>
        <w:r>
          <w:fldChar w:fldCharType="separate"/>
        </w:r>
        <w:r>
          <w:t>9</w:t>
        </w:r>
        <w:r>
          <w:fldChar w:fldCharType="end"/>
        </w:r>
      </w:hyperlink>
    </w:p>
    <w:p>
      <w:pPr>
        <w:pStyle w:val="TOC2"/>
        <w:tabs>
          <w:tab w:val="right" w:leader="dot" w:pos="8306"/>
        </w:tabs>
      </w:pPr>
      <w:hyperlink w:anchor="_Toc1742" w:history="1">
        <w:r>
          <w:rPr>
            <w:rFonts w:ascii="仿宋" w:eastAsia="仿宋" w:hAnsi="仿宋" w:cs="仿宋" w:hint="eastAsia"/>
            <w:lang w:eastAsia="zh-CN"/>
          </w:rPr>
          <w:t>(二)、公司经济效益分析</w:t>
        </w:r>
        <w:r>
          <w:tab/>
        </w:r>
        <w:r>
          <w:fldChar w:fldCharType="begin"/>
        </w:r>
        <w:r>
          <w:instrText xml:space="preserve"> PAGEREF _Toc1742 \h </w:instrText>
        </w:r>
        <w:r>
          <w:fldChar w:fldCharType="separate"/>
        </w:r>
        <w:r>
          <w:t>9</w:t>
        </w:r>
        <w:r>
          <w:fldChar w:fldCharType="end"/>
        </w:r>
      </w:hyperlink>
    </w:p>
    <w:p>
      <w:pPr>
        <w:pStyle w:val="TOC1"/>
        <w:tabs>
          <w:tab w:val="right" w:leader="dot" w:pos="8306"/>
        </w:tabs>
      </w:pPr>
      <w:hyperlink w:anchor="_Toc1542" w:history="1">
        <w:r>
          <w:rPr>
            <w:rFonts w:ascii="仿宋" w:eastAsia="仿宋" w:hAnsi="仿宋" w:cs="仿宋" w:hint="eastAsia"/>
            <w:lang w:eastAsia="zh-CN"/>
          </w:rPr>
          <w:t>三、市场分析、调研</w:t>
        </w:r>
        <w:r>
          <w:tab/>
        </w:r>
        <w:r>
          <w:fldChar w:fldCharType="begin"/>
        </w:r>
        <w:r>
          <w:instrText xml:space="preserve"> PAGEREF _Toc1542 \h </w:instrText>
        </w:r>
        <w:r>
          <w:fldChar w:fldCharType="separate"/>
        </w:r>
        <w:r>
          <w:t>10</w:t>
        </w:r>
        <w:r>
          <w:fldChar w:fldCharType="end"/>
        </w:r>
      </w:hyperlink>
    </w:p>
    <w:p>
      <w:pPr>
        <w:pStyle w:val="TOC2"/>
        <w:tabs>
          <w:tab w:val="right" w:leader="dot" w:pos="8306"/>
        </w:tabs>
      </w:pPr>
      <w:hyperlink w:anchor="_Toc20722" w:history="1">
        <w:r>
          <w:rPr>
            <w:rFonts w:ascii="仿宋" w:eastAsia="仿宋" w:hAnsi="仿宋" w:cs="仿宋" w:hint="eastAsia"/>
            <w:lang w:eastAsia="zh-CN"/>
          </w:rPr>
          <w:t>(一)、等离子体沉积和刻蚀设备行业分析</w:t>
        </w:r>
        <w:r>
          <w:tab/>
        </w:r>
        <w:r>
          <w:fldChar w:fldCharType="begin"/>
        </w:r>
        <w:r>
          <w:instrText xml:space="preserve"> PAGEREF _Toc20722 \h </w:instrText>
        </w:r>
        <w:r>
          <w:fldChar w:fldCharType="separate"/>
        </w:r>
        <w:r>
          <w:t>10</w:t>
        </w:r>
        <w:r>
          <w:fldChar w:fldCharType="end"/>
        </w:r>
      </w:hyperlink>
    </w:p>
    <w:p>
      <w:pPr>
        <w:pStyle w:val="TOC2"/>
        <w:tabs>
          <w:tab w:val="right" w:leader="dot" w:pos="8306"/>
        </w:tabs>
      </w:pPr>
      <w:hyperlink w:anchor="_Toc29544" w:history="1">
        <w:r>
          <w:rPr>
            <w:rFonts w:ascii="仿宋" w:eastAsia="仿宋" w:hAnsi="仿宋" w:cs="仿宋" w:hint="eastAsia"/>
            <w:lang w:eastAsia="zh-CN"/>
          </w:rPr>
          <w:t>(二)、等离子体沉积和刻蚀设备市场分析预测</w:t>
        </w:r>
        <w:r>
          <w:tab/>
        </w:r>
        <w:r>
          <w:fldChar w:fldCharType="begin"/>
        </w:r>
        <w:r>
          <w:instrText xml:space="preserve"> PAGEREF _Toc29544 \h </w:instrText>
        </w:r>
        <w:r>
          <w:fldChar w:fldCharType="separate"/>
        </w:r>
        <w:r>
          <w:t>11</w:t>
        </w:r>
        <w:r>
          <w:fldChar w:fldCharType="end"/>
        </w:r>
      </w:hyperlink>
    </w:p>
    <w:p>
      <w:pPr>
        <w:pStyle w:val="TOC1"/>
        <w:tabs>
          <w:tab w:val="right" w:leader="dot" w:pos="8306"/>
        </w:tabs>
      </w:pPr>
      <w:hyperlink w:anchor="_Toc11148" w:history="1">
        <w:r>
          <w:rPr>
            <w:rFonts w:ascii="仿宋" w:eastAsia="仿宋" w:hAnsi="仿宋" w:cs="仿宋" w:hint="eastAsia"/>
            <w:lang w:eastAsia="zh-CN"/>
          </w:rPr>
          <w:t>四、等离子体沉积和刻蚀设备项目可持续发展</w:t>
        </w:r>
        <w:r>
          <w:tab/>
        </w:r>
        <w:r>
          <w:fldChar w:fldCharType="begin"/>
        </w:r>
        <w:r>
          <w:instrText xml:space="preserve"> PAGEREF _Toc11148 \h </w:instrText>
        </w:r>
        <w:r>
          <w:fldChar w:fldCharType="separate"/>
        </w:r>
        <w:r>
          <w:t>12</w:t>
        </w:r>
        <w:r>
          <w:fldChar w:fldCharType="end"/>
        </w:r>
      </w:hyperlink>
    </w:p>
    <w:p>
      <w:pPr>
        <w:pStyle w:val="TOC2"/>
        <w:tabs>
          <w:tab w:val="right" w:leader="dot" w:pos="8306"/>
        </w:tabs>
      </w:pPr>
      <w:hyperlink w:anchor="_Toc26876" w:history="1">
        <w:r>
          <w:rPr>
            <w:rFonts w:ascii="仿宋" w:eastAsia="仿宋" w:hAnsi="仿宋" w:cs="仿宋" w:hint="eastAsia"/>
            <w:lang w:eastAsia="zh-CN"/>
          </w:rPr>
          <w:t>(一)、可持续战略与实践</w:t>
        </w:r>
        <w:r>
          <w:tab/>
        </w:r>
        <w:r>
          <w:fldChar w:fldCharType="begin"/>
        </w:r>
        <w:r>
          <w:instrText xml:space="preserve"> PAGEREF _Toc26876 \h </w:instrText>
        </w:r>
        <w:r>
          <w:fldChar w:fldCharType="separate"/>
        </w:r>
        <w:r>
          <w:t>12</w:t>
        </w:r>
        <w:r>
          <w:fldChar w:fldCharType="end"/>
        </w:r>
      </w:hyperlink>
    </w:p>
    <w:p>
      <w:pPr>
        <w:pStyle w:val="TOC2"/>
        <w:tabs>
          <w:tab w:val="right" w:leader="dot" w:pos="8306"/>
        </w:tabs>
      </w:pPr>
      <w:hyperlink w:anchor="_Toc29124" w:history="1">
        <w:r>
          <w:rPr>
            <w:rFonts w:ascii="仿宋" w:eastAsia="仿宋" w:hAnsi="仿宋" w:cs="仿宋" w:hint="eastAsia"/>
            <w:lang w:eastAsia="zh-CN"/>
          </w:rPr>
          <w:t>(二)、环保与社会责任</w:t>
        </w:r>
        <w:r>
          <w:tab/>
        </w:r>
        <w:r>
          <w:fldChar w:fldCharType="begin"/>
        </w:r>
        <w:r>
          <w:instrText xml:space="preserve"> PAGEREF _Toc29124 \h </w:instrText>
        </w:r>
        <w:r>
          <w:fldChar w:fldCharType="separate"/>
        </w:r>
        <w:r>
          <w:t>13</w:t>
        </w:r>
        <w:r>
          <w:fldChar w:fldCharType="end"/>
        </w:r>
      </w:hyperlink>
    </w:p>
    <w:p>
      <w:pPr>
        <w:pStyle w:val="TOC1"/>
        <w:tabs>
          <w:tab w:val="right" w:leader="dot" w:pos="8306"/>
        </w:tabs>
      </w:pPr>
      <w:hyperlink w:anchor="_Toc31762" w:history="1">
        <w:r>
          <w:rPr>
            <w:rFonts w:ascii="仿宋" w:eastAsia="仿宋" w:hAnsi="仿宋" w:cs="仿宋" w:hint="eastAsia"/>
            <w:lang w:eastAsia="zh-CN"/>
          </w:rPr>
          <w:t>五、工艺说明</w:t>
        </w:r>
        <w:r>
          <w:tab/>
        </w:r>
        <w:r>
          <w:fldChar w:fldCharType="begin"/>
        </w:r>
        <w:r>
          <w:instrText xml:space="preserve"> PAGEREF _Toc31762 \h </w:instrText>
        </w:r>
        <w:r>
          <w:fldChar w:fldCharType="separate"/>
        </w:r>
        <w:r>
          <w:t>14</w:t>
        </w:r>
        <w:r>
          <w:fldChar w:fldCharType="end"/>
        </w:r>
      </w:hyperlink>
    </w:p>
    <w:p>
      <w:pPr>
        <w:pStyle w:val="TOC2"/>
        <w:tabs>
          <w:tab w:val="right" w:leader="dot" w:pos="8306"/>
        </w:tabs>
      </w:pPr>
      <w:hyperlink w:anchor="_Toc30571" w:history="1">
        <w:r>
          <w:rPr>
            <w:rFonts w:ascii="仿宋" w:eastAsia="仿宋" w:hAnsi="仿宋" w:cs="仿宋" w:hint="eastAsia"/>
            <w:lang w:eastAsia="zh-CN"/>
          </w:rPr>
          <w:t>(一)、技术管理特点</w:t>
        </w:r>
        <w:r>
          <w:tab/>
        </w:r>
        <w:r>
          <w:fldChar w:fldCharType="begin"/>
        </w:r>
        <w:r>
          <w:instrText xml:space="preserve"> PAGEREF _Toc30571 \h </w:instrText>
        </w:r>
        <w:r>
          <w:fldChar w:fldCharType="separate"/>
        </w:r>
        <w:r>
          <w:t>14</w:t>
        </w:r>
        <w:r>
          <w:fldChar w:fldCharType="end"/>
        </w:r>
      </w:hyperlink>
    </w:p>
    <w:p>
      <w:pPr>
        <w:pStyle w:val="TOC2"/>
        <w:tabs>
          <w:tab w:val="right" w:leader="dot" w:pos="8306"/>
        </w:tabs>
      </w:pPr>
      <w:hyperlink w:anchor="_Toc24071" w:history="1">
        <w:r>
          <w:rPr>
            <w:rFonts w:ascii="仿宋" w:eastAsia="仿宋" w:hAnsi="仿宋" w:cs="仿宋" w:hint="eastAsia"/>
            <w:lang w:eastAsia="zh-CN"/>
          </w:rPr>
          <w:t>(二)、等离子体沉积和刻蚀设备项目工艺技术设计方案</w:t>
        </w:r>
        <w:r>
          <w:tab/>
        </w:r>
        <w:r>
          <w:fldChar w:fldCharType="begin"/>
        </w:r>
        <w:r>
          <w:instrText xml:space="preserve"> PAGEREF _Toc24071 \h </w:instrText>
        </w:r>
        <w:r>
          <w:fldChar w:fldCharType="separate"/>
        </w:r>
        <w:r>
          <w:t>15</w:t>
        </w:r>
        <w:r>
          <w:fldChar w:fldCharType="end"/>
        </w:r>
      </w:hyperlink>
    </w:p>
    <w:p>
      <w:pPr>
        <w:pStyle w:val="TOC2"/>
        <w:tabs>
          <w:tab w:val="right" w:leader="dot" w:pos="8306"/>
        </w:tabs>
      </w:pPr>
      <w:hyperlink w:anchor="_Toc27118" w:history="1">
        <w:r>
          <w:rPr>
            <w:rFonts w:ascii="仿宋" w:eastAsia="仿宋" w:hAnsi="仿宋" w:cs="仿宋" w:hint="eastAsia"/>
            <w:lang w:eastAsia="zh-CN"/>
          </w:rPr>
          <w:t>(三)、设备选型方案</w:t>
        </w:r>
        <w:r>
          <w:tab/>
        </w:r>
        <w:r>
          <w:fldChar w:fldCharType="begin"/>
        </w:r>
        <w:r>
          <w:instrText xml:space="preserve"> PAGEREF _Toc27118 \h </w:instrText>
        </w:r>
        <w:r>
          <w:fldChar w:fldCharType="separate"/>
        </w:r>
        <w:r>
          <w:t>17</w:t>
        </w:r>
        <w:r>
          <w:fldChar w:fldCharType="end"/>
        </w:r>
      </w:hyperlink>
    </w:p>
    <w:p>
      <w:pPr>
        <w:pStyle w:val="TOC1"/>
        <w:tabs>
          <w:tab w:val="right" w:leader="dot" w:pos="8306"/>
        </w:tabs>
      </w:pPr>
      <w:hyperlink w:anchor="_Toc27125" w:history="1">
        <w:r>
          <w:rPr>
            <w:rFonts w:ascii="仿宋" w:eastAsia="仿宋" w:hAnsi="仿宋" w:cs="仿宋" w:hint="eastAsia"/>
            <w:lang w:eastAsia="zh-CN"/>
          </w:rPr>
          <w:t>六、等离子体沉积和刻蚀设备项目绩效评估</w:t>
        </w:r>
        <w:r>
          <w:tab/>
        </w:r>
        <w:r>
          <w:fldChar w:fldCharType="begin"/>
        </w:r>
        <w:r>
          <w:instrText xml:space="preserve"> PAGEREF _Toc27125 \h </w:instrText>
        </w:r>
        <w:r>
          <w:fldChar w:fldCharType="separate"/>
        </w:r>
        <w:r>
          <w:t>18</w:t>
        </w:r>
        <w:r>
          <w:fldChar w:fldCharType="end"/>
        </w:r>
      </w:hyperlink>
    </w:p>
    <w:p>
      <w:pPr>
        <w:pStyle w:val="TOC2"/>
        <w:tabs>
          <w:tab w:val="right" w:leader="dot" w:pos="8306"/>
        </w:tabs>
      </w:pPr>
      <w:hyperlink w:anchor="_Toc5594" w:history="1">
        <w:r>
          <w:rPr>
            <w:rFonts w:ascii="仿宋" w:eastAsia="仿宋" w:hAnsi="仿宋" w:cs="仿宋" w:hint="eastAsia"/>
            <w:lang w:eastAsia="zh-CN"/>
          </w:rPr>
          <w:t>(一)、绩效评估指标</w:t>
        </w:r>
        <w:r>
          <w:tab/>
        </w:r>
        <w:r>
          <w:fldChar w:fldCharType="begin"/>
        </w:r>
        <w:r>
          <w:instrText xml:space="preserve"> PAGEREF _Toc5594 \h </w:instrText>
        </w:r>
        <w:r>
          <w:fldChar w:fldCharType="separate"/>
        </w:r>
        <w:r>
          <w:t>18</w:t>
        </w:r>
        <w:r>
          <w:fldChar w:fldCharType="end"/>
        </w:r>
      </w:hyperlink>
    </w:p>
    <w:p>
      <w:pPr>
        <w:pStyle w:val="TOC2"/>
        <w:tabs>
          <w:tab w:val="right" w:leader="dot" w:pos="8306"/>
        </w:tabs>
      </w:pPr>
      <w:hyperlink w:anchor="_Toc2216" w:history="1">
        <w:r>
          <w:rPr>
            <w:rFonts w:ascii="仿宋" w:eastAsia="仿宋" w:hAnsi="仿宋" w:cs="仿宋" w:hint="eastAsia"/>
            <w:lang w:eastAsia="zh-CN"/>
          </w:rPr>
          <w:t>(二)、绩效评估方法</w:t>
        </w:r>
        <w:r>
          <w:tab/>
        </w:r>
        <w:r>
          <w:fldChar w:fldCharType="begin"/>
        </w:r>
        <w:r>
          <w:instrText xml:space="preserve"> PAGEREF _Toc2216 \h </w:instrText>
        </w:r>
        <w:r>
          <w:fldChar w:fldCharType="separate"/>
        </w:r>
        <w:r>
          <w:t>19</w:t>
        </w:r>
        <w:r>
          <w:fldChar w:fldCharType="end"/>
        </w:r>
      </w:hyperlink>
    </w:p>
    <w:p>
      <w:pPr>
        <w:pStyle w:val="TOC2"/>
        <w:tabs>
          <w:tab w:val="right" w:leader="dot" w:pos="8306"/>
        </w:tabs>
      </w:pPr>
      <w:hyperlink w:anchor="_Toc7545" w:history="1">
        <w:r>
          <w:rPr>
            <w:rFonts w:ascii="仿宋" w:eastAsia="仿宋" w:hAnsi="仿宋" w:cs="仿宋" w:hint="eastAsia"/>
            <w:lang w:eastAsia="zh-CN"/>
          </w:rPr>
          <w:t>(三)、绩效评估周期</w:t>
        </w:r>
        <w:r>
          <w:tab/>
        </w:r>
        <w:r>
          <w:fldChar w:fldCharType="begin"/>
        </w:r>
        <w:r>
          <w:instrText xml:space="preserve"> PAGEREF _Toc7545 \h </w:instrText>
        </w:r>
        <w:r>
          <w:fldChar w:fldCharType="separate"/>
        </w:r>
        <w:r>
          <w:t>20</w:t>
        </w:r>
        <w:r>
          <w:fldChar w:fldCharType="end"/>
        </w:r>
      </w:hyperlink>
    </w:p>
    <w:p>
      <w:pPr>
        <w:pStyle w:val="TOC1"/>
        <w:tabs>
          <w:tab w:val="right" w:leader="dot" w:pos="8306"/>
        </w:tabs>
      </w:pPr>
      <w:hyperlink w:anchor="_Toc25928" w:history="1">
        <w:r>
          <w:rPr>
            <w:rFonts w:ascii="仿宋" w:eastAsia="仿宋" w:hAnsi="仿宋" w:cs="仿宋" w:hint="eastAsia"/>
            <w:lang w:eastAsia="zh-CN"/>
          </w:rPr>
          <w:t>七、等离子体沉积和刻蚀设备项目社会影响</w:t>
        </w:r>
        <w:r>
          <w:tab/>
        </w:r>
        <w:r>
          <w:fldChar w:fldCharType="begin"/>
        </w:r>
        <w:r>
          <w:instrText xml:space="preserve"> PAGEREF _Toc25928 \h </w:instrText>
        </w:r>
        <w:r>
          <w:fldChar w:fldCharType="separate"/>
        </w:r>
        <w:r>
          <w:t>22</w:t>
        </w:r>
        <w:r>
          <w:fldChar w:fldCharType="end"/>
        </w:r>
      </w:hyperlink>
    </w:p>
    <w:p>
      <w:pPr>
        <w:pStyle w:val="TOC2"/>
        <w:tabs>
          <w:tab w:val="right" w:leader="dot" w:pos="8306"/>
        </w:tabs>
      </w:pPr>
      <w:hyperlink w:anchor="_Toc20810" w:history="1">
        <w:r>
          <w:rPr>
            <w:rFonts w:ascii="仿宋" w:eastAsia="仿宋" w:hAnsi="仿宋" w:cs="仿宋" w:hint="eastAsia"/>
            <w:lang w:eastAsia="zh-CN"/>
          </w:rPr>
          <w:t>(一)、社会责任与义务</w:t>
        </w:r>
        <w:r>
          <w:tab/>
        </w:r>
        <w:r>
          <w:fldChar w:fldCharType="begin"/>
        </w:r>
        <w:r>
          <w:instrText xml:space="preserve"> PAGEREF _Toc20810 \h </w:instrText>
        </w:r>
        <w:r>
          <w:fldChar w:fldCharType="separate"/>
        </w:r>
        <w:r>
          <w:t>22</w:t>
        </w:r>
        <w:r>
          <w:fldChar w:fldCharType="end"/>
        </w:r>
      </w:hyperlink>
    </w:p>
    <w:p>
      <w:pPr>
        <w:pStyle w:val="TOC2"/>
        <w:tabs>
          <w:tab w:val="right" w:leader="dot" w:pos="8306"/>
        </w:tabs>
      </w:pPr>
      <w:hyperlink w:anchor="_Toc98" w:history="1">
        <w:r>
          <w:rPr>
            <w:rFonts w:ascii="仿宋" w:eastAsia="仿宋" w:hAnsi="仿宋" w:cs="仿宋" w:hint="eastAsia"/>
            <w:lang w:eastAsia="zh-CN"/>
          </w:rPr>
          <w:t>(二)、社会参与与沟通</w:t>
        </w:r>
        <w:r>
          <w:tab/>
        </w:r>
        <w:r>
          <w:fldChar w:fldCharType="begin"/>
        </w:r>
        <w:r>
          <w:instrText xml:space="preserve"> PAGEREF _Toc98 \h </w:instrText>
        </w:r>
        <w:r>
          <w:fldChar w:fldCharType="separate"/>
        </w:r>
        <w:r>
          <w:t>22</w:t>
        </w:r>
        <w:r>
          <w:fldChar w:fldCharType="end"/>
        </w:r>
      </w:hyperlink>
    </w:p>
    <w:p>
      <w:pPr>
        <w:pStyle w:val="TOC1"/>
        <w:tabs>
          <w:tab w:val="right" w:leader="dot" w:pos="8306"/>
        </w:tabs>
      </w:pPr>
      <w:hyperlink w:anchor="_Toc8559" w:history="1">
        <w:r>
          <w:rPr>
            <w:rFonts w:ascii="仿宋" w:eastAsia="仿宋" w:hAnsi="仿宋" w:cs="仿宋" w:hint="eastAsia"/>
            <w:lang w:eastAsia="zh-CN"/>
          </w:rPr>
          <w:t>八、等离子体沉积和刻蚀设备项目经营效益</w:t>
        </w:r>
        <w:r>
          <w:tab/>
        </w:r>
        <w:r>
          <w:fldChar w:fldCharType="begin"/>
        </w:r>
        <w:r>
          <w:instrText xml:space="preserve"> PAGEREF _Toc8559 \h </w:instrText>
        </w:r>
        <w:r>
          <w:fldChar w:fldCharType="separate"/>
        </w:r>
        <w:r>
          <w:t>23</w:t>
        </w:r>
        <w:r>
          <w:fldChar w:fldCharType="end"/>
        </w:r>
      </w:hyperlink>
    </w:p>
    <w:p>
      <w:pPr>
        <w:pStyle w:val="TOC2"/>
        <w:tabs>
          <w:tab w:val="right" w:leader="dot" w:pos="8306"/>
        </w:tabs>
      </w:pPr>
      <w:hyperlink w:anchor="_Toc23608" w:history="1">
        <w:r>
          <w:rPr>
            <w:rFonts w:ascii="仿宋" w:eastAsia="仿宋" w:hAnsi="仿宋" w:cs="仿宋" w:hint="eastAsia"/>
            <w:lang w:eastAsia="zh-CN"/>
          </w:rPr>
          <w:t>(一)、经济评价财务测算</w:t>
        </w:r>
        <w:r>
          <w:tab/>
        </w:r>
        <w:r>
          <w:fldChar w:fldCharType="begin"/>
        </w:r>
        <w:r>
          <w:instrText xml:space="preserve"> PAGEREF _Toc23608 \h </w:instrText>
        </w:r>
        <w:r>
          <w:fldChar w:fldCharType="separate"/>
        </w:r>
        <w:r>
          <w:t>23</w:t>
        </w:r>
        <w:r>
          <w:fldChar w:fldCharType="end"/>
        </w:r>
      </w:hyperlink>
    </w:p>
    <w:p>
      <w:pPr>
        <w:pStyle w:val="TOC2"/>
        <w:tabs>
          <w:tab w:val="right" w:leader="dot" w:pos="8306"/>
        </w:tabs>
      </w:pPr>
      <w:hyperlink w:anchor="_Toc5950" w:history="1">
        <w:r>
          <w:rPr>
            <w:rFonts w:ascii="仿宋" w:eastAsia="仿宋" w:hAnsi="仿宋" w:cs="仿宋" w:hint="eastAsia"/>
            <w:lang w:eastAsia="zh-CN"/>
          </w:rPr>
          <w:t>(二)、等离子体沉积和刻蚀设备项目盈利能力分析</w:t>
        </w:r>
        <w:r>
          <w:tab/>
        </w:r>
        <w:r>
          <w:fldChar w:fldCharType="begin"/>
        </w:r>
        <w:r>
          <w:instrText xml:space="preserve"> PAGEREF _Toc5950 \h </w:instrText>
        </w:r>
        <w:r>
          <w:fldChar w:fldCharType="separate"/>
        </w:r>
        <w:r>
          <w:t>25</w:t>
        </w:r>
        <w:r>
          <w:fldChar w:fldCharType="end"/>
        </w:r>
      </w:hyperlink>
    </w:p>
    <w:p>
      <w:pPr>
        <w:pStyle w:val="TOC1"/>
        <w:tabs>
          <w:tab w:val="right" w:leader="dot" w:pos="8306"/>
        </w:tabs>
      </w:pPr>
      <w:hyperlink w:anchor="_Toc5241" w:history="1">
        <w:r>
          <w:rPr>
            <w:rFonts w:ascii="仿宋" w:eastAsia="仿宋" w:hAnsi="仿宋" w:cs="仿宋" w:hint="eastAsia"/>
            <w:lang w:eastAsia="zh-CN"/>
          </w:rPr>
          <w:t>九、等离子体沉积和刻蚀设备项目创新与研发</w:t>
        </w:r>
        <w:r>
          <w:tab/>
        </w:r>
        <w:r>
          <w:fldChar w:fldCharType="begin"/>
        </w:r>
        <w:r>
          <w:instrText xml:space="preserve"> PAGEREF _Toc5241 \h </w:instrText>
        </w:r>
        <w:r>
          <w:fldChar w:fldCharType="separate"/>
        </w:r>
        <w:r>
          <w:t>26</w:t>
        </w:r>
        <w:r>
          <w:fldChar w:fldCharType="end"/>
        </w:r>
      </w:hyperlink>
    </w:p>
    <w:p>
      <w:pPr>
        <w:pStyle w:val="TOC2"/>
        <w:tabs>
          <w:tab w:val="right" w:leader="dot" w:pos="8306"/>
        </w:tabs>
      </w:pPr>
      <w:hyperlink w:anchor="_Toc147" w:history="1">
        <w:r>
          <w:rPr>
            <w:rFonts w:ascii="仿宋" w:eastAsia="仿宋" w:hAnsi="仿宋" w:cs="仿宋" w:hint="eastAsia"/>
            <w:lang w:eastAsia="zh-CN"/>
          </w:rPr>
          <w:t>(一)、创新策略与方向</w:t>
        </w:r>
        <w:r>
          <w:tab/>
        </w:r>
        <w:r>
          <w:fldChar w:fldCharType="begin"/>
        </w:r>
        <w:r>
          <w:instrText xml:space="preserve"> PAGEREF _Toc147 \h </w:instrText>
        </w:r>
        <w:r>
          <w:fldChar w:fldCharType="separate"/>
        </w:r>
        <w:r>
          <w:t>26</w:t>
        </w:r>
        <w:r>
          <w:fldChar w:fldCharType="end"/>
        </w:r>
      </w:hyperlink>
    </w:p>
    <w:p>
      <w:pPr>
        <w:pStyle w:val="TOC2"/>
        <w:tabs>
          <w:tab w:val="right" w:leader="dot" w:pos="8306"/>
        </w:tabs>
      </w:pPr>
      <w:hyperlink w:anchor="_Toc1234" w:history="1">
        <w:r>
          <w:rPr>
            <w:rFonts w:ascii="仿宋" w:eastAsia="仿宋" w:hAnsi="仿宋" w:cs="仿宋" w:hint="eastAsia"/>
            <w:lang w:eastAsia="zh-CN"/>
          </w:rPr>
          <w:t>(二)、研发规划与投入</w:t>
        </w:r>
        <w:r>
          <w:tab/>
        </w:r>
        <w:r>
          <w:fldChar w:fldCharType="begin"/>
        </w:r>
        <w:r>
          <w:instrText xml:space="preserve"> PAGEREF _Toc1234 \h </w:instrText>
        </w:r>
        <w:r>
          <w:fldChar w:fldCharType="separate"/>
        </w:r>
        <w:r>
          <w:t>27</w:t>
        </w:r>
        <w:r>
          <w:fldChar w:fldCharType="end"/>
        </w:r>
      </w:hyperlink>
    </w:p>
    <w:p>
      <w:pPr>
        <w:pStyle w:val="TOC1"/>
        <w:tabs>
          <w:tab w:val="right" w:leader="dot" w:pos="8306"/>
        </w:tabs>
      </w:pPr>
      <w:hyperlink w:anchor="_Toc673" w:history="1">
        <w:r>
          <w:rPr>
            <w:rFonts w:ascii="仿宋" w:eastAsia="仿宋" w:hAnsi="仿宋" w:cs="仿宋" w:hint="eastAsia"/>
            <w:lang w:eastAsia="zh-CN"/>
          </w:rPr>
          <w:t>十、等离子体沉积和刻蚀设备项目投资规划</w:t>
        </w:r>
        <w:r>
          <w:tab/>
        </w:r>
        <w:r>
          <w:fldChar w:fldCharType="begin"/>
        </w:r>
        <w:r>
          <w:instrText xml:space="preserve"> PAGEREF _Toc673 \h </w:instrText>
        </w:r>
        <w:r>
          <w:fldChar w:fldCharType="separate"/>
        </w:r>
        <w:r>
          <w:t>29</w:t>
        </w:r>
        <w:r>
          <w:fldChar w:fldCharType="end"/>
        </w:r>
      </w:hyperlink>
    </w:p>
    <w:p>
      <w:pPr>
        <w:pStyle w:val="TOC2"/>
        <w:tabs>
          <w:tab w:val="right" w:leader="dot" w:pos="8306"/>
        </w:tabs>
      </w:pPr>
      <w:hyperlink w:anchor="_Toc31994" w:history="1">
        <w:r>
          <w:rPr>
            <w:rFonts w:ascii="仿宋" w:eastAsia="仿宋" w:hAnsi="仿宋" w:cs="仿宋" w:hint="eastAsia"/>
            <w:lang w:eastAsia="zh-CN"/>
          </w:rPr>
          <w:t>(一)、等离子体沉积和刻蚀设备项目总投资估算</w:t>
        </w:r>
        <w:r>
          <w:tab/>
        </w:r>
        <w:r>
          <w:fldChar w:fldCharType="begin"/>
        </w:r>
        <w:r>
          <w:instrText xml:space="preserve"> PAGEREF _Toc31994 \h </w:instrText>
        </w:r>
        <w:r>
          <w:fldChar w:fldCharType="separate"/>
        </w:r>
        <w:r>
          <w:t>29</w:t>
        </w:r>
        <w:r>
          <w:fldChar w:fldCharType="end"/>
        </w:r>
      </w:hyperlink>
    </w:p>
    <w:p>
      <w:pPr>
        <w:pStyle w:val="TOC2"/>
        <w:tabs>
          <w:tab w:val="right" w:leader="dot" w:pos="8306"/>
        </w:tabs>
      </w:pPr>
      <w:hyperlink w:anchor="_Toc14415" w:history="1">
        <w:r>
          <w:rPr>
            <w:rFonts w:ascii="仿宋" w:eastAsia="仿宋" w:hAnsi="仿宋" w:cs="仿宋" w:hint="eastAsia"/>
            <w:lang w:eastAsia="zh-CN"/>
          </w:rPr>
          <w:t>(二)、资金筹措</w:t>
        </w:r>
        <w:r>
          <w:tab/>
        </w:r>
        <w:r>
          <w:fldChar w:fldCharType="begin"/>
        </w:r>
        <w:r>
          <w:instrText xml:space="preserve"> PAGEREF _Toc14415 \h </w:instrText>
        </w:r>
        <w:r>
          <w:fldChar w:fldCharType="separate"/>
        </w:r>
        <w:r>
          <w:t>30</w:t>
        </w:r>
        <w:r>
          <w:fldChar w:fldCharType="end"/>
        </w:r>
      </w:hyperlink>
    </w:p>
    <w:p>
      <w:pPr>
        <w:pStyle w:val="TOC1"/>
        <w:tabs>
          <w:tab w:val="right" w:leader="dot" w:pos="8306"/>
        </w:tabs>
      </w:pPr>
      <w:hyperlink w:anchor="_Toc13859" w:history="1">
        <w:r>
          <w:rPr>
            <w:rFonts w:ascii="仿宋" w:eastAsia="仿宋" w:hAnsi="仿宋" w:cs="仿宋" w:hint="eastAsia"/>
            <w:lang w:eastAsia="zh-CN"/>
          </w:rPr>
          <w:t>十一、等离子体沉积和刻蚀设备项目环境影响分析</w:t>
        </w:r>
        <w:r>
          <w:tab/>
        </w:r>
        <w:r>
          <w:fldChar w:fldCharType="begin"/>
        </w:r>
        <w:r>
          <w:instrText xml:space="preserve"> PAGEREF _Toc13859 \h </w:instrText>
        </w:r>
        <w:r>
          <w:fldChar w:fldCharType="separate"/>
        </w:r>
        <w:r>
          <w:t>31</w:t>
        </w:r>
        <w:r>
          <w:fldChar w:fldCharType="end"/>
        </w:r>
      </w:hyperlink>
    </w:p>
    <w:p>
      <w:pPr>
        <w:pStyle w:val="TOC2"/>
        <w:tabs>
          <w:tab w:val="right" w:leader="dot" w:pos="8306"/>
        </w:tabs>
      </w:pPr>
      <w:hyperlink w:anchor="_Toc24669" w:history="1">
        <w:r>
          <w:rPr>
            <w:rFonts w:ascii="仿宋" w:eastAsia="仿宋" w:hAnsi="仿宋" w:cs="仿宋" w:hint="eastAsia"/>
            <w:lang w:eastAsia="zh-CN"/>
          </w:rPr>
          <w:t>(一)、建设区域环境质量现状</w:t>
        </w:r>
        <w:r>
          <w:tab/>
        </w:r>
        <w:r>
          <w:fldChar w:fldCharType="begin"/>
        </w:r>
        <w:r>
          <w:instrText xml:space="preserve"> PAGEREF _Toc24669 \h </w:instrText>
        </w:r>
        <w:r>
          <w:fldChar w:fldCharType="separate"/>
        </w:r>
        <w:r>
          <w:t>31</w:t>
        </w:r>
        <w:r>
          <w:fldChar w:fldCharType="end"/>
        </w:r>
      </w:hyperlink>
    </w:p>
    <w:p>
      <w:pPr>
        <w:pStyle w:val="TOC2"/>
        <w:tabs>
          <w:tab w:val="right" w:leader="dot" w:pos="8306"/>
        </w:tabs>
      </w:pPr>
      <w:hyperlink w:anchor="_Toc7419" w:history="1">
        <w:r>
          <w:rPr>
            <w:rFonts w:ascii="仿宋" w:eastAsia="仿宋" w:hAnsi="仿宋" w:cs="仿宋" w:hint="eastAsia"/>
            <w:lang w:eastAsia="zh-CN"/>
          </w:rPr>
          <w:t>(二)、建设期环境保护</w:t>
        </w:r>
        <w:r>
          <w:tab/>
        </w:r>
        <w:r>
          <w:fldChar w:fldCharType="begin"/>
        </w:r>
        <w:r>
          <w:instrText xml:space="preserve"> PAGEREF _Toc7419 \h </w:instrText>
        </w:r>
        <w:r>
          <w:fldChar w:fldCharType="separate"/>
        </w:r>
        <w:r>
          <w:t>32</w:t>
        </w:r>
        <w:r>
          <w:fldChar w:fldCharType="end"/>
        </w:r>
      </w:hyperlink>
    </w:p>
    <w:p>
      <w:pPr>
        <w:pStyle w:val="TOC2"/>
        <w:tabs>
          <w:tab w:val="right" w:leader="dot" w:pos="8306"/>
        </w:tabs>
      </w:pPr>
      <w:hyperlink w:anchor="_Toc494" w:history="1">
        <w:r>
          <w:rPr>
            <w:rFonts w:ascii="仿宋" w:eastAsia="仿宋" w:hAnsi="仿宋" w:cs="仿宋" w:hint="eastAsia"/>
            <w:lang w:eastAsia="zh-CN"/>
          </w:rPr>
          <w:t>(三)、运营期环境保护</w:t>
        </w:r>
        <w:r>
          <w:tab/>
        </w:r>
        <w:r>
          <w:fldChar w:fldCharType="begin"/>
        </w:r>
        <w:r>
          <w:instrText xml:space="preserve"> PAGEREF _Toc494 \h </w:instrText>
        </w:r>
        <w:r>
          <w:fldChar w:fldCharType="separate"/>
        </w:r>
        <w:r>
          <w:t>34</w:t>
        </w:r>
        <w:r>
          <w:fldChar w:fldCharType="end"/>
        </w:r>
      </w:hyperlink>
    </w:p>
    <w:p>
      <w:pPr>
        <w:pStyle w:val="TOC2"/>
        <w:tabs>
          <w:tab w:val="right" w:leader="dot" w:pos="8306"/>
        </w:tabs>
      </w:pPr>
      <w:hyperlink w:anchor="_Toc23710" w:history="1">
        <w:r>
          <w:rPr>
            <w:rFonts w:ascii="仿宋" w:eastAsia="仿宋" w:hAnsi="仿宋" w:cs="仿宋" w:hint="eastAsia"/>
            <w:lang w:eastAsia="zh-CN"/>
          </w:rPr>
          <w:t>(四)、等离子体沉积和刻蚀设备项目建设对区域经济的影响</w:t>
        </w:r>
        <w:r>
          <w:tab/>
        </w:r>
        <w:r>
          <w:fldChar w:fldCharType="begin"/>
        </w:r>
        <w:r>
          <w:instrText xml:space="preserve"> PAGEREF _Toc23710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29" w:history="1">
        <w:r>
          <w:rPr>
            <w:rFonts w:ascii="仿宋" w:eastAsia="仿宋" w:hAnsi="仿宋" w:cs="仿宋" w:hint="eastAsia"/>
            <w:lang w:eastAsia="zh-CN"/>
          </w:rPr>
          <w:t>(五)、废弃物处理</w:t>
        </w:r>
        <w:r>
          <w:tab/>
        </w:r>
        <w:r>
          <w:fldChar w:fldCharType="begin"/>
        </w:r>
        <w:r>
          <w:instrText xml:space="preserve"> PAGEREF _Toc25129 \h </w:instrText>
        </w:r>
        <w:r>
          <w:fldChar w:fldCharType="separate"/>
        </w:r>
        <w:r>
          <w:t>37</w:t>
        </w:r>
        <w:r>
          <w:fldChar w:fldCharType="end"/>
        </w:r>
      </w:hyperlink>
    </w:p>
    <w:p>
      <w:pPr>
        <w:pStyle w:val="TOC2"/>
        <w:tabs>
          <w:tab w:val="right" w:leader="dot" w:pos="8306"/>
        </w:tabs>
      </w:pPr>
      <w:hyperlink w:anchor="_Toc14884" w:history="1">
        <w:r>
          <w:rPr>
            <w:rFonts w:ascii="仿宋" w:eastAsia="仿宋" w:hAnsi="仿宋" w:cs="仿宋" w:hint="eastAsia"/>
            <w:lang w:eastAsia="zh-CN"/>
          </w:rPr>
          <w:t>(六)、特殊环境影响分析</w:t>
        </w:r>
        <w:r>
          <w:tab/>
        </w:r>
        <w:r>
          <w:fldChar w:fldCharType="begin"/>
        </w:r>
        <w:r>
          <w:instrText xml:space="preserve"> PAGEREF _Toc14884 \h </w:instrText>
        </w:r>
        <w:r>
          <w:fldChar w:fldCharType="separate"/>
        </w:r>
        <w:r>
          <w:t>39</w:t>
        </w:r>
        <w:r>
          <w:fldChar w:fldCharType="end"/>
        </w:r>
      </w:hyperlink>
    </w:p>
    <w:p>
      <w:pPr>
        <w:pStyle w:val="TOC2"/>
        <w:tabs>
          <w:tab w:val="right" w:leader="dot" w:pos="8306"/>
        </w:tabs>
      </w:pPr>
      <w:hyperlink w:anchor="_Toc15371" w:history="1">
        <w:r>
          <w:rPr>
            <w:rFonts w:ascii="仿宋" w:eastAsia="仿宋" w:hAnsi="仿宋" w:cs="仿宋" w:hint="eastAsia"/>
            <w:lang w:eastAsia="zh-CN"/>
          </w:rPr>
          <w:t>(七)、清洁生产</w:t>
        </w:r>
        <w:r>
          <w:tab/>
        </w:r>
        <w:r>
          <w:fldChar w:fldCharType="begin"/>
        </w:r>
        <w:r>
          <w:instrText xml:space="preserve"> PAGEREF _Toc15371 \h </w:instrText>
        </w:r>
        <w:r>
          <w:fldChar w:fldCharType="separate"/>
        </w:r>
        <w:r>
          <w:t>40</w:t>
        </w:r>
        <w:r>
          <w:fldChar w:fldCharType="end"/>
        </w:r>
      </w:hyperlink>
    </w:p>
    <w:p>
      <w:pPr>
        <w:pStyle w:val="TOC2"/>
        <w:tabs>
          <w:tab w:val="right" w:leader="dot" w:pos="8306"/>
        </w:tabs>
      </w:pPr>
      <w:hyperlink w:anchor="_Toc3518" w:history="1">
        <w:r>
          <w:rPr>
            <w:rFonts w:ascii="仿宋" w:eastAsia="仿宋" w:hAnsi="仿宋" w:cs="仿宋" w:hint="eastAsia"/>
            <w:lang w:eastAsia="zh-CN"/>
          </w:rPr>
          <w:t>(八)、环境保护综合评价</w:t>
        </w:r>
        <w:r>
          <w:tab/>
        </w:r>
        <w:r>
          <w:fldChar w:fldCharType="begin"/>
        </w:r>
        <w:r>
          <w:instrText xml:space="preserve"> PAGEREF _Toc3518 \h </w:instrText>
        </w:r>
        <w:r>
          <w:fldChar w:fldCharType="separate"/>
        </w:r>
        <w:r>
          <w:t>41</w:t>
        </w:r>
        <w:r>
          <w:fldChar w:fldCharType="end"/>
        </w:r>
      </w:hyperlink>
    </w:p>
    <w:p>
      <w:pPr>
        <w:pStyle w:val="TOC1"/>
        <w:tabs>
          <w:tab w:val="right" w:leader="dot" w:pos="8306"/>
        </w:tabs>
      </w:pPr>
      <w:hyperlink w:anchor="_Toc29602" w:history="1">
        <w:r>
          <w:rPr>
            <w:rFonts w:ascii="仿宋" w:eastAsia="仿宋" w:hAnsi="仿宋" w:cs="仿宋" w:hint="eastAsia"/>
            <w:lang w:eastAsia="zh-CN"/>
          </w:rPr>
          <w:t>十二、等离子体沉积和刻蚀设备项目计划安排</w:t>
        </w:r>
        <w:r>
          <w:tab/>
        </w:r>
        <w:r>
          <w:fldChar w:fldCharType="begin"/>
        </w:r>
        <w:r>
          <w:instrText xml:space="preserve"> PAGEREF _Toc29602 \h </w:instrText>
        </w:r>
        <w:r>
          <w:fldChar w:fldCharType="separate"/>
        </w:r>
        <w:r>
          <w:t>43</w:t>
        </w:r>
        <w:r>
          <w:fldChar w:fldCharType="end"/>
        </w:r>
      </w:hyperlink>
    </w:p>
    <w:p>
      <w:pPr>
        <w:pStyle w:val="TOC2"/>
        <w:tabs>
          <w:tab w:val="right" w:leader="dot" w:pos="8306"/>
        </w:tabs>
      </w:pPr>
      <w:hyperlink w:anchor="_Toc19823" w:history="1">
        <w:r>
          <w:rPr>
            <w:rFonts w:ascii="仿宋" w:eastAsia="仿宋" w:hAnsi="仿宋" w:cs="仿宋" w:hint="eastAsia"/>
            <w:lang w:eastAsia="zh-CN"/>
          </w:rPr>
          <w:t>(一)、建设周期</w:t>
        </w:r>
        <w:r>
          <w:tab/>
        </w:r>
        <w:r>
          <w:fldChar w:fldCharType="begin"/>
        </w:r>
        <w:r>
          <w:instrText xml:space="preserve"> PAGEREF _Toc19823 \h </w:instrText>
        </w:r>
        <w:r>
          <w:fldChar w:fldCharType="separate"/>
        </w:r>
        <w:r>
          <w:t>43</w:t>
        </w:r>
        <w:r>
          <w:fldChar w:fldCharType="end"/>
        </w:r>
      </w:hyperlink>
    </w:p>
    <w:p>
      <w:pPr>
        <w:pStyle w:val="TOC2"/>
        <w:tabs>
          <w:tab w:val="right" w:leader="dot" w:pos="8306"/>
        </w:tabs>
      </w:pPr>
      <w:hyperlink w:anchor="_Toc2121" w:history="1">
        <w:r>
          <w:rPr>
            <w:rFonts w:ascii="仿宋" w:eastAsia="仿宋" w:hAnsi="仿宋" w:cs="仿宋" w:hint="eastAsia"/>
            <w:lang w:eastAsia="zh-CN"/>
          </w:rPr>
          <w:t>(二)、建设进度</w:t>
        </w:r>
        <w:r>
          <w:tab/>
        </w:r>
        <w:r>
          <w:fldChar w:fldCharType="begin"/>
        </w:r>
        <w:r>
          <w:instrText xml:space="preserve"> PAGEREF _Toc2121 \h </w:instrText>
        </w:r>
        <w:r>
          <w:fldChar w:fldCharType="separate"/>
        </w:r>
        <w:r>
          <w:t>44</w:t>
        </w:r>
        <w:r>
          <w:fldChar w:fldCharType="end"/>
        </w:r>
      </w:hyperlink>
    </w:p>
    <w:p>
      <w:pPr>
        <w:pStyle w:val="TOC2"/>
        <w:tabs>
          <w:tab w:val="right" w:leader="dot" w:pos="8306"/>
        </w:tabs>
      </w:pPr>
      <w:hyperlink w:anchor="_Toc32492" w:history="1">
        <w:r>
          <w:rPr>
            <w:rFonts w:ascii="仿宋" w:eastAsia="仿宋" w:hAnsi="仿宋" w:cs="仿宋" w:hint="eastAsia"/>
            <w:lang w:eastAsia="zh-CN"/>
          </w:rPr>
          <w:t>(三)、进度安排注意事项</w:t>
        </w:r>
        <w:r>
          <w:tab/>
        </w:r>
        <w:r>
          <w:fldChar w:fldCharType="begin"/>
        </w:r>
        <w:r>
          <w:instrText xml:space="preserve"> PAGEREF _Toc32492 \h </w:instrText>
        </w:r>
        <w:r>
          <w:fldChar w:fldCharType="separate"/>
        </w:r>
        <w:r>
          <w:t>45</w:t>
        </w:r>
        <w:r>
          <w:fldChar w:fldCharType="end"/>
        </w:r>
      </w:hyperlink>
    </w:p>
    <w:p>
      <w:pPr>
        <w:pStyle w:val="TOC2"/>
        <w:tabs>
          <w:tab w:val="right" w:leader="dot" w:pos="8306"/>
        </w:tabs>
      </w:pPr>
      <w:hyperlink w:anchor="_Toc26014" w:history="1">
        <w:r>
          <w:rPr>
            <w:rFonts w:ascii="仿宋" w:eastAsia="仿宋" w:hAnsi="仿宋" w:cs="仿宋" w:hint="eastAsia"/>
            <w:lang w:eastAsia="zh-CN"/>
          </w:rPr>
          <w:t>(四)、人力资源配置</w:t>
        </w:r>
        <w:r>
          <w:tab/>
        </w:r>
        <w:r>
          <w:fldChar w:fldCharType="begin"/>
        </w:r>
        <w:r>
          <w:instrText xml:space="preserve"> PAGEREF _Toc26014 \h </w:instrText>
        </w:r>
        <w:r>
          <w:fldChar w:fldCharType="separate"/>
        </w:r>
        <w:r>
          <w:t>46</w:t>
        </w:r>
        <w:r>
          <w:fldChar w:fldCharType="end"/>
        </w:r>
      </w:hyperlink>
    </w:p>
    <w:p>
      <w:pPr>
        <w:pStyle w:val="TOC1"/>
        <w:tabs>
          <w:tab w:val="right" w:leader="dot" w:pos="8306"/>
        </w:tabs>
      </w:pPr>
      <w:hyperlink w:anchor="_Toc20779" w:history="1">
        <w:r>
          <w:rPr>
            <w:rFonts w:ascii="仿宋" w:eastAsia="仿宋" w:hAnsi="仿宋" w:cs="仿宋" w:hint="eastAsia"/>
            <w:lang w:eastAsia="zh-CN"/>
          </w:rPr>
          <w:t>十三、等离子体沉积和刻蚀设备项目治理与监督</w:t>
        </w:r>
        <w:r>
          <w:tab/>
        </w:r>
        <w:r>
          <w:fldChar w:fldCharType="begin"/>
        </w:r>
        <w:r>
          <w:instrText xml:space="preserve"> PAGEREF _Toc20779 \h </w:instrText>
        </w:r>
        <w:r>
          <w:fldChar w:fldCharType="separate"/>
        </w:r>
        <w:r>
          <w:t>47</w:t>
        </w:r>
        <w:r>
          <w:fldChar w:fldCharType="end"/>
        </w:r>
      </w:hyperlink>
    </w:p>
    <w:p>
      <w:pPr>
        <w:pStyle w:val="TOC2"/>
        <w:tabs>
          <w:tab w:val="right" w:leader="dot" w:pos="8306"/>
        </w:tabs>
      </w:pPr>
      <w:hyperlink w:anchor="_Toc28997" w:history="1">
        <w:r>
          <w:rPr>
            <w:rFonts w:ascii="仿宋" w:eastAsia="仿宋" w:hAnsi="仿宋" w:cs="仿宋" w:hint="eastAsia"/>
            <w:lang w:eastAsia="zh-CN"/>
          </w:rPr>
          <w:t>(一)、等离子体沉积和刻蚀设备项目治理结构</w:t>
        </w:r>
        <w:r>
          <w:tab/>
        </w:r>
        <w:r>
          <w:fldChar w:fldCharType="begin"/>
        </w:r>
        <w:r>
          <w:instrText xml:space="preserve"> PAGEREF _Toc28997 \h </w:instrText>
        </w:r>
        <w:r>
          <w:fldChar w:fldCharType="separate"/>
        </w:r>
        <w:r>
          <w:t>47</w:t>
        </w:r>
        <w:r>
          <w:fldChar w:fldCharType="end"/>
        </w:r>
      </w:hyperlink>
    </w:p>
    <w:p>
      <w:pPr>
        <w:pStyle w:val="TOC2"/>
        <w:tabs>
          <w:tab w:val="right" w:leader="dot" w:pos="8306"/>
        </w:tabs>
      </w:pPr>
      <w:hyperlink w:anchor="_Toc25506" w:history="1">
        <w:r>
          <w:rPr>
            <w:rFonts w:ascii="仿宋" w:eastAsia="仿宋" w:hAnsi="仿宋" w:cs="仿宋" w:hint="eastAsia"/>
            <w:lang w:eastAsia="zh-CN"/>
          </w:rPr>
          <w:t>(二)、监督与审计</w:t>
        </w:r>
        <w:r>
          <w:tab/>
        </w:r>
        <w:r>
          <w:fldChar w:fldCharType="begin"/>
        </w:r>
        <w:r>
          <w:instrText xml:space="preserve"> PAGEREF _Toc25506 \h </w:instrText>
        </w:r>
        <w:r>
          <w:fldChar w:fldCharType="separate"/>
        </w:r>
        <w:r>
          <w:t>49</w:t>
        </w:r>
        <w:r>
          <w:fldChar w:fldCharType="end"/>
        </w:r>
      </w:hyperlink>
    </w:p>
    <w:p>
      <w:pPr>
        <w:pStyle w:val="TOC1"/>
        <w:tabs>
          <w:tab w:val="right" w:leader="dot" w:pos="8306"/>
        </w:tabs>
      </w:pPr>
      <w:hyperlink w:anchor="_Toc25533" w:history="1">
        <w:r>
          <w:rPr>
            <w:rFonts w:ascii="仿宋" w:eastAsia="仿宋" w:hAnsi="仿宋" w:cs="仿宋" w:hint="eastAsia"/>
            <w:lang w:eastAsia="zh-CN"/>
          </w:rPr>
          <w:t>十四、等离子体沉积和刻蚀设备项目实施保障措施</w:t>
        </w:r>
        <w:r>
          <w:tab/>
        </w:r>
        <w:r>
          <w:fldChar w:fldCharType="begin"/>
        </w:r>
        <w:r>
          <w:instrText xml:space="preserve"> PAGEREF _Toc25533 \h </w:instrText>
        </w:r>
        <w:r>
          <w:fldChar w:fldCharType="separate"/>
        </w:r>
        <w:r>
          <w:t>50</w:t>
        </w:r>
        <w:r>
          <w:fldChar w:fldCharType="end"/>
        </w:r>
      </w:hyperlink>
    </w:p>
    <w:p>
      <w:pPr>
        <w:pStyle w:val="TOC2"/>
        <w:tabs>
          <w:tab w:val="right" w:leader="dot" w:pos="8306"/>
        </w:tabs>
      </w:pPr>
      <w:hyperlink w:anchor="_Toc12359" w:history="1">
        <w:r>
          <w:rPr>
            <w:rFonts w:ascii="仿宋" w:eastAsia="仿宋" w:hAnsi="仿宋" w:cs="仿宋" w:hint="eastAsia"/>
            <w:lang w:eastAsia="zh-CN"/>
          </w:rPr>
          <w:t>(一)、等离子体沉积和刻蚀设备项目实施保障机制</w:t>
        </w:r>
        <w:r>
          <w:tab/>
        </w:r>
        <w:r>
          <w:fldChar w:fldCharType="begin"/>
        </w:r>
        <w:r>
          <w:instrText xml:space="preserve"> PAGEREF _Toc12359 \h </w:instrText>
        </w:r>
        <w:r>
          <w:fldChar w:fldCharType="separate"/>
        </w:r>
        <w:r>
          <w:t>50</w:t>
        </w:r>
        <w:r>
          <w:fldChar w:fldCharType="end"/>
        </w:r>
      </w:hyperlink>
    </w:p>
    <w:p>
      <w:pPr>
        <w:pStyle w:val="TOC2"/>
        <w:tabs>
          <w:tab w:val="right" w:leader="dot" w:pos="8306"/>
        </w:tabs>
      </w:pPr>
      <w:hyperlink w:anchor="_Toc11465" w:history="1">
        <w:r>
          <w:rPr>
            <w:rFonts w:ascii="仿宋" w:eastAsia="仿宋" w:hAnsi="仿宋" w:cs="仿宋" w:hint="eastAsia"/>
            <w:lang w:eastAsia="zh-CN"/>
          </w:rPr>
          <w:t>(二)、等离子体沉积和刻蚀设备项目法律合规要求</w:t>
        </w:r>
        <w:r>
          <w:tab/>
        </w:r>
        <w:r>
          <w:fldChar w:fldCharType="begin"/>
        </w:r>
        <w:r>
          <w:instrText xml:space="preserve"> PAGEREF _Toc11465 \h </w:instrText>
        </w:r>
        <w:r>
          <w:fldChar w:fldCharType="separate"/>
        </w:r>
        <w:r>
          <w:t>54</w:t>
        </w:r>
        <w:r>
          <w:fldChar w:fldCharType="end"/>
        </w:r>
      </w:hyperlink>
    </w:p>
    <w:p>
      <w:pPr>
        <w:pStyle w:val="TOC2"/>
        <w:tabs>
          <w:tab w:val="right" w:leader="dot" w:pos="8306"/>
        </w:tabs>
      </w:pPr>
      <w:hyperlink w:anchor="_Toc30417" w:history="1">
        <w:r>
          <w:rPr>
            <w:rFonts w:ascii="仿宋" w:eastAsia="仿宋" w:hAnsi="仿宋" w:cs="仿宋" w:hint="eastAsia"/>
            <w:lang w:eastAsia="zh-CN"/>
          </w:rPr>
          <w:t>(三)、等离子体沉积和刻蚀设备项目合同管理与法律事务</w:t>
        </w:r>
        <w:r>
          <w:tab/>
        </w:r>
        <w:r>
          <w:fldChar w:fldCharType="begin"/>
        </w:r>
        <w:r>
          <w:instrText xml:space="preserve"> PAGEREF _Toc30417 \h </w:instrText>
        </w:r>
        <w:r>
          <w:fldChar w:fldCharType="separate"/>
        </w:r>
        <w:r>
          <w:t>59</w:t>
        </w:r>
        <w:r>
          <w:fldChar w:fldCharType="end"/>
        </w:r>
      </w:hyperlink>
    </w:p>
    <w:p>
      <w:pPr>
        <w:pStyle w:val="TOC2"/>
        <w:tabs>
          <w:tab w:val="right" w:leader="dot" w:pos="8306"/>
        </w:tabs>
      </w:pPr>
      <w:hyperlink w:anchor="_Toc26689" w:history="1">
        <w:r>
          <w:rPr>
            <w:rFonts w:ascii="仿宋" w:eastAsia="仿宋" w:hAnsi="仿宋" w:cs="仿宋" w:hint="eastAsia"/>
            <w:lang w:eastAsia="zh-CN"/>
          </w:rPr>
          <w:t>(四)、等离子体沉积和刻蚀设备项目知识产权保护策略</w:t>
        </w:r>
        <w:r>
          <w:tab/>
        </w:r>
        <w:r>
          <w:fldChar w:fldCharType="begin"/>
        </w:r>
        <w:r>
          <w:instrText xml:space="preserve"> PAGEREF _Toc26689 \h </w:instrText>
        </w:r>
        <w:r>
          <w:fldChar w:fldCharType="separate"/>
        </w:r>
        <w:r>
          <w:t>65</w:t>
        </w:r>
        <w:r>
          <w:fldChar w:fldCharType="end"/>
        </w:r>
      </w:hyperlink>
    </w:p>
    <w:p>
      <w:pPr>
        <w:pStyle w:val="TOC1"/>
        <w:tabs>
          <w:tab w:val="right" w:leader="dot" w:pos="8306"/>
        </w:tabs>
      </w:pPr>
      <w:hyperlink w:anchor="_Toc15053" w:history="1">
        <w:r>
          <w:rPr>
            <w:rFonts w:ascii="仿宋" w:eastAsia="仿宋" w:hAnsi="仿宋" w:cs="仿宋" w:hint="eastAsia"/>
            <w:lang w:eastAsia="zh-CN"/>
          </w:rPr>
          <w:t>十五、利益相关者分析与沟通计划</w:t>
        </w:r>
        <w:r>
          <w:tab/>
        </w:r>
        <w:r>
          <w:fldChar w:fldCharType="begin"/>
        </w:r>
        <w:r>
          <w:instrText xml:space="preserve"> PAGEREF _Toc15053 \h </w:instrText>
        </w:r>
        <w:r>
          <w:fldChar w:fldCharType="separate"/>
        </w:r>
        <w:r>
          <w:t>68</w:t>
        </w:r>
        <w:r>
          <w:fldChar w:fldCharType="end"/>
        </w:r>
      </w:hyperlink>
    </w:p>
    <w:p>
      <w:pPr>
        <w:pStyle w:val="TOC2"/>
        <w:tabs>
          <w:tab w:val="right" w:leader="dot" w:pos="8306"/>
        </w:tabs>
      </w:pPr>
      <w:hyperlink w:anchor="_Toc20035" w:history="1">
        <w:r>
          <w:rPr>
            <w:rFonts w:ascii="仿宋" w:eastAsia="仿宋" w:hAnsi="仿宋" w:cs="仿宋" w:hint="eastAsia"/>
            <w:lang w:eastAsia="zh-CN"/>
          </w:rPr>
          <w:t>(一)、利益相关者分析</w:t>
        </w:r>
        <w:r>
          <w:tab/>
        </w:r>
        <w:r>
          <w:fldChar w:fldCharType="begin"/>
        </w:r>
        <w:r>
          <w:instrText xml:space="preserve"> PAGEREF _Toc20035 \h </w:instrText>
        </w:r>
        <w:r>
          <w:fldChar w:fldCharType="separate"/>
        </w:r>
        <w:r>
          <w:t>68</w:t>
        </w:r>
        <w:r>
          <w:fldChar w:fldCharType="end"/>
        </w:r>
      </w:hyperlink>
    </w:p>
    <w:p>
      <w:pPr>
        <w:pStyle w:val="TOC2"/>
        <w:tabs>
          <w:tab w:val="right" w:leader="dot" w:pos="8306"/>
        </w:tabs>
      </w:pPr>
      <w:hyperlink w:anchor="_Toc13184" w:history="1">
        <w:r>
          <w:rPr>
            <w:rFonts w:ascii="仿宋" w:eastAsia="仿宋" w:hAnsi="仿宋" w:cs="仿宋" w:hint="eastAsia"/>
            <w:lang w:eastAsia="zh-CN"/>
          </w:rPr>
          <w:t>(二)、沟通计划</w:t>
        </w:r>
        <w:r>
          <w:tab/>
        </w:r>
        <w:r>
          <w:fldChar w:fldCharType="begin"/>
        </w:r>
        <w:r>
          <w:instrText xml:space="preserve"> PAGEREF _Toc13184 \h </w:instrText>
        </w:r>
        <w:r>
          <w:fldChar w:fldCharType="separate"/>
        </w:r>
        <w:r>
          <w:t>69</w:t>
        </w:r>
        <w:r>
          <w:fldChar w:fldCharType="end"/>
        </w:r>
      </w:hyperlink>
    </w:p>
    <w:p>
      <w:pPr>
        <w:pStyle w:val="TOC1"/>
        <w:tabs>
          <w:tab w:val="right" w:leader="dot" w:pos="8306"/>
        </w:tabs>
      </w:pPr>
      <w:hyperlink w:anchor="_Toc8735" w:history="1">
        <w:r>
          <w:rPr>
            <w:rFonts w:ascii="仿宋" w:eastAsia="仿宋" w:hAnsi="仿宋" w:cs="仿宋" w:hint="eastAsia"/>
            <w:lang w:eastAsia="zh-CN"/>
          </w:rPr>
          <w:t>十六、等离子体沉积和刻蚀设备项目实施时间节点</w:t>
        </w:r>
        <w:r>
          <w:tab/>
        </w:r>
        <w:r>
          <w:fldChar w:fldCharType="begin"/>
        </w:r>
        <w:r>
          <w:instrText xml:space="preserve"> PAGEREF _Toc8735 \h </w:instrText>
        </w:r>
        <w:r>
          <w:fldChar w:fldCharType="separate"/>
        </w:r>
        <w:r>
          <w:t>70</w:t>
        </w:r>
        <w:r>
          <w:fldChar w:fldCharType="end"/>
        </w:r>
      </w:hyperlink>
    </w:p>
    <w:p>
      <w:pPr>
        <w:pStyle w:val="TOC2"/>
        <w:tabs>
          <w:tab w:val="right" w:leader="dot" w:pos="8306"/>
        </w:tabs>
      </w:pPr>
      <w:hyperlink w:anchor="_Toc17325" w:history="1">
        <w:r>
          <w:rPr>
            <w:rFonts w:ascii="仿宋" w:eastAsia="仿宋" w:hAnsi="仿宋" w:cs="仿宋" w:hint="eastAsia"/>
            <w:lang w:eastAsia="zh-CN"/>
          </w:rPr>
          <w:t>(一)、等离子体沉积和刻蚀设备项目启动阶段时间节点</w:t>
        </w:r>
        <w:r>
          <w:tab/>
        </w:r>
        <w:r>
          <w:fldChar w:fldCharType="begin"/>
        </w:r>
        <w:r>
          <w:instrText xml:space="preserve"> PAGEREF _Toc17325 \h </w:instrText>
        </w:r>
        <w:r>
          <w:fldChar w:fldCharType="separate"/>
        </w:r>
        <w:r>
          <w:t>70</w:t>
        </w:r>
        <w:r>
          <w:fldChar w:fldCharType="end"/>
        </w:r>
      </w:hyperlink>
    </w:p>
    <w:p>
      <w:pPr>
        <w:pStyle w:val="TOC2"/>
        <w:tabs>
          <w:tab w:val="right" w:leader="dot" w:pos="8306"/>
        </w:tabs>
      </w:pPr>
      <w:hyperlink w:anchor="_Toc32117" w:history="1">
        <w:r>
          <w:rPr>
            <w:rFonts w:ascii="仿宋" w:eastAsia="仿宋" w:hAnsi="仿宋" w:cs="仿宋" w:hint="eastAsia"/>
            <w:lang w:eastAsia="zh-CN"/>
          </w:rPr>
          <w:t>(二)、等离子体沉积和刻蚀设备项目执行阶段时间节点</w:t>
        </w:r>
        <w:r>
          <w:tab/>
        </w:r>
        <w:r>
          <w:fldChar w:fldCharType="begin"/>
        </w:r>
        <w:r>
          <w:instrText xml:space="preserve"> PAGEREF _Toc32117 \h </w:instrText>
        </w:r>
        <w:r>
          <w:fldChar w:fldCharType="separate"/>
        </w:r>
        <w:r>
          <w:t>72</w:t>
        </w:r>
        <w:r>
          <w:fldChar w:fldCharType="end"/>
        </w:r>
      </w:hyperlink>
    </w:p>
    <w:p>
      <w:pPr>
        <w:pStyle w:val="TOC2"/>
        <w:tabs>
          <w:tab w:val="right" w:leader="dot" w:pos="8306"/>
        </w:tabs>
      </w:pPr>
      <w:hyperlink w:anchor="_Toc182" w:history="1">
        <w:r>
          <w:rPr>
            <w:rFonts w:ascii="仿宋" w:eastAsia="仿宋" w:hAnsi="仿宋" w:cs="仿宋" w:hint="eastAsia"/>
            <w:lang w:eastAsia="zh-CN"/>
          </w:rPr>
          <w:t>(三)、等离子体沉积和刻蚀设备项目完成阶段时间节点</w:t>
        </w:r>
        <w:r>
          <w:tab/>
        </w:r>
        <w:r>
          <w:fldChar w:fldCharType="begin"/>
        </w:r>
        <w:r>
          <w:instrText xml:space="preserve"> PAGEREF _Toc182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317"/>
      <w:r>
        <w:rPr>
          <w:rFonts w:ascii="仿宋" w:eastAsia="仿宋" w:hAnsi="仿宋" w:cs="仿宋" w:hint="eastAsia"/>
          <w:sz w:val="28"/>
          <w:lang w:eastAsia="zh-CN"/>
        </w:rPr>
        <w:t>一、等离子体沉积和刻蚀设备项目选址可行性分析</w:t>
      </w:r>
      <w:bookmarkEnd w:id="2"/>
    </w:p>
    <w:p>
      <w:pPr>
        <w:pStyle w:val="Heading2"/>
        <w:rPr>
          <w:rFonts w:ascii="仿宋" w:eastAsia="仿宋" w:hAnsi="仿宋" w:cs="仿宋" w:hint="eastAsia"/>
          <w:lang w:eastAsia="zh-CN"/>
        </w:rPr>
      </w:pPr>
      <w:bookmarkStart w:id="3" w:name="_Toc12913"/>
      <w:r>
        <w:rPr>
          <w:rFonts w:ascii="仿宋" w:eastAsia="仿宋" w:hAnsi="仿宋" w:cs="仿宋" w:hint="eastAsia"/>
          <w:lang w:eastAsia="zh-CN"/>
        </w:rPr>
        <w:t>(一)、等离子体沉积和刻蚀设备项目选址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该等离子体沉积和刻蚀设备项目选址位于XX省XX市XX区XXX街道</w:t>
      </w:r>
    </w:p>
    <w:p>
      <w:pPr>
        <w:pStyle w:val="Heading2"/>
        <w:ind w:firstLine="560" w:firstLineChars="200"/>
        <w:rPr>
          <w:rFonts w:ascii="仿宋" w:eastAsia="仿宋" w:hAnsi="仿宋" w:cs="仿宋" w:hint="eastAsia"/>
          <w:sz w:val="28"/>
          <w:lang w:eastAsia="zh-CN"/>
        </w:rPr>
      </w:pPr>
      <w:bookmarkStart w:id="4" w:name="_Toc198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等离子体沉积和刻蚀设备项目的征地面积将根据等离子体沉积和刻蚀设备项目的实际规模和需求进行精确规划。具体面积XXX平方米，旨在确保等离子体沉积和刻蚀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净用地面积是在征地面积基础上去除不可利用面积后的实际可开发用地。具体面积XXX平方米，考虑到环保、交通、安全等多方面因素，以确保等离子体沉积和刻蚀设备项目在整体利用效率上达到最优。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等离子体沉积和刻蚀设备项目计划建设的建筑总规模具体面积XXX平方米。这一规模的确定综合考虑了等离子体沉积和刻蚀设备项目的性质、规模，以及城市规划的相关要求，确保建筑布局与周边环境协调一致。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绿地率是等离子体沉积和刻蚀设备项目用地中被规划为绿地的比例。具体面积XXX平方米，旨在通过合理规划绿地，改善等离子体沉积和刻蚀设备项目周边环境，提升居民生活质量，并符合城市整体绿化规划。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容积率是用地上可以建设的建筑总体积与用地面积之比。具体面积XXX，通过合理的容积率规划，确保等离子体沉积和刻蚀设备项目建筑规模与周边环境和谐共生。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等离子体沉积和刻蚀设备项目选址与当地城市规划相一致，具体面积XXX平方米。通过与城市规划部门深入沟通，确保等离子体沉积和刻蚀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等离子体沉积和刻蚀设备项目选址符合当地产业政策，具体面积XXX平方米。这包括等离子体沉积和刻蚀设备项目对当地经济的促进作用，以及对相关产业的带动效应，确保等离子体沉积和刻蚀设备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等离子体沉积和刻蚀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确保等离子体沉积和刻蚀设备项目选址具备必要的公共设施配套，具体面积XXX平方米。这包括交通便利性、教育、医疗等基础设施，以提高居民生活品质，使得等离子体沉积和刻蚀设备项目选址更具吸引力。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考虑用地总体要求对当地社会稳定性的影响，具体面积XXX平方米。通过深入了解当地社区反馈，确保等离子体沉积和刻蚀设备项目的选址和建设过程对当地社会和谐稳定产生积极作用。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等离子体沉积和刻蚀设备项目选址不仅符合法规和规划，还在实际操作中具有可行性。这一全面规划将为等离子体沉积和刻蚀设备项目的成功实施提供坚实的基础，确保等离子体沉积和刻蚀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796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等离子体沉积和刻蚀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等离子体沉积和刻蚀设备项目的设备规划和空间设计中，我们将采取灵活设备布局的措施。设备布局将根据实际需求进行灵活设计，避免不必要的浪费。通过合理规划设备摆放位置，我们将提高设备的利用率，减少设备间距，以确保等离子体沉积和刻蚀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等离子体沉积和刻蚀设备项目内部引入共享设施的概念，例如共享会议室、办公区等。通过这种方式，我们可以减少对资源的重复建设，提高资源共享效率，从而减小等离子体沉积和刻蚀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918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等离子体沉积和刻蚀设备项目的总图布置中，我们将不同功能区域进行明确的规划，以最大程度满足等离子体沉积和刻蚀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922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等离子体沉积和刻蚀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等离子体沉积和刻蚀设备项目对环境的影响是综合评价的重要因素之一。我们将详细考虑选址周边的自然环境、生态保护区、水源地等情况，确保等离子体沉积和刻蚀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等离子体沉积和刻蚀设备项目所在地的相关政策，确保等离子体沉积和刻蚀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考虑到社会稳定性对企业运营的重要性，我们将评估选址地区的社会安全情况、劳工关系、社区反馈等方面，以确保等离子体沉积和刻蚀设备项目的建设和运营不会受到社会稳定性的负面影响。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最后，我们将综合考虑用地成本，包括土地购置费用、土地开发成本等。通过对用地成本的详细评估，我们能够做出更为精确的经济效益分析，为等离子体沉积和刻蚀设备项目的投资决策提供有力支持。</w:t>
      </w:r>
    </w:p>
    <w:p>
      <w:pPr>
        <w:pStyle w:val="Heading1"/>
        <w:ind w:firstLine="560" w:firstLineChars="200"/>
        <w:rPr>
          <w:rFonts w:ascii="仿宋" w:eastAsia="仿宋" w:hAnsi="仿宋" w:cs="仿宋" w:hint="eastAsia"/>
          <w:sz w:val="28"/>
          <w:lang w:eastAsia="zh-CN"/>
        </w:rPr>
      </w:pPr>
      <w:bookmarkStart w:id="8" w:name="_Toc29693"/>
      <w:r>
        <w:rPr>
          <w:rFonts w:ascii="仿宋" w:eastAsia="仿宋" w:hAnsi="仿宋" w:cs="仿宋" w:hint="eastAsia"/>
          <w:sz w:val="28"/>
          <w:lang w:eastAsia="zh-CN"/>
        </w:rPr>
        <w:t>二、等离子体沉积和刻蚀设备项目建设单位说明</w:t>
      </w:r>
      <w:bookmarkEnd w:id="8"/>
    </w:p>
    <w:p>
      <w:pPr>
        <w:pStyle w:val="Heading2"/>
        <w:rPr>
          <w:rFonts w:ascii="仿宋" w:eastAsia="仿宋" w:hAnsi="仿宋" w:cs="仿宋" w:hint="eastAsia"/>
          <w:lang w:eastAsia="zh-CN"/>
        </w:rPr>
      </w:pPr>
      <w:bookmarkStart w:id="9" w:name="_Toc16151"/>
      <w:r>
        <w:rPr>
          <w:rFonts w:ascii="仿宋" w:eastAsia="仿宋" w:hAnsi="仿宋" w:cs="仿宋" w:hint="eastAsia"/>
          <w:lang w:eastAsia="zh-CN"/>
        </w:rPr>
        <w:t>(一)、等离子体沉积和刻蚀设备项目承办单位基本情况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742"/>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作为等离子体沉积和刻蚀设备项目承办单位的XXXX，我们着眼于实现可持续的经济效益。通过技术创新和解决方案的提供，公司预计在等离子体沉积和刻蚀设备项目执行期间将获得可观的收入增长。这一收入来源主要包括等离子体沉积和刻蚀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同时，我们注重成本控制和效率提升，以确保等离子体沉积和刻蚀设备项目的可持续盈利。透过精细的管理和资源优化，公司期望实现等离子体沉积和刻蚀设备项目利润最大化。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等离子体沉积和刻蚀设备项目实施进行全面的投资评估，包括等离子体沉积和刻蚀设备项目启动阶段的资金投入和后续运营成本。通过对等离子体沉积和刻蚀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等离子体沉积和刻蚀设备项目实施过程中具备足够的资金流动性，公司将进行详尽的现金流分析。这包括资金需求的合理预测、等离子体沉积和刻蚀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542"/>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0722"/>
      <w:r>
        <w:rPr>
          <w:rFonts w:ascii="仿宋" w:eastAsia="仿宋" w:hAnsi="仿宋" w:cs="仿宋" w:hint="eastAsia"/>
          <w:lang w:eastAsia="zh-CN"/>
        </w:rPr>
        <w:t>(一)、等离子体沉积和刻蚀设备行业分析</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等离子体沉积和刻蚀设备行业一直以来都是市场的关注焦点。行业内的发展趋势、竞争态势以及潜在机会都对等离子体沉积和刻蚀设备项目的推进产生深远的影响。通过深入研究行业的整体概貌，我们将更好地理解行业的核心特征，为等离子体沉积和刻蚀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等离子体沉积和刻蚀设备行业，技术一直是推动创新和发展的关键因素。我们将对当前技术趋势进行详尽分析，包括但不限于人工智能、大数据应用、先进制造技术等。这有助于等离子体沉积和刻蚀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等离子体沉积和刻蚀设备项目成功的基础。我们将对主要竞争对手进行深入研究，包括其市场份额、产品特点、市场定位等。通过全面了解竞争对手的优势和劣势，等离子体沉积和刻蚀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9544"/>
      <w:r>
        <w:rPr>
          <w:rFonts w:ascii="仿宋" w:eastAsia="仿宋" w:hAnsi="仿宋" w:cs="仿宋" w:hint="eastAsia"/>
          <w:sz w:val="28"/>
          <w:lang w:eastAsia="zh-CN"/>
        </w:rPr>
        <w:t>(二)、等离子体沉积和刻蚀设备市场分析预测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等离子体沉积和刻蚀设备市场未来的增长趋势。这包括市场的整体规模、各细分领域的发展趋势等。等离子体沉积和刻蚀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等离子体沉积和刻蚀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等离子体沉积和刻蚀设备项目实施过程中需要充分考虑的因素。我们将对市场风险进行全面评估，包括但不限于政策法规风险、市场竞争风险、技术变革风险等。通过对潜在风险的深入分析，等离子体沉积和刻蚀设备项目可以制定相应的风险缓解策略，降低不确定性对等离子体沉积和刻蚀设备项目的影响。</w:t>
      </w:r>
    </w:p>
    <w:p>
      <w:pPr>
        <w:pStyle w:val="Heading1"/>
        <w:ind w:firstLine="560" w:firstLineChars="200"/>
        <w:rPr>
          <w:rFonts w:ascii="仿宋" w:eastAsia="仿宋" w:hAnsi="仿宋" w:cs="仿宋" w:hint="eastAsia"/>
          <w:sz w:val="28"/>
          <w:lang w:eastAsia="zh-CN"/>
        </w:rPr>
      </w:pPr>
      <w:bookmarkStart w:id="14" w:name="_Toc11148"/>
      <w:r>
        <w:rPr>
          <w:rFonts w:ascii="仿宋" w:eastAsia="仿宋" w:hAnsi="仿宋" w:cs="仿宋" w:hint="eastAsia"/>
          <w:sz w:val="28"/>
          <w:lang w:eastAsia="zh-CN"/>
        </w:rPr>
        <w:t>四、等离子体沉积和刻蚀设备项目可持续发展</w:t>
      </w:r>
      <w:bookmarkEnd w:id="14"/>
    </w:p>
    <w:p>
      <w:pPr>
        <w:pStyle w:val="Heading2"/>
        <w:rPr>
          <w:rFonts w:ascii="仿宋" w:eastAsia="仿宋" w:hAnsi="仿宋" w:cs="仿宋" w:hint="eastAsia"/>
          <w:lang w:eastAsia="zh-CN"/>
        </w:rPr>
      </w:pPr>
      <w:bookmarkStart w:id="15" w:name="_Toc26876"/>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等离子体沉积和刻蚀设备项目中，等离子体沉积和刻蚀设备项目团队着眼于未来，明确了可持续发展的战略方向。制定的具体可持续发展目标包括降低资源使用、采用环保技术、最大化社会效益等。这一步骤不仅有助于等离子体沉积和刻蚀设备项目在环保和社会责任方面达到最高标准，也为未来提供了明确的指引，确保等离子体沉积和刻蚀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可持续实践的融入等离子体沉积和刻蚀设备项目管理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等离子体沉积和刻蚀设备项目管理周期。从等离子体沉积和刻蚀设备项目规划开始，等离子体沉积和刻蚀设备项目团队就考虑了环境和社会的因素。在执行阶段，等离子体沉积和刻蚀设备项目团队积极推动绿色技术的应用，优化资源利用。此外，关注员工的社会责任，通过培训和沟通活动提高员工对可持续发展的认知，使他们能够在日常工作中践行可持续实践。这些举措不仅为等离子体沉积和刻蚀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9124"/>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等离子体沉积和刻蚀设备项目的可持续发展理念，我们深信环保与社会责任是等离子体沉积和刻蚀设备项目成功的关键支柱。在等离子体沉积和刻蚀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等离子体沉积和刻蚀设备项目团队通过引入先进的环保技术、建立高效的废物处理系统以及推动能源节约措施，积极履行环保责任。定期的环保监测和评估确保等离子体沉积和刻蚀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等离子体沉积和刻蚀设备项目不仅致力于自身可持续发展，还注重对社会的回馈。通过支持社区等离子体沉积和刻蚀设备项目、参与慈善事业、提供培训机会等方式，等离子体沉积和刻蚀设备项目积极履行社会责任。与当地社区建立积极互动，关注员工的工作与生活平衡，以及员工的身心健康，是等离子体沉积和刻蚀设备项目在社会责任层面的关键举措。这样的实践不仅增强了等离子体沉积和刻蚀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31762"/>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30571"/>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等离子体沉积和刻蚀设备项目的技术管理特点体现在其创新导向。通过引入最先进的技术趋势和解决方案，等离子体沉积和刻蚀设备项目致力于提升科技含量、提高质量和效率水平。这意味着我们将采用最新的工具和方法，确保等离子体沉积和刻蚀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等离子体沉积和刻蚀设备项目技术管理的显著特征。通过整合不同领域的技术资源，我们实现了跨学科的协同工作。这有助于优化技术架构，提高整体效能。此外，整合性策略还促进了不同技术团队之间的紧密沟通和高效合作，确保等离子体沉积和刻蚀设备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等离子体沉积和刻蚀设备项目所采用的技术。通过不断优化技术方案，等离子体沉积和刻蚀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等离子体沉积和刻蚀设备项目团队将在等离子体沉积和刻蚀设备项目初期识别可能的技术风险，并采取相应的预防和应对措施。通过建立健全的风险评估机制，等离子体沉积和刻蚀设备项目能够在实施过程中及时发现并解决潜在的技术问题，保障等离子体沉积和刻蚀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等离子体沉积和刻蚀设备项目中，技术将成为等离子体沉积和刻蚀设备项目成功的有力支持。这一深度剖析揭示了技术管理在等离子体沉积和刻蚀设备项目实施中的关键作用，为等离子体沉积和刻蚀设备项目的技术基础奠定了坚实的基础。</w:t>
      </w:r>
    </w:p>
    <w:p>
      <w:pPr>
        <w:pStyle w:val="Heading2"/>
        <w:ind w:firstLine="560" w:firstLineChars="200"/>
        <w:rPr>
          <w:rFonts w:ascii="仿宋" w:eastAsia="仿宋" w:hAnsi="仿宋" w:cs="仿宋" w:hint="eastAsia"/>
          <w:sz w:val="28"/>
          <w:lang w:eastAsia="zh-CN"/>
        </w:rPr>
      </w:pPr>
      <w:bookmarkStart w:id="19" w:name="_Toc24071"/>
      <w:r>
        <w:rPr>
          <w:rFonts w:ascii="仿宋" w:eastAsia="仿宋" w:hAnsi="仿宋" w:cs="仿宋" w:hint="eastAsia"/>
          <w:sz w:val="28"/>
          <w:lang w:eastAsia="zh-CN"/>
        </w:rPr>
        <w:t>(二)、等离子体沉积和刻蚀设备项目工艺技术设计方案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等离子体沉积和刻蚀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等离子体沉积和刻蚀设备项目将严格按照相关行业规范要求进行组织。通过有效控制产品质量，等离子体沉积和刻蚀设备项目将致力于为顾客提供优质的等离子体沉积和刻蚀设备项目产品和良好的服务。这体现了等离子体沉积和刻蚀设备项目对于生产活动合规性和质量标准的高度重视，为等离子体沉积和刻蚀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等离子体沉积和刻蚀设备项目注重生态效益和清洁生产原则。等离子体沉积和刻蚀设备项目建设将紧密结合地方特色经济发展，与社会经济发展规划和区域环境保护规划方案相协调一致。通过与当地区域自然生态系统的结合，等离子体沉积和刻蚀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等离子体沉积和刻蚀设备项目产品具有多样化的客户需求和个性化的特点。因此，等离子体沉积和刻蚀设备项目产品规格品种多样，且单批生产数量较小。为满足这一特点，等离子体沉积和刻蚀设备项目承办单位将建设先进的柔性制造生产线。通过广泛应用柔性制造技术，等离子体沉积和刻蚀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等离子体沉积和刻蚀设备项目采用的技术具有较高的技术含量和自动化水平，处于国内先进水平。这一技术选用不仅体现了对生产效率、质量和环境友好性的高标准要求，同时为等离子体沉积和刻蚀设备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https://d.book118.com/926035025154010030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等离子体沉积和刻蚀设备项目规划设计蓝图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等离子体沉积和刻蚀设备项目规划设计蓝图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等离子体沉积和刻蚀设备项目规划设计蓝图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等离子体沉积和刻蚀设备项目规划设计蓝图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等离子体沉积和刻蚀设备项目规划设计蓝图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等离子体沉积和刻蚀设备项目规划设计蓝图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等离子体沉积和刻蚀设备项目规划设计蓝图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等离子体沉积和刻蚀设备项目规划设计蓝图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等离子体沉积和刻蚀设备项目规划设计蓝图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等离子体沉积和刻蚀设备项目规划设计蓝图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等离子体沉积和刻蚀设备项目规划设计蓝图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等离子体沉积和刻蚀设备项目规划设计蓝图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等离子体沉积和刻蚀设备项目规划设计蓝图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等离子体沉积和刻蚀设备项目规划设计蓝图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等离子体沉积和刻蚀设备项目规划设计蓝图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等离子体沉积和刻蚀设备项目规划设计蓝图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等离子体沉积和刻蚀设备项目规划设计蓝图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F34D27"/>
    <w:rsid w:val="4AF34D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6035025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2023-12-30T13:02:00Z</dcterms:created>
  <dcterms:modified xsi:type="dcterms:W3CDTF">2023-12-30T13:02:36Z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A4976B7D6E0B4ACA9CBC7FD9FED73D27_11</vt:lpwstr>
  </property>
  <property fmtid="{D5CDD505-2E9C-101B-9397-08002B2CF9AE}" pid="3" name="KSOProductBuildVer">
    <vt:lpwstr>2052-12.1.0.16120</vt:lpwstr>
  </property>
</Properties>
</file>