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同位素产品及制品项目规划设计蓝图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3" w:history="1">
        <w:r>
          <w:rPr>
            <w:rFonts w:ascii="仿宋" w:eastAsia="仿宋" w:hAnsi="仿宋" w:cs="仿宋" w:hint="eastAsia"/>
            <w:lang w:eastAsia="zh-CN"/>
          </w:rPr>
          <w:t>概论</w:t>
        </w:r>
        <w:r>
          <w:tab/>
        </w:r>
        <w:r>
          <w:fldChar w:fldCharType="begin"/>
        </w:r>
        <w:r>
          <w:instrText xml:space="preserve"> PAGEREF _Toc23503 \h </w:instrText>
        </w:r>
        <w:r>
          <w:fldChar w:fldCharType="separate"/>
        </w:r>
        <w:r>
          <w:t>3</w:t>
        </w:r>
        <w:r>
          <w:fldChar w:fldCharType="end"/>
        </w:r>
      </w:hyperlink>
    </w:p>
    <w:p>
      <w:pPr>
        <w:pStyle w:val="TOC1"/>
        <w:tabs>
          <w:tab w:val="right" w:leader="dot" w:pos="8306"/>
        </w:tabs>
      </w:pPr>
      <w:hyperlink w:anchor="_Toc30742" w:history="1">
        <w:r>
          <w:rPr>
            <w:rFonts w:ascii="仿宋" w:eastAsia="仿宋" w:hAnsi="仿宋" w:cs="仿宋" w:hint="eastAsia"/>
            <w:lang w:eastAsia="zh-CN"/>
          </w:rPr>
          <w:t>一、同位素产品及制品项目可持续发展</w:t>
        </w:r>
        <w:r>
          <w:tab/>
        </w:r>
        <w:r>
          <w:fldChar w:fldCharType="begin"/>
        </w:r>
        <w:r>
          <w:instrText xml:space="preserve"> PAGEREF _Toc30742 \h </w:instrText>
        </w:r>
        <w:r>
          <w:fldChar w:fldCharType="separate"/>
        </w:r>
        <w:r>
          <w:t>3</w:t>
        </w:r>
        <w:r>
          <w:fldChar w:fldCharType="end"/>
        </w:r>
      </w:hyperlink>
    </w:p>
    <w:p>
      <w:pPr>
        <w:pStyle w:val="TOC2"/>
        <w:tabs>
          <w:tab w:val="right" w:leader="dot" w:pos="8306"/>
        </w:tabs>
      </w:pPr>
      <w:hyperlink w:anchor="_Toc32573" w:history="1">
        <w:r>
          <w:rPr>
            <w:rFonts w:ascii="仿宋" w:eastAsia="仿宋" w:hAnsi="仿宋" w:cs="仿宋" w:hint="eastAsia"/>
            <w:lang w:eastAsia="zh-CN"/>
          </w:rPr>
          <w:t>(一)、可持续战略与实践</w:t>
        </w:r>
        <w:r>
          <w:tab/>
        </w:r>
        <w:r>
          <w:fldChar w:fldCharType="begin"/>
        </w:r>
        <w:r>
          <w:instrText xml:space="preserve"> PAGEREF _Toc32573 \h </w:instrText>
        </w:r>
        <w:r>
          <w:fldChar w:fldCharType="separate"/>
        </w:r>
        <w:r>
          <w:t>3</w:t>
        </w:r>
        <w:r>
          <w:fldChar w:fldCharType="end"/>
        </w:r>
      </w:hyperlink>
    </w:p>
    <w:p>
      <w:pPr>
        <w:pStyle w:val="TOC2"/>
        <w:tabs>
          <w:tab w:val="right" w:leader="dot" w:pos="8306"/>
        </w:tabs>
      </w:pPr>
      <w:hyperlink w:anchor="_Toc5130" w:history="1">
        <w:r>
          <w:rPr>
            <w:rFonts w:ascii="仿宋" w:eastAsia="仿宋" w:hAnsi="仿宋" w:cs="仿宋" w:hint="eastAsia"/>
            <w:lang w:eastAsia="zh-CN"/>
          </w:rPr>
          <w:t>(二)、环保与社会责任</w:t>
        </w:r>
        <w:r>
          <w:tab/>
        </w:r>
        <w:r>
          <w:fldChar w:fldCharType="begin"/>
        </w:r>
        <w:r>
          <w:instrText xml:space="preserve"> PAGEREF _Toc5130 \h </w:instrText>
        </w:r>
        <w:r>
          <w:fldChar w:fldCharType="separate"/>
        </w:r>
        <w:r>
          <w:t>4</w:t>
        </w:r>
        <w:r>
          <w:fldChar w:fldCharType="end"/>
        </w:r>
      </w:hyperlink>
    </w:p>
    <w:p>
      <w:pPr>
        <w:pStyle w:val="TOC1"/>
        <w:tabs>
          <w:tab w:val="right" w:leader="dot" w:pos="8306"/>
        </w:tabs>
      </w:pPr>
      <w:hyperlink w:anchor="_Toc23626" w:history="1">
        <w:r>
          <w:rPr>
            <w:rFonts w:ascii="仿宋" w:eastAsia="仿宋" w:hAnsi="仿宋" w:cs="仿宋" w:hint="eastAsia"/>
            <w:lang w:eastAsia="zh-CN"/>
          </w:rPr>
          <w:t>二、同位素产品及制品项目选址可行性分析</w:t>
        </w:r>
        <w:r>
          <w:tab/>
        </w:r>
        <w:r>
          <w:fldChar w:fldCharType="begin"/>
        </w:r>
        <w:r>
          <w:instrText xml:space="preserve"> PAGEREF _Toc23626 \h </w:instrText>
        </w:r>
        <w:r>
          <w:fldChar w:fldCharType="separate"/>
        </w:r>
        <w:r>
          <w:t>5</w:t>
        </w:r>
        <w:r>
          <w:fldChar w:fldCharType="end"/>
        </w:r>
      </w:hyperlink>
    </w:p>
    <w:p>
      <w:pPr>
        <w:pStyle w:val="TOC2"/>
        <w:tabs>
          <w:tab w:val="right" w:leader="dot" w:pos="8306"/>
        </w:tabs>
      </w:pPr>
      <w:hyperlink w:anchor="_Toc8001" w:history="1">
        <w:r>
          <w:rPr>
            <w:rFonts w:ascii="仿宋" w:eastAsia="仿宋" w:hAnsi="仿宋" w:cs="仿宋" w:hint="eastAsia"/>
            <w:lang w:eastAsia="zh-CN"/>
          </w:rPr>
          <w:t>(一)、同位素产品及制品项目选址</w:t>
        </w:r>
        <w:r>
          <w:tab/>
        </w:r>
        <w:r>
          <w:fldChar w:fldCharType="begin"/>
        </w:r>
        <w:r>
          <w:instrText xml:space="preserve"> PAGEREF _Toc8001 \h </w:instrText>
        </w:r>
        <w:r>
          <w:fldChar w:fldCharType="separate"/>
        </w:r>
        <w:r>
          <w:t>5</w:t>
        </w:r>
        <w:r>
          <w:fldChar w:fldCharType="end"/>
        </w:r>
      </w:hyperlink>
    </w:p>
    <w:p>
      <w:pPr>
        <w:pStyle w:val="TOC2"/>
        <w:tabs>
          <w:tab w:val="right" w:leader="dot" w:pos="8306"/>
        </w:tabs>
      </w:pPr>
      <w:hyperlink w:anchor="_Toc13350" w:history="1">
        <w:r>
          <w:rPr>
            <w:rFonts w:ascii="仿宋" w:eastAsia="仿宋" w:hAnsi="仿宋" w:cs="仿宋" w:hint="eastAsia"/>
            <w:lang w:eastAsia="zh-CN"/>
          </w:rPr>
          <w:t>(二)、用地控制指标</w:t>
        </w:r>
        <w:r>
          <w:tab/>
        </w:r>
        <w:r>
          <w:fldChar w:fldCharType="begin"/>
        </w:r>
        <w:r>
          <w:instrText xml:space="preserve"> PAGEREF _Toc13350 \h </w:instrText>
        </w:r>
        <w:r>
          <w:fldChar w:fldCharType="separate"/>
        </w:r>
        <w:r>
          <w:t>5</w:t>
        </w:r>
        <w:r>
          <w:fldChar w:fldCharType="end"/>
        </w:r>
      </w:hyperlink>
    </w:p>
    <w:p>
      <w:pPr>
        <w:pStyle w:val="TOC2"/>
        <w:tabs>
          <w:tab w:val="right" w:leader="dot" w:pos="8306"/>
        </w:tabs>
      </w:pPr>
      <w:hyperlink w:anchor="_Toc2379" w:history="1">
        <w:r>
          <w:rPr>
            <w:rFonts w:ascii="仿宋" w:eastAsia="仿宋" w:hAnsi="仿宋" w:cs="仿宋" w:hint="eastAsia"/>
            <w:lang w:eastAsia="zh-CN"/>
          </w:rPr>
          <w:t>(三)、节约用地措施</w:t>
        </w:r>
        <w:r>
          <w:tab/>
        </w:r>
        <w:r>
          <w:fldChar w:fldCharType="begin"/>
        </w:r>
        <w:r>
          <w:instrText xml:space="preserve"> PAGEREF _Toc2379 \h </w:instrText>
        </w:r>
        <w:r>
          <w:fldChar w:fldCharType="separate"/>
        </w:r>
        <w:r>
          <w:t>7</w:t>
        </w:r>
        <w:r>
          <w:fldChar w:fldCharType="end"/>
        </w:r>
      </w:hyperlink>
    </w:p>
    <w:p>
      <w:pPr>
        <w:pStyle w:val="TOC2"/>
        <w:tabs>
          <w:tab w:val="right" w:leader="dot" w:pos="8306"/>
        </w:tabs>
      </w:pPr>
      <w:hyperlink w:anchor="_Toc1746" w:history="1">
        <w:r>
          <w:rPr>
            <w:rFonts w:ascii="仿宋" w:eastAsia="仿宋" w:hAnsi="仿宋" w:cs="仿宋" w:hint="eastAsia"/>
            <w:lang w:eastAsia="zh-CN"/>
          </w:rPr>
          <w:t>(四)、总图布置方案</w:t>
        </w:r>
        <w:r>
          <w:tab/>
        </w:r>
        <w:r>
          <w:fldChar w:fldCharType="begin"/>
        </w:r>
        <w:r>
          <w:instrText xml:space="preserve"> PAGEREF _Toc1746 \h </w:instrText>
        </w:r>
        <w:r>
          <w:fldChar w:fldCharType="separate"/>
        </w:r>
        <w:r>
          <w:t>8</w:t>
        </w:r>
        <w:r>
          <w:fldChar w:fldCharType="end"/>
        </w:r>
      </w:hyperlink>
    </w:p>
    <w:p>
      <w:pPr>
        <w:pStyle w:val="TOC2"/>
        <w:tabs>
          <w:tab w:val="right" w:leader="dot" w:pos="8306"/>
        </w:tabs>
      </w:pPr>
      <w:hyperlink w:anchor="_Toc11788" w:history="1">
        <w:r>
          <w:rPr>
            <w:rFonts w:ascii="仿宋" w:eastAsia="仿宋" w:hAnsi="仿宋" w:cs="仿宋" w:hint="eastAsia"/>
            <w:lang w:eastAsia="zh-CN"/>
          </w:rPr>
          <w:t>(五)、选址综合评价</w:t>
        </w:r>
        <w:r>
          <w:tab/>
        </w:r>
        <w:r>
          <w:fldChar w:fldCharType="begin"/>
        </w:r>
        <w:r>
          <w:instrText xml:space="preserve"> PAGEREF _Toc11788 \h </w:instrText>
        </w:r>
        <w:r>
          <w:fldChar w:fldCharType="separate"/>
        </w:r>
        <w:r>
          <w:t>9</w:t>
        </w:r>
        <w:r>
          <w:fldChar w:fldCharType="end"/>
        </w:r>
      </w:hyperlink>
    </w:p>
    <w:p>
      <w:pPr>
        <w:pStyle w:val="TOC1"/>
        <w:tabs>
          <w:tab w:val="right" w:leader="dot" w:pos="8306"/>
        </w:tabs>
      </w:pPr>
      <w:hyperlink w:anchor="_Toc21731" w:history="1">
        <w:r>
          <w:rPr>
            <w:rFonts w:ascii="仿宋" w:eastAsia="仿宋" w:hAnsi="仿宋" w:cs="仿宋" w:hint="eastAsia"/>
            <w:lang w:eastAsia="zh-CN"/>
          </w:rPr>
          <w:t>三、同位素产品及制品项目概论</w:t>
        </w:r>
        <w:r>
          <w:tab/>
        </w:r>
        <w:r>
          <w:fldChar w:fldCharType="begin"/>
        </w:r>
        <w:r>
          <w:instrText xml:space="preserve"> PAGEREF _Toc21731 \h </w:instrText>
        </w:r>
        <w:r>
          <w:fldChar w:fldCharType="separate"/>
        </w:r>
        <w:r>
          <w:t>10</w:t>
        </w:r>
        <w:r>
          <w:fldChar w:fldCharType="end"/>
        </w:r>
      </w:hyperlink>
    </w:p>
    <w:p>
      <w:pPr>
        <w:pStyle w:val="TOC2"/>
        <w:tabs>
          <w:tab w:val="right" w:leader="dot" w:pos="8306"/>
        </w:tabs>
      </w:pPr>
      <w:hyperlink w:anchor="_Toc22269" w:history="1">
        <w:r>
          <w:rPr>
            <w:rFonts w:ascii="仿宋" w:eastAsia="仿宋" w:hAnsi="仿宋" w:cs="仿宋" w:hint="eastAsia"/>
            <w:lang w:eastAsia="zh-CN"/>
          </w:rPr>
          <w:t>(一)、同位素产品及制品项目概况</w:t>
        </w:r>
        <w:r>
          <w:tab/>
        </w:r>
        <w:r>
          <w:fldChar w:fldCharType="begin"/>
        </w:r>
        <w:r>
          <w:instrText xml:space="preserve"> PAGEREF _Toc22269 \h </w:instrText>
        </w:r>
        <w:r>
          <w:fldChar w:fldCharType="separate"/>
        </w:r>
        <w:r>
          <w:t>10</w:t>
        </w:r>
        <w:r>
          <w:fldChar w:fldCharType="end"/>
        </w:r>
      </w:hyperlink>
    </w:p>
    <w:p>
      <w:pPr>
        <w:pStyle w:val="TOC2"/>
        <w:tabs>
          <w:tab w:val="right" w:leader="dot" w:pos="8306"/>
        </w:tabs>
      </w:pPr>
      <w:hyperlink w:anchor="_Toc18496" w:history="1">
        <w:r>
          <w:rPr>
            <w:rFonts w:ascii="仿宋" w:eastAsia="仿宋" w:hAnsi="仿宋" w:cs="仿宋" w:hint="eastAsia"/>
            <w:lang w:eastAsia="zh-CN"/>
          </w:rPr>
          <w:t>(二)、同位素产品及制品项目目标</w:t>
        </w:r>
        <w:r>
          <w:tab/>
        </w:r>
        <w:r>
          <w:fldChar w:fldCharType="begin"/>
        </w:r>
        <w:r>
          <w:instrText xml:space="preserve"> PAGEREF _Toc18496 \h </w:instrText>
        </w:r>
        <w:r>
          <w:fldChar w:fldCharType="separate"/>
        </w:r>
        <w:r>
          <w:t>13</w:t>
        </w:r>
        <w:r>
          <w:fldChar w:fldCharType="end"/>
        </w:r>
      </w:hyperlink>
    </w:p>
    <w:p>
      <w:pPr>
        <w:pStyle w:val="TOC2"/>
        <w:tabs>
          <w:tab w:val="right" w:leader="dot" w:pos="8306"/>
        </w:tabs>
      </w:pPr>
      <w:hyperlink w:anchor="_Toc15223" w:history="1">
        <w:r>
          <w:rPr>
            <w:rFonts w:ascii="仿宋" w:eastAsia="仿宋" w:hAnsi="仿宋" w:cs="仿宋" w:hint="eastAsia"/>
            <w:lang w:eastAsia="zh-CN"/>
          </w:rPr>
          <w:t>(三)、同位素产品及制品项目提出的理由</w:t>
        </w:r>
        <w:r>
          <w:tab/>
        </w:r>
        <w:r>
          <w:fldChar w:fldCharType="begin"/>
        </w:r>
        <w:r>
          <w:instrText xml:space="preserve"> PAGEREF _Toc15223 \h </w:instrText>
        </w:r>
        <w:r>
          <w:fldChar w:fldCharType="separate"/>
        </w:r>
        <w:r>
          <w:t>14</w:t>
        </w:r>
        <w:r>
          <w:fldChar w:fldCharType="end"/>
        </w:r>
      </w:hyperlink>
    </w:p>
    <w:p>
      <w:pPr>
        <w:pStyle w:val="TOC2"/>
        <w:tabs>
          <w:tab w:val="right" w:leader="dot" w:pos="8306"/>
        </w:tabs>
      </w:pPr>
      <w:hyperlink w:anchor="_Toc17344" w:history="1">
        <w:r>
          <w:rPr>
            <w:rFonts w:ascii="仿宋" w:eastAsia="仿宋" w:hAnsi="仿宋" w:cs="仿宋" w:hint="eastAsia"/>
            <w:lang w:eastAsia="zh-CN"/>
          </w:rPr>
          <w:t>(四)、同位素产品及制品项目意义</w:t>
        </w:r>
        <w:r>
          <w:tab/>
        </w:r>
        <w:r>
          <w:fldChar w:fldCharType="begin"/>
        </w:r>
        <w:r>
          <w:instrText xml:space="preserve"> PAGEREF _Toc17344 \h </w:instrText>
        </w:r>
        <w:r>
          <w:fldChar w:fldCharType="separate"/>
        </w:r>
        <w:r>
          <w:t>15</w:t>
        </w:r>
        <w:r>
          <w:fldChar w:fldCharType="end"/>
        </w:r>
      </w:hyperlink>
    </w:p>
    <w:p>
      <w:pPr>
        <w:pStyle w:val="TOC2"/>
        <w:tabs>
          <w:tab w:val="right" w:leader="dot" w:pos="8306"/>
        </w:tabs>
      </w:pPr>
      <w:hyperlink w:anchor="_Toc8269" w:history="1">
        <w:r>
          <w:rPr>
            <w:rFonts w:ascii="仿宋" w:eastAsia="仿宋" w:hAnsi="仿宋" w:cs="仿宋" w:hint="eastAsia"/>
            <w:lang w:eastAsia="zh-CN"/>
          </w:rPr>
          <w:t>(五)、同位素产品及制品项目背景</w:t>
        </w:r>
        <w:r>
          <w:tab/>
        </w:r>
        <w:r>
          <w:fldChar w:fldCharType="begin"/>
        </w:r>
        <w:r>
          <w:instrText xml:space="preserve"> PAGEREF _Toc8269 \h </w:instrText>
        </w:r>
        <w:r>
          <w:fldChar w:fldCharType="separate"/>
        </w:r>
        <w:r>
          <w:t>16</w:t>
        </w:r>
        <w:r>
          <w:fldChar w:fldCharType="end"/>
        </w:r>
      </w:hyperlink>
    </w:p>
    <w:p>
      <w:pPr>
        <w:pStyle w:val="TOC1"/>
        <w:tabs>
          <w:tab w:val="right" w:leader="dot" w:pos="8306"/>
        </w:tabs>
      </w:pPr>
      <w:hyperlink w:anchor="_Toc6363" w:history="1">
        <w:r>
          <w:rPr>
            <w:rFonts w:ascii="仿宋" w:eastAsia="仿宋" w:hAnsi="仿宋" w:cs="仿宋" w:hint="eastAsia"/>
            <w:lang w:eastAsia="zh-CN"/>
          </w:rPr>
          <w:t>四、同位素产品及制品项目危机管理</w:t>
        </w:r>
        <w:r>
          <w:tab/>
        </w:r>
        <w:r>
          <w:fldChar w:fldCharType="begin"/>
        </w:r>
        <w:r>
          <w:instrText xml:space="preserve"> PAGEREF _Toc6363 \h </w:instrText>
        </w:r>
        <w:r>
          <w:fldChar w:fldCharType="separate"/>
        </w:r>
        <w:r>
          <w:t>17</w:t>
        </w:r>
        <w:r>
          <w:fldChar w:fldCharType="end"/>
        </w:r>
      </w:hyperlink>
    </w:p>
    <w:p>
      <w:pPr>
        <w:pStyle w:val="TOC2"/>
        <w:tabs>
          <w:tab w:val="right" w:leader="dot" w:pos="8306"/>
        </w:tabs>
      </w:pPr>
      <w:hyperlink w:anchor="_Toc31042" w:history="1">
        <w:r>
          <w:rPr>
            <w:rFonts w:ascii="仿宋" w:eastAsia="仿宋" w:hAnsi="仿宋" w:cs="仿宋" w:hint="eastAsia"/>
            <w:lang w:eastAsia="zh-CN"/>
          </w:rPr>
          <w:t>(一)、危机预警与识别</w:t>
        </w:r>
        <w:r>
          <w:tab/>
        </w:r>
        <w:r>
          <w:fldChar w:fldCharType="begin"/>
        </w:r>
        <w:r>
          <w:instrText xml:space="preserve"> PAGEREF _Toc31042 \h </w:instrText>
        </w:r>
        <w:r>
          <w:fldChar w:fldCharType="separate"/>
        </w:r>
        <w:r>
          <w:t>17</w:t>
        </w:r>
        <w:r>
          <w:fldChar w:fldCharType="end"/>
        </w:r>
      </w:hyperlink>
    </w:p>
    <w:p>
      <w:pPr>
        <w:pStyle w:val="TOC2"/>
        <w:tabs>
          <w:tab w:val="right" w:leader="dot" w:pos="8306"/>
        </w:tabs>
      </w:pPr>
      <w:hyperlink w:anchor="_Toc23500" w:history="1">
        <w:r>
          <w:rPr>
            <w:rFonts w:ascii="仿宋" w:eastAsia="仿宋" w:hAnsi="仿宋" w:cs="仿宋" w:hint="eastAsia"/>
            <w:lang w:eastAsia="zh-CN"/>
          </w:rPr>
          <w:t>(二)、危机应对与恢复</w:t>
        </w:r>
        <w:r>
          <w:tab/>
        </w:r>
        <w:r>
          <w:fldChar w:fldCharType="begin"/>
        </w:r>
        <w:r>
          <w:instrText xml:space="preserve"> PAGEREF _Toc23500 \h </w:instrText>
        </w:r>
        <w:r>
          <w:fldChar w:fldCharType="separate"/>
        </w:r>
        <w:r>
          <w:t>18</w:t>
        </w:r>
        <w:r>
          <w:fldChar w:fldCharType="end"/>
        </w:r>
      </w:hyperlink>
    </w:p>
    <w:p>
      <w:pPr>
        <w:pStyle w:val="TOC1"/>
        <w:tabs>
          <w:tab w:val="right" w:leader="dot" w:pos="8306"/>
        </w:tabs>
      </w:pPr>
      <w:hyperlink w:anchor="_Toc17179" w:history="1">
        <w:r>
          <w:rPr>
            <w:rFonts w:ascii="仿宋" w:eastAsia="仿宋" w:hAnsi="仿宋" w:cs="仿宋" w:hint="eastAsia"/>
            <w:lang w:eastAsia="zh-CN"/>
          </w:rPr>
          <w:t>五、市场分析、调研</w:t>
        </w:r>
        <w:r>
          <w:tab/>
        </w:r>
        <w:r>
          <w:fldChar w:fldCharType="begin"/>
        </w:r>
        <w:r>
          <w:instrText xml:space="preserve"> PAGEREF _Toc17179 \h </w:instrText>
        </w:r>
        <w:r>
          <w:fldChar w:fldCharType="separate"/>
        </w:r>
        <w:r>
          <w:t>20</w:t>
        </w:r>
        <w:r>
          <w:fldChar w:fldCharType="end"/>
        </w:r>
      </w:hyperlink>
    </w:p>
    <w:p>
      <w:pPr>
        <w:pStyle w:val="TOC2"/>
        <w:tabs>
          <w:tab w:val="right" w:leader="dot" w:pos="8306"/>
        </w:tabs>
      </w:pPr>
      <w:hyperlink w:anchor="_Toc20950" w:history="1">
        <w:r>
          <w:rPr>
            <w:rFonts w:ascii="仿宋" w:eastAsia="仿宋" w:hAnsi="仿宋" w:cs="仿宋" w:hint="eastAsia"/>
            <w:lang w:eastAsia="zh-CN"/>
          </w:rPr>
          <w:t>(一)、同位素产品及制品行业分析</w:t>
        </w:r>
        <w:r>
          <w:tab/>
        </w:r>
        <w:r>
          <w:fldChar w:fldCharType="begin"/>
        </w:r>
        <w:r>
          <w:instrText xml:space="preserve"> PAGEREF _Toc20950 \h </w:instrText>
        </w:r>
        <w:r>
          <w:fldChar w:fldCharType="separate"/>
        </w:r>
        <w:r>
          <w:t>20</w:t>
        </w:r>
        <w:r>
          <w:fldChar w:fldCharType="end"/>
        </w:r>
      </w:hyperlink>
    </w:p>
    <w:p>
      <w:pPr>
        <w:pStyle w:val="TOC2"/>
        <w:tabs>
          <w:tab w:val="right" w:leader="dot" w:pos="8306"/>
        </w:tabs>
      </w:pPr>
      <w:hyperlink w:anchor="_Toc17248" w:history="1">
        <w:r>
          <w:rPr>
            <w:rFonts w:ascii="仿宋" w:eastAsia="仿宋" w:hAnsi="仿宋" w:cs="仿宋" w:hint="eastAsia"/>
            <w:lang w:eastAsia="zh-CN"/>
          </w:rPr>
          <w:t>(二)、同位素产品及制品市场分析预测</w:t>
        </w:r>
        <w:r>
          <w:tab/>
        </w:r>
        <w:r>
          <w:fldChar w:fldCharType="begin"/>
        </w:r>
        <w:r>
          <w:instrText xml:space="preserve"> PAGEREF _Toc17248 \h </w:instrText>
        </w:r>
        <w:r>
          <w:fldChar w:fldCharType="separate"/>
        </w:r>
        <w:r>
          <w:t>20</w:t>
        </w:r>
        <w:r>
          <w:fldChar w:fldCharType="end"/>
        </w:r>
      </w:hyperlink>
    </w:p>
    <w:p>
      <w:pPr>
        <w:pStyle w:val="TOC1"/>
        <w:tabs>
          <w:tab w:val="right" w:leader="dot" w:pos="8306"/>
        </w:tabs>
      </w:pPr>
      <w:hyperlink w:anchor="_Toc4738" w:history="1">
        <w:r>
          <w:rPr>
            <w:rFonts w:ascii="仿宋" w:eastAsia="仿宋" w:hAnsi="仿宋" w:cs="仿宋" w:hint="eastAsia"/>
            <w:lang w:eastAsia="zh-CN"/>
          </w:rPr>
          <w:t>六、同位素产品及制品项目建设单位说明</w:t>
        </w:r>
        <w:r>
          <w:tab/>
        </w:r>
        <w:r>
          <w:fldChar w:fldCharType="begin"/>
        </w:r>
        <w:r>
          <w:instrText xml:space="preserve"> PAGEREF _Toc4738 \h </w:instrText>
        </w:r>
        <w:r>
          <w:fldChar w:fldCharType="separate"/>
        </w:r>
        <w:r>
          <w:t>21</w:t>
        </w:r>
        <w:r>
          <w:fldChar w:fldCharType="end"/>
        </w:r>
      </w:hyperlink>
    </w:p>
    <w:p>
      <w:pPr>
        <w:pStyle w:val="TOC2"/>
        <w:tabs>
          <w:tab w:val="right" w:leader="dot" w:pos="8306"/>
        </w:tabs>
      </w:pPr>
      <w:hyperlink w:anchor="_Toc777" w:history="1">
        <w:r>
          <w:rPr>
            <w:rFonts w:ascii="仿宋" w:eastAsia="仿宋" w:hAnsi="仿宋" w:cs="仿宋" w:hint="eastAsia"/>
            <w:lang w:eastAsia="zh-CN"/>
          </w:rPr>
          <w:t>(一)、同位素产品及制品项目承办单位基本情况</w:t>
        </w:r>
        <w:r>
          <w:tab/>
        </w:r>
        <w:r>
          <w:fldChar w:fldCharType="begin"/>
        </w:r>
        <w:r>
          <w:instrText xml:space="preserve"> PAGEREF _Toc777 \h </w:instrText>
        </w:r>
        <w:r>
          <w:fldChar w:fldCharType="separate"/>
        </w:r>
        <w:r>
          <w:t>21</w:t>
        </w:r>
        <w:r>
          <w:fldChar w:fldCharType="end"/>
        </w:r>
      </w:hyperlink>
    </w:p>
    <w:p>
      <w:pPr>
        <w:pStyle w:val="TOC2"/>
        <w:tabs>
          <w:tab w:val="right" w:leader="dot" w:pos="8306"/>
        </w:tabs>
      </w:pPr>
      <w:hyperlink w:anchor="_Toc31770" w:history="1">
        <w:r>
          <w:rPr>
            <w:rFonts w:ascii="仿宋" w:eastAsia="仿宋" w:hAnsi="仿宋" w:cs="仿宋" w:hint="eastAsia"/>
            <w:lang w:eastAsia="zh-CN"/>
          </w:rPr>
          <w:t>(二)、公司经济效益分析</w:t>
        </w:r>
        <w:r>
          <w:tab/>
        </w:r>
        <w:r>
          <w:fldChar w:fldCharType="begin"/>
        </w:r>
        <w:r>
          <w:instrText xml:space="preserve"> PAGEREF _Toc31770 \h </w:instrText>
        </w:r>
        <w:r>
          <w:fldChar w:fldCharType="separate"/>
        </w:r>
        <w:r>
          <w:t>22</w:t>
        </w:r>
        <w:r>
          <w:fldChar w:fldCharType="end"/>
        </w:r>
      </w:hyperlink>
    </w:p>
    <w:p>
      <w:pPr>
        <w:pStyle w:val="TOC1"/>
        <w:tabs>
          <w:tab w:val="right" w:leader="dot" w:pos="8306"/>
        </w:tabs>
      </w:pPr>
      <w:hyperlink w:anchor="_Toc17321" w:history="1">
        <w:r>
          <w:rPr>
            <w:rFonts w:ascii="仿宋" w:eastAsia="仿宋" w:hAnsi="仿宋" w:cs="仿宋" w:hint="eastAsia"/>
            <w:lang w:eastAsia="zh-CN"/>
          </w:rPr>
          <w:t>七、同位素产品及制品项目投资规划</w:t>
        </w:r>
        <w:r>
          <w:tab/>
        </w:r>
        <w:r>
          <w:fldChar w:fldCharType="begin"/>
        </w:r>
        <w:r>
          <w:instrText xml:space="preserve"> PAGEREF _Toc17321 \h </w:instrText>
        </w:r>
        <w:r>
          <w:fldChar w:fldCharType="separate"/>
        </w:r>
        <w:r>
          <w:t>23</w:t>
        </w:r>
        <w:r>
          <w:fldChar w:fldCharType="end"/>
        </w:r>
      </w:hyperlink>
    </w:p>
    <w:p>
      <w:pPr>
        <w:pStyle w:val="TOC2"/>
        <w:tabs>
          <w:tab w:val="right" w:leader="dot" w:pos="8306"/>
        </w:tabs>
      </w:pPr>
      <w:hyperlink w:anchor="_Toc23721" w:history="1">
        <w:r>
          <w:rPr>
            <w:rFonts w:ascii="仿宋" w:eastAsia="仿宋" w:hAnsi="仿宋" w:cs="仿宋" w:hint="eastAsia"/>
            <w:lang w:eastAsia="zh-CN"/>
          </w:rPr>
          <w:t>(一)、同位素产品及制品项目总投资估算</w:t>
        </w:r>
        <w:r>
          <w:tab/>
        </w:r>
        <w:r>
          <w:fldChar w:fldCharType="begin"/>
        </w:r>
        <w:r>
          <w:instrText xml:space="preserve"> PAGEREF _Toc23721 \h </w:instrText>
        </w:r>
        <w:r>
          <w:fldChar w:fldCharType="separate"/>
        </w:r>
        <w:r>
          <w:t>23</w:t>
        </w:r>
        <w:r>
          <w:fldChar w:fldCharType="end"/>
        </w:r>
      </w:hyperlink>
    </w:p>
    <w:p>
      <w:pPr>
        <w:pStyle w:val="TOC2"/>
        <w:tabs>
          <w:tab w:val="right" w:leader="dot" w:pos="8306"/>
        </w:tabs>
      </w:pPr>
      <w:hyperlink w:anchor="_Toc27346" w:history="1">
        <w:r>
          <w:rPr>
            <w:rFonts w:ascii="仿宋" w:eastAsia="仿宋" w:hAnsi="仿宋" w:cs="仿宋" w:hint="eastAsia"/>
            <w:lang w:eastAsia="zh-CN"/>
          </w:rPr>
          <w:t>(二)、资金筹措</w:t>
        </w:r>
        <w:r>
          <w:tab/>
        </w:r>
        <w:r>
          <w:fldChar w:fldCharType="begin"/>
        </w:r>
        <w:r>
          <w:instrText xml:space="preserve"> PAGEREF _Toc27346 \h </w:instrText>
        </w:r>
        <w:r>
          <w:fldChar w:fldCharType="separate"/>
        </w:r>
        <w:r>
          <w:t>24</w:t>
        </w:r>
        <w:r>
          <w:fldChar w:fldCharType="end"/>
        </w:r>
      </w:hyperlink>
    </w:p>
    <w:p>
      <w:pPr>
        <w:pStyle w:val="TOC1"/>
        <w:tabs>
          <w:tab w:val="right" w:leader="dot" w:pos="8306"/>
        </w:tabs>
      </w:pPr>
      <w:hyperlink w:anchor="_Toc31814" w:history="1">
        <w:r>
          <w:rPr>
            <w:rFonts w:ascii="仿宋" w:eastAsia="仿宋" w:hAnsi="仿宋" w:cs="仿宋" w:hint="eastAsia"/>
            <w:lang w:eastAsia="zh-CN"/>
          </w:rPr>
          <w:t>八、同位素产品及制品项目人力资源管理</w:t>
        </w:r>
        <w:r>
          <w:tab/>
        </w:r>
        <w:r>
          <w:fldChar w:fldCharType="begin"/>
        </w:r>
        <w:r>
          <w:instrText xml:space="preserve"> PAGEREF _Toc31814 \h </w:instrText>
        </w:r>
        <w:r>
          <w:fldChar w:fldCharType="separate"/>
        </w:r>
        <w:r>
          <w:t>25</w:t>
        </w:r>
        <w:r>
          <w:fldChar w:fldCharType="end"/>
        </w:r>
      </w:hyperlink>
    </w:p>
    <w:p>
      <w:pPr>
        <w:pStyle w:val="TOC2"/>
        <w:tabs>
          <w:tab w:val="right" w:leader="dot" w:pos="8306"/>
        </w:tabs>
      </w:pPr>
      <w:hyperlink w:anchor="_Toc32207" w:history="1">
        <w:r>
          <w:rPr>
            <w:rFonts w:ascii="仿宋" w:eastAsia="仿宋" w:hAnsi="仿宋" w:cs="仿宋" w:hint="eastAsia"/>
            <w:lang w:eastAsia="zh-CN"/>
          </w:rPr>
          <w:t>(一)、建立健全的预算管理制度</w:t>
        </w:r>
        <w:r>
          <w:tab/>
        </w:r>
        <w:r>
          <w:fldChar w:fldCharType="begin"/>
        </w:r>
        <w:r>
          <w:instrText xml:space="preserve"> PAGEREF _Toc32207 \h </w:instrText>
        </w:r>
        <w:r>
          <w:fldChar w:fldCharType="separate"/>
        </w:r>
        <w:r>
          <w:t>25</w:t>
        </w:r>
        <w:r>
          <w:fldChar w:fldCharType="end"/>
        </w:r>
      </w:hyperlink>
    </w:p>
    <w:p>
      <w:pPr>
        <w:pStyle w:val="TOC2"/>
        <w:tabs>
          <w:tab w:val="right" w:leader="dot" w:pos="8306"/>
        </w:tabs>
      </w:pPr>
      <w:hyperlink w:anchor="_Toc23161" w:history="1">
        <w:r>
          <w:rPr>
            <w:rFonts w:ascii="仿宋" w:eastAsia="仿宋" w:hAnsi="仿宋" w:cs="仿宋" w:hint="eastAsia"/>
            <w:lang w:eastAsia="zh-CN"/>
          </w:rPr>
          <w:t>(二)、加强资金流动监控</w:t>
        </w:r>
        <w:r>
          <w:tab/>
        </w:r>
        <w:r>
          <w:fldChar w:fldCharType="begin"/>
        </w:r>
        <w:r>
          <w:instrText xml:space="preserve"> PAGEREF _Toc23161 \h </w:instrText>
        </w:r>
        <w:r>
          <w:fldChar w:fldCharType="separate"/>
        </w:r>
        <w:r>
          <w:t>27</w:t>
        </w:r>
        <w:r>
          <w:fldChar w:fldCharType="end"/>
        </w:r>
      </w:hyperlink>
    </w:p>
    <w:p>
      <w:pPr>
        <w:pStyle w:val="TOC2"/>
        <w:tabs>
          <w:tab w:val="right" w:leader="dot" w:pos="8306"/>
        </w:tabs>
      </w:pPr>
      <w:hyperlink w:anchor="_Toc22494" w:history="1">
        <w:r>
          <w:rPr>
            <w:rFonts w:ascii="仿宋" w:eastAsia="仿宋" w:hAnsi="仿宋" w:cs="仿宋" w:hint="eastAsia"/>
            <w:lang w:eastAsia="zh-CN"/>
          </w:rPr>
          <w:t>(三)、制定完善的风险控制机制</w:t>
        </w:r>
        <w:r>
          <w:tab/>
        </w:r>
        <w:r>
          <w:fldChar w:fldCharType="begin"/>
        </w:r>
        <w:r>
          <w:instrText xml:space="preserve"> PAGEREF _Toc22494 \h </w:instrText>
        </w:r>
        <w:r>
          <w:fldChar w:fldCharType="separate"/>
        </w:r>
        <w:r>
          <w:t>28</w:t>
        </w:r>
        <w:r>
          <w:fldChar w:fldCharType="end"/>
        </w:r>
      </w:hyperlink>
    </w:p>
    <w:p>
      <w:pPr>
        <w:pStyle w:val="TOC2"/>
        <w:tabs>
          <w:tab w:val="right" w:leader="dot" w:pos="8306"/>
        </w:tabs>
      </w:pPr>
      <w:hyperlink w:anchor="_Toc16372" w:history="1">
        <w:r>
          <w:rPr>
            <w:rFonts w:ascii="仿宋" w:eastAsia="仿宋" w:hAnsi="仿宋" w:cs="仿宋" w:hint="eastAsia"/>
            <w:lang w:eastAsia="zh-CN"/>
          </w:rPr>
          <w:t>(四)、优化成本管理</w:t>
        </w:r>
        <w:r>
          <w:tab/>
        </w:r>
        <w:r>
          <w:fldChar w:fldCharType="begin"/>
        </w:r>
        <w:r>
          <w:instrText xml:space="preserve"> PAGEREF _Toc16372 \h </w:instrText>
        </w:r>
        <w:r>
          <w:fldChar w:fldCharType="separate"/>
        </w:r>
        <w:r>
          <w:t>29</w:t>
        </w:r>
        <w:r>
          <w:fldChar w:fldCharType="end"/>
        </w:r>
      </w:hyperlink>
    </w:p>
    <w:p>
      <w:pPr>
        <w:pStyle w:val="TOC1"/>
        <w:tabs>
          <w:tab w:val="right" w:leader="dot" w:pos="8306"/>
        </w:tabs>
      </w:pPr>
      <w:hyperlink w:anchor="_Toc22419" w:history="1">
        <w:r>
          <w:rPr>
            <w:rFonts w:ascii="仿宋" w:eastAsia="仿宋" w:hAnsi="仿宋" w:cs="仿宋" w:hint="eastAsia"/>
            <w:lang w:eastAsia="zh-CN"/>
          </w:rPr>
          <w:t>九、同位素产品及制品项目创新与研发</w:t>
        </w:r>
        <w:r>
          <w:tab/>
        </w:r>
        <w:r>
          <w:fldChar w:fldCharType="begin"/>
        </w:r>
        <w:r>
          <w:instrText xml:space="preserve"> PAGEREF _Toc22419 \h </w:instrText>
        </w:r>
        <w:r>
          <w:fldChar w:fldCharType="separate"/>
        </w:r>
        <w:r>
          <w:t>31</w:t>
        </w:r>
        <w:r>
          <w:fldChar w:fldCharType="end"/>
        </w:r>
      </w:hyperlink>
    </w:p>
    <w:p>
      <w:pPr>
        <w:pStyle w:val="TOC2"/>
        <w:tabs>
          <w:tab w:val="right" w:leader="dot" w:pos="8306"/>
        </w:tabs>
      </w:pPr>
      <w:hyperlink w:anchor="_Toc3839" w:history="1">
        <w:r>
          <w:rPr>
            <w:rFonts w:ascii="仿宋" w:eastAsia="仿宋" w:hAnsi="仿宋" w:cs="仿宋" w:hint="eastAsia"/>
            <w:lang w:eastAsia="zh-CN"/>
          </w:rPr>
          <w:t>(一)、创新策略与方向</w:t>
        </w:r>
        <w:r>
          <w:tab/>
        </w:r>
        <w:r>
          <w:fldChar w:fldCharType="begin"/>
        </w:r>
        <w:r>
          <w:instrText xml:space="preserve"> PAGEREF _Toc3839 \h </w:instrText>
        </w:r>
        <w:r>
          <w:fldChar w:fldCharType="separate"/>
        </w:r>
        <w:r>
          <w:t>31</w:t>
        </w:r>
        <w:r>
          <w:fldChar w:fldCharType="end"/>
        </w:r>
      </w:hyperlink>
    </w:p>
    <w:p>
      <w:pPr>
        <w:pStyle w:val="TOC2"/>
        <w:tabs>
          <w:tab w:val="right" w:leader="dot" w:pos="8306"/>
        </w:tabs>
      </w:pPr>
      <w:hyperlink w:anchor="_Toc25619" w:history="1">
        <w:r>
          <w:rPr>
            <w:rFonts w:ascii="仿宋" w:eastAsia="仿宋" w:hAnsi="仿宋" w:cs="仿宋" w:hint="eastAsia"/>
            <w:lang w:eastAsia="zh-CN"/>
          </w:rPr>
          <w:t>(二)、研发规划与投入</w:t>
        </w:r>
        <w:r>
          <w:tab/>
        </w:r>
        <w:r>
          <w:fldChar w:fldCharType="begin"/>
        </w:r>
        <w:r>
          <w:instrText xml:space="preserve"> PAGEREF _Toc25619 \h </w:instrText>
        </w:r>
        <w:r>
          <w:fldChar w:fldCharType="separate"/>
        </w:r>
        <w:r>
          <w:t>32</w:t>
        </w:r>
        <w:r>
          <w:fldChar w:fldCharType="end"/>
        </w:r>
      </w:hyperlink>
    </w:p>
    <w:p>
      <w:pPr>
        <w:pStyle w:val="TOC1"/>
        <w:tabs>
          <w:tab w:val="right" w:leader="dot" w:pos="8306"/>
        </w:tabs>
      </w:pPr>
      <w:hyperlink w:anchor="_Toc20543" w:history="1">
        <w:r>
          <w:rPr>
            <w:rFonts w:ascii="仿宋" w:eastAsia="仿宋" w:hAnsi="仿宋" w:cs="仿宋" w:hint="eastAsia"/>
            <w:lang w:eastAsia="zh-CN"/>
          </w:rPr>
          <w:t>十、生产安全保护</w:t>
        </w:r>
        <w:r>
          <w:tab/>
        </w:r>
        <w:r>
          <w:fldChar w:fldCharType="begin"/>
        </w:r>
        <w:r>
          <w:instrText xml:space="preserve"> PAGEREF _Toc20543 \h </w:instrText>
        </w:r>
        <w:r>
          <w:fldChar w:fldCharType="separate"/>
        </w:r>
        <w:r>
          <w:t>34</w:t>
        </w:r>
        <w:r>
          <w:fldChar w:fldCharType="end"/>
        </w:r>
      </w:hyperlink>
    </w:p>
    <w:p>
      <w:pPr>
        <w:pStyle w:val="TOC2"/>
        <w:tabs>
          <w:tab w:val="right" w:leader="dot" w:pos="8306"/>
        </w:tabs>
      </w:pPr>
      <w:hyperlink w:anchor="_Toc28984" w:history="1">
        <w:r>
          <w:rPr>
            <w:rFonts w:ascii="仿宋" w:eastAsia="仿宋" w:hAnsi="仿宋" w:cs="仿宋" w:hint="eastAsia"/>
            <w:lang w:eastAsia="zh-CN"/>
          </w:rPr>
          <w:t>(一)、消防安全</w:t>
        </w:r>
        <w:r>
          <w:tab/>
        </w:r>
        <w:r>
          <w:fldChar w:fldCharType="begin"/>
        </w:r>
        <w:r>
          <w:instrText xml:space="preserve"> PAGEREF _Toc28984 \h </w:instrText>
        </w:r>
        <w:r>
          <w:fldChar w:fldCharType="separate"/>
        </w:r>
        <w:r>
          <w:t>34</w:t>
        </w:r>
        <w:r>
          <w:fldChar w:fldCharType="end"/>
        </w:r>
      </w:hyperlink>
    </w:p>
    <w:p>
      <w:pPr>
        <w:pStyle w:val="TOC2"/>
        <w:tabs>
          <w:tab w:val="right" w:leader="dot" w:pos="8306"/>
        </w:tabs>
      </w:pPr>
      <w:hyperlink w:anchor="_Toc9923" w:history="1">
        <w:r>
          <w:rPr>
            <w:rFonts w:ascii="仿宋" w:eastAsia="仿宋" w:hAnsi="仿宋" w:cs="仿宋" w:hint="eastAsia"/>
            <w:lang w:eastAsia="zh-CN"/>
          </w:rPr>
          <w:t>(二)、防火防爆总图布置措施</w:t>
        </w:r>
        <w:r>
          <w:tab/>
        </w:r>
        <w:r>
          <w:fldChar w:fldCharType="begin"/>
        </w:r>
        <w:r>
          <w:instrText xml:space="preserve"> PAGEREF _Toc9923 \h </w:instrText>
        </w:r>
        <w:r>
          <w:fldChar w:fldCharType="separate"/>
        </w:r>
        <w:r>
          <w:t>36</w:t>
        </w:r>
        <w:r>
          <w:fldChar w:fldCharType="end"/>
        </w:r>
      </w:hyperlink>
    </w:p>
    <w:p>
      <w:pPr>
        <w:pStyle w:val="TOC2"/>
        <w:tabs>
          <w:tab w:val="right" w:leader="dot" w:pos="8306"/>
        </w:tabs>
      </w:pPr>
      <w:hyperlink w:anchor="_Toc8685" w:history="1">
        <w:r>
          <w:rPr>
            <w:rFonts w:ascii="仿宋" w:eastAsia="仿宋" w:hAnsi="仿宋" w:cs="仿宋" w:hint="eastAsia"/>
            <w:lang w:eastAsia="zh-CN"/>
          </w:rPr>
          <w:t>(三)、自然灾害防范措施</w:t>
        </w:r>
        <w:r>
          <w:tab/>
        </w:r>
        <w:r>
          <w:fldChar w:fldCharType="begin"/>
        </w:r>
        <w:r>
          <w:instrText xml:space="preserve"> PAGEREF _Toc8685 \h </w:instrText>
        </w:r>
        <w:r>
          <w:fldChar w:fldCharType="separate"/>
        </w:r>
        <w:r>
          <w:t>36</w:t>
        </w:r>
        <w:r>
          <w:fldChar w:fldCharType="end"/>
        </w:r>
      </w:hyperlink>
    </w:p>
    <w:p>
      <w:pPr>
        <w:pStyle w:val="TOC2"/>
        <w:tabs>
          <w:tab w:val="right" w:leader="dot" w:pos="8306"/>
        </w:tabs>
      </w:pPr>
      <w:hyperlink w:anchor="_Toc28034" w:history="1">
        <w:r>
          <w:rPr>
            <w:rFonts w:ascii="仿宋" w:eastAsia="仿宋" w:hAnsi="仿宋" w:cs="仿宋" w:hint="eastAsia"/>
            <w:lang w:eastAsia="zh-CN"/>
          </w:rPr>
          <w:t>(四)、安全色及安全标志使用要求</w:t>
        </w:r>
        <w:r>
          <w:tab/>
        </w:r>
        <w:r>
          <w:fldChar w:fldCharType="begin"/>
        </w:r>
        <w:r>
          <w:instrText xml:space="preserve"> PAGEREF _Toc28034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4" w:history="1">
        <w:r>
          <w:rPr>
            <w:rFonts w:ascii="仿宋" w:eastAsia="仿宋" w:hAnsi="仿宋" w:cs="仿宋" w:hint="eastAsia"/>
            <w:lang w:eastAsia="zh-CN"/>
          </w:rPr>
          <w:t>(五)、防尘防毒措施</w:t>
        </w:r>
        <w:r>
          <w:tab/>
        </w:r>
        <w:r>
          <w:fldChar w:fldCharType="begin"/>
        </w:r>
        <w:r>
          <w:instrText xml:space="preserve"> PAGEREF _Toc25144 \h </w:instrText>
        </w:r>
        <w:r>
          <w:fldChar w:fldCharType="separate"/>
        </w:r>
        <w:r>
          <w:t>39</w:t>
        </w:r>
        <w:r>
          <w:fldChar w:fldCharType="end"/>
        </w:r>
      </w:hyperlink>
    </w:p>
    <w:p>
      <w:pPr>
        <w:pStyle w:val="TOC2"/>
        <w:tabs>
          <w:tab w:val="right" w:leader="dot" w:pos="8306"/>
        </w:tabs>
      </w:pPr>
      <w:hyperlink w:anchor="_Toc4519" w:history="1">
        <w:r>
          <w:rPr>
            <w:rFonts w:ascii="仿宋" w:eastAsia="仿宋" w:hAnsi="仿宋" w:cs="仿宋" w:hint="eastAsia"/>
            <w:lang w:eastAsia="zh-CN"/>
          </w:rPr>
          <w:t>(六)、防静电、触电防护及防雷措施</w:t>
        </w:r>
        <w:r>
          <w:tab/>
        </w:r>
        <w:r>
          <w:fldChar w:fldCharType="begin"/>
        </w:r>
        <w:r>
          <w:instrText xml:space="preserve"> PAGEREF _Toc4519 \h </w:instrText>
        </w:r>
        <w:r>
          <w:fldChar w:fldCharType="separate"/>
        </w:r>
        <w:r>
          <w:t>40</w:t>
        </w:r>
        <w:r>
          <w:fldChar w:fldCharType="end"/>
        </w:r>
      </w:hyperlink>
    </w:p>
    <w:p>
      <w:pPr>
        <w:pStyle w:val="TOC2"/>
        <w:tabs>
          <w:tab w:val="right" w:leader="dot" w:pos="8306"/>
        </w:tabs>
      </w:pPr>
      <w:hyperlink w:anchor="_Toc24273" w:history="1">
        <w:r>
          <w:rPr>
            <w:rFonts w:ascii="仿宋" w:eastAsia="仿宋" w:hAnsi="仿宋" w:cs="仿宋" w:hint="eastAsia"/>
            <w:lang w:eastAsia="zh-CN"/>
          </w:rPr>
          <w:t>(七)、机械设备安全保障措施</w:t>
        </w:r>
        <w:r>
          <w:tab/>
        </w:r>
        <w:r>
          <w:fldChar w:fldCharType="begin"/>
        </w:r>
        <w:r>
          <w:instrText xml:space="preserve"> PAGEREF _Toc24273 \h </w:instrText>
        </w:r>
        <w:r>
          <w:fldChar w:fldCharType="separate"/>
        </w:r>
        <w:r>
          <w:t>41</w:t>
        </w:r>
        <w:r>
          <w:fldChar w:fldCharType="end"/>
        </w:r>
      </w:hyperlink>
    </w:p>
    <w:p>
      <w:pPr>
        <w:pStyle w:val="TOC1"/>
        <w:tabs>
          <w:tab w:val="right" w:leader="dot" w:pos="8306"/>
        </w:tabs>
      </w:pPr>
      <w:hyperlink w:anchor="_Toc6241" w:history="1">
        <w:r>
          <w:rPr>
            <w:rFonts w:ascii="仿宋" w:eastAsia="仿宋" w:hAnsi="仿宋" w:cs="仿宋" w:hint="eastAsia"/>
            <w:lang w:eastAsia="zh-CN"/>
          </w:rPr>
          <w:t>十一、同位素产品及制品项目技术管理</w:t>
        </w:r>
        <w:r>
          <w:tab/>
        </w:r>
        <w:r>
          <w:fldChar w:fldCharType="begin"/>
        </w:r>
        <w:r>
          <w:instrText xml:space="preserve"> PAGEREF _Toc6241 \h </w:instrText>
        </w:r>
        <w:r>
          <w:fldChar w:fldCharType="separate"/>
        </w:r>
        <w:r>
          <w:t>42</w:t>
        </w:r>
        <w:r>
          <w:fldChar w:fldCharType="end"/>
        </w:r>
      </w:hyperlink>
    </w:p>
    <w:p>
      <w:pPr>
        <w:pStyle w:val="TOC2"/>
        <w:tabs>
          <w:tab w:val="right" w:leader="dot" w:pos="8306"/>
        </w:tabs>
      </w:pPr>
      <w:hyperlink w:anchor="_Toc11831" w:history="1">
        <w:r>
          <w:rPr>
            <w:rFonts w:ascii="仿宋" w:eastAsia="仿宋" w:hAnsi="仿宋" w:cs="仿宋" w:hint="eastAsia"/>
            <w:lang w:eastAsia="zh-CN"/>
          </w:rPr>
          <w:t>(一)、技术方案选用方向</w:t>
        </w:r>
        <w:r>
          <w:tab/>
        </w:r>
        <w:r>
          <w:fldChar w:fldCharType="begin"/>
        </w:r>
        <w:r>
          <w:instrText xml:space="preserve"> PAGEREF _Toc11831 \h </w:instrText>
        </w:r>
        <w:r>
          <w:fldChar w:fldCharType="separate"/>
        </w:r>
        <w:r>
          <w:t>42</w:t>
        </w:r>
        <w:r>
          <w:fldChar w:fldCharType="end"/>
        </w:r>
      </w:hyperlink>
    </w:p>
    <w:p>
      <w:pPr>
        <w:pStyle w:val="TOC2"/>
        <w:tabs>
          <w:tab w:val="right" w:leader="dot" w:pos="8306"/>
        </w:tabs>
      </w:pPr>
      <w:hyperlink w:anchor="_Toc29714" w:history="1">
        <w:r>
          <w:rPr>
            <w:rFonts w:ascii="仿宋" w:eastAsia="仿宋" w:hAnsi="仿宋" w:cs="仿宋" w:hint="eastAsia"/>
            <w:lang w:eastAsia="zh-CN"/>
          </w:rPr>
          <w:t>(二)、工艺技术方案选用原则</w:t>
        </w:r>
        <w:r>
          <w:tab/>
        </w:r>
        <w:r>
          <w:fldChar w:fldCharType="begin"/>
        </w:r>
        <w:r>
          <w:instrText xml:space="preserve"> PAGEREF _Toc29714 \h </w:instrText>
        </w:r>
        <w:r>
          <w:fldChar w:fldCharType="separate"/>
        </w:r>
        <w:r>
          <w:t>44</w:t>
        </w:r>
        <w:r>
          <w:fldChar w:fldCharType="end"/>
        </w:r>
      </w:hyperlink>
    </w:p>
    <w:p>
      <w:pPr>
        <w:pStyle w:val="TOC2"/>
        <w:tabs>
          <w:tab w:val="right" w:leader="dot" w:pos="8306"/>
        </w:tabs>
      </w:pPr>
      <w:hyperlink w:anchor="_Toc24478" w:history="1">
        <w:r>
          <w:rPr>
            <w:rFonts w:ascii="仿宋" w:eastAsia="仿宋" w:hAnsi="仿宋" w:cs="仿宋" w:hint="eastAsia"/>
            <w:lang w:eastAsia="zh-CN"/>
          </w:rPr>
          <w:t>(三)、工艺技术方案要求</w:t>
        </w:r>
        <w:r>
          <w:tab/>
        </w:r>
        <w:r>
          <w:fldChar w:fldCharType="begin"/>
        </w:r>
        <w:r>
          <w:instrText xml:space="preserve"> PAGEREF _Toc24478 \h </w:instrText>
        </w:r>
        <w:r>
          <w:fldChar w:fldCharType="separate"/>
        </w:r>
        <w:r>
          <w:t>46</w:t>
        </w:r>
        <w:r>
          <w:fldChar w:fldCharType="end"/>
        </w:r>
      </w:hyperlink>
    </w:p>
    <w:p>
      <w:pPr>
        <w:pStyle w:val="TOC1"/>
        <w:tabs>
          <w:tab w:val="right" w:leader="dot" w:pos="8306"/>
        </w:tabs>
      </w:pPr>
      <w:hyperlink w:anchor="_Toc11278" w:history="1">
        <w:r>
          <w:rPr>
            <w:rFonts w:ascii="仿宋" w:eastAsia="仿宋" w:hAnsi="仿宋" w:cs="仿宋" w:hint="eastAsia"/>
            <w:lang w:eastAsia="zh-CN"/>
          </w:rPr>
          <w:t>十二、同位素产品及制品项目计划安排</w:t>
        </w:r>
        <w:r>
          <w:tab/>
        </w:r>
        <w:r>
          <w:fldChar w:fldCharType="begin"/>
        </w:r>
        <w:r>
          <w:instrText xml:space="preserve"> PAGEREF _Toc11278 \h </w:instrText>
        </w:r>
        <w:r>
          <w:fldChar w:fldCharType="separate"/>
        </w:r>
        <w:r>
          <w:t>49</w:t>
        </w:r>
        <w:r>
          <w:fldChar w:fldCharType="end"/>
        </w:r>
      </w:hyperlink>
    </w:p>
    <w:p>
      <w:pPr>
        <w:pStyle w:val="TOC2"/>
        <w:tabs>
          <w:tab w:val="right" w:leader="dot" w:pos="8306"/>
        </w:tabs>
      </w:pPr>
      <w:hyperlink w:anchor="_Toc1589" w:history="1">
        <w:r>
          <w:rPr>
            <w:rFonts w:ascii="仿宋" w:eastAsia="仿宋" w:hAnsi="仿宋" w:cs="仿宋" w:hint="eastAsia"/>
            <w:lang w:eastAsia="zh-CN"/>
          </w:rPr>
          <w:t>(一)、建设周期</w:t>
        </w:r>
        <w:r>
          <w:tab/>
        </w:r>
        <w:r>
          <w:fldChar w:fldCharType="begin"/>
        </w:r>
        <w:r>
          <w:instrText xml:space="preserve"> PAGEREF _Toc1589 \h </w:instrText>
        </w:r>
        <w:r>
          <w:fldChar w:fldCharType="separate"/>
        </w:r>
        <w:r>
          <w:t>49</w:t>
        </w:r>
        <w:r>
          <w:fldChar w:fldCharType="end"/>
        </w:r>
      </w:hyperlink>
    </w:p>
    <w:p>
      <w:pPr>
        <w:pStyle w:val="TOC2"/>
        <w:tabs>
          <w:tab w:val="right" w:leader="dot" w:pos="8306"/>
        </w:tabs>
      </w:pPr>
      <w:hyperlink w:anchor="_Toc13134" w:history="1">
        <w:r>
          <w:rPr>
            <w:rFonts w:ascii="仿宋" w:eastAsia="仿宋" w:hAnsi="仿宋" w:cs="仿宋" w:hint="eastAsia"/>
            <w:lang w:eastAsia="zh-CN"/>
          </w:rPr>
          <w:t>(二)、建设进度</w:t>
        </w:r>
        <w:r>
          <w:tab/>
        </w:r>
        <w:r>
          <w:fldChar w:fldCharType="begin"/>
        </w:r>
        <w:r>
          <w:instrText xml:space="preserve"> PAGEREF _Toc13134 \h </w:instrText>
        </w:r>
        <w:r>
          <w:fldChar w:fldCharType="separate"/>
        </w:r>
        <w:r>
          <w:t>50</w:t>
        </w:r>
        <w:r>
          <w:fldChar w:fldCharType="end"/>
        </w:r>
      </w:hyperlink>
    </w:p>
    <w:p>
      <w:pPr>
        <w:pStyle w:val="TOC2"/>
        <w:tabs>
          <w:tab w:val="right" w:leader="dot" w:pos="8306"/>
        </w:tabs>
      </w:pPr>
      <w:hyperlink w:anchor="_Toc19334" w:history="1">
        <w:r>
          <w:rPr>
            <w:rFonts w:ascii="仿宋" w:eastAsia="仿宋" w:hAnsi="仿宋" w:cs="仿宋" w:hint="eastAsia"/>
            <w:lang w:eastAsia="zh-CN"/>
          </w:rPr>
          <w:t>(三)、进度安排注意事项</w:t>
        </w:r>
        <w:r>
          <w:tab/>
        </w:r>
        <w:r>
          <w:fldChar w:fldCharType="begin"/>
        </w:r>
        <w:r>
          <w:instrText xml:space="preserve"> PAGEREF _Toc19334 \h </w:instrText>
        </w:r>
        <w:r>
          <w:fldChar w:fldCharType="separate"/>
        </w:r>
        <w:r>
          <w:t>51</w:t>
        </w:r>
        <w:r>
          <w:fldChar w:fldCharType="end"/>
        </w:r>
      </w:hyperlink>
    </w:p>
    <w:p>
      <w:pPr>
        <w:pStyle w:val="TOC2"/>
        <w:tabs>
          <w:tab w:val="right" w:leader="dot" w:pos="8306"/>
        </w:tabs>
      </w:pPr>
      <w:hyperlink w:anchor="_Toc28101" w:history="1">
        <w:r>
          <w:rPr>
            <w:rFonts w:ascii="仿宋" w:eastAsia="仿宋" w:hAnsi="仿宋" w:cs="仿宋" w:hint="eastAsia"/>
            <w:lang w:eastAsia="zh-CN"/>
          </w:rPr>
          <w:t>(四)、人力资源配置</w:t>
        </w:r>
        <w:r>
          <w:tab/>
        </w:r>
        <w:r>
          <w:fldChar w:fldCharType="begin"/>
        </w:r>
        <w:r>
          <w:instrText xml:space="preserve"> PAGEREF _Toc28101 \h </w:instrText>
        </w:r>
        <w:r>
          <w:fldChar w:fldCharType="separate"/>
        </w:r>
        <w:r>
          <w:t>52</w:t>
        </w:r>
        <w:r>
          <w:fldChar w:fldCharType="end"/>
        </w:r>
      </w:hyperlink>
    </w:p>
    <w:p>
      <w:pPr>
        <w:pStyle w:val="TOC1"/>
        <w:tabs>
          <w:tab w:val="right" w:leader="dot" w:pos="8306"/>
        </w:tabs>
      </w:pPr>
      <w:hyperlink w:anchor="_Toc10759" w:history="1">
        <w:r>
          <w:rPr>
            <w:rFonts w:ascii="仿宋" w:eastAsia="仿宋" w:hAnsi="仿宋" w:cs="仿宋" w:hint="eastAsia"/>
            <w:lang w:eastAsia="zh-CN"/>
          </w:rPr>
          <w:t>十三、质量管理体系</w:t>
        </w:r>
        <w:r>
          <w:tab/>
        </w:r>
        <w:r>
          <w:fldChar w:fldCharType="begin"/>
        </w:r>
        <w:r>
          <w:instrText xml:space="preserve"> PAGEREF _Toc10759 \h </w:instrText>
        </w:r>
        <w:r>
          <w:fldChar w:fldCharType="separate"/>
        </w:r>
        <w:r>
          <w:t>53</w:t>
        </w:r>
        <w:r>
          <w:fldChar w:fldCharType="end"/>
        </w:r>
      </w:hyperlink>
    </w:p>
    <w:p>
      <w:pPr>
        <w:pStyle w:val="TOC2"/>
        <w:tabs>
          <w:tab w:val="right" w:leader="dot" w:pos="8306"/>
        </w:tabs>
      </w:pPr>
      <w:hyperlink w:anchor="_Toc8495" w:history="1">
        <w:r>
          <w:rPr>
            <w:rFonts w:ascii="仿宋" w:eastAsia="仿宋" w:hAnsi="仿宋" w:cs="仿宋" w:hint="eastAsia"/>
            <w:lang w:eastAsia="zh-CN"/>
          </w:rPr>
          <w:t>(一)、质量目标与方针</w:t>
        </w:r>
        <w:r>
          <w:tab/>
        </w:r>
        <w:r>
          <w:fldChar w:fldCharType="begin"/>
        </w:r>
        <w:r>
          <w:instrText xml:space="preserve"> PAGEREF _Toc8495 \h </w:instrText>
        </w:r>
        <w:r>
          <w:fldChar w:fldCharType="separate"/>
        </w:r>
        <w:r>
          <w:t>53</w:t>
        </w:r>
        <w:r>
          <w:fldChar w:fldCharType="end"/>
        </w:r>
      </w:hyperlink>
    </w:p>
    <w:p>
      <w:pPr>
        <w:pStyle w:val="TOC2"/>
        <w:tabs>
          <w:tab w:val="right" w:leader="dot" w:pos="8306"/>
        </w:tabs>
      </w:pPr>
      <w:hyperlink w:anchor="_Toc14620" w:history="1">
        <w:r>
          <w:rPr>
            <w:rFonts w:ascii="仿宋" w:eastAsia="仿宋" w:hAnsi="仿宋" w:cs="仿宋" w:hint="eastAsia"/>
            <w:lang w:eastAsia="zh-CN"/>
          </w:rPr>
          <w:t>(二)、质量管理责任</w:t>
        </w:r>
        <w:r>
          <w:tab/>
        </w:r>
        <w:r>
          <w:fldChar w:fldCharType="begin"/>
        </w:r>
        <w:r>
          <w:instrText xml:space="preserve"> PAGEREF _Toc14620 \h </w:instrText>
        </w:r>
        <w:r>
          <w:fldChar w:fldCharType="separate"/>
        </w:r>
        <w:r>
          <w:t>54</w:t>
        </w:r>
        <w:r>
          <w:fldChar w:fldCharType="end"/>
        </w:r>
      </w:hyperlink>
    </w:p>
    <w:p>
      <w:pPr>
        <w:pStyle w:val="TOC2"/>
        <w:tabs>
          <w:tab w:val="right" w:leader="dot" w:pos="8306"/>
        </w:tabs>
      </w:pPr>
      <w:hyperlink w:anchor="_Toc13721" w:history="1">
        <w:r>
          <w:rPr>
            <w:rFonts w:ascii="仿宋" w:eastAsia="仿宋" w:hAnsi="仿宋" w:cs="仿宋" w:hint="eastAsia"/>
            <w:lang w:eastAsia="zh-CN"/>
          </w:rPr>
          <w:t>(三)、质量管理体系文件</w:t>
        </w:r>
        <w:r>
          <w:tab/>
        </w:r>
        <w:r>
          <w:fldChar w:fldCharType="begin"/>
        </w:r>
        <w:r>
          <w:instrText xml:space="preserve"> PAGEREF _Toc13721 \h </w:instrText>
        </w:r>
        <w:r>
          <w:fldChar w:fldCharType="separate"/>
        </w:r>
        <w:r>
          <w:t>55</w:t>
        </w:r>
        <w:r>
          <w:fldChar w:fldCharType="end"/>
        </w:r>
      </w:hyperlink>
    </w:p>
    <w:p>
      <w:pPr>
        <w:pStyle w:val="TOC2"/>
        <w:tabs>
          <w:tab w:val="right" w:leader="dot" w:pos="8306"/>
        </w:tabs>
      </w:pPr>
      <w:hyperlink w:anchor="_Toc32264" w:history="1">
        <w:r>
          <w:rPr>
            <w:rFonts w:ascii="仿宋" w:eastAsia="仿宋" w:hAnsi="仿宋" w:cs="仿宋" w:hint="eastAsia"/>
            <w:lang w:eastAsia="zh-CN"/>
          </w:rPr>
          <w:t>(四)、质量培训与教育</w:t>
        </w:r>
        <w:r>
          <w:tab/>
        </w:r>
        <w:r>
          <w:fldChar w:fldCharType="begin"/>
        </w:r>
        <w:r>
          <w:instrText xml:space="preserve"> PAGEREF _Toc32264 \h </w:instrText>
        </w:r>
        <w:r>
          <w:fldChar w:fldCharType="separate"/>
        </w:r>
        <w:r>
          <w:t>58</w:t>
        </w:r>
        <w:r>
          <w:fldChar w:fldCharType="end"/>
        </w:r>
      </w:hyperlink>
    </w:p>
    <w:p>
      <w:pPr>
        <w:pStyle w:val="TOC2"/>
        <w:tabs>
          <w:tab w:val="right" w:leader="dot" w:pos="8306"/>
        </w:tabs>
      </w:pPr>
      <w:hyperlink w:anchor="_Toc2806" w:history="1">
        <w:r>
          <w:rPr>
            <w:rFonts w:ascii="仿宋" w:eastAsia="仿宋" w:hAnsi="仿宋" w:cs="仿宋" w:hint="eastAsia"/>
            <w:lang w:eastAsia="zh-CN"/>
          </w:rPr>
          <w:t>(五)、质量审核与评价</w:t>
        </w:r>
        <w:r>
          <w:tab/>
        </w:r>
        <w:r>
          <w:fldChar w:fldCharType="begin"/>
        </w:r>
        <w:r>
          <w:instrText xml:space="preserve"> PAGEREF _Toc2806 \h </w:instrText>
        </w:r>
        <w:r>
          <w:fldChar w:fldCharType="separate"/>
        </w:r>
        <w:r>
          <w:t>59</w:t>
        </w:r>
        <w:r>
          <w:fldChar w:fldCharType="end"/>
        </w:r>
      </w:hyperlink>
    </w:p>
    <w:p>
      <w:pPr>
        <w:pStyle w:val="TOC2"/>
        <w:tabs>
          <w:tab w:val="right" w:leader="dot" w:pos="8306"/>
        </w:tabs>
      </w:pPr>
      <w:hyperlink w:anchor="_Toc4525" w:history="1">
        <w:r>
          <w:rPr>
            <w:rFonts w:ascii="仿宋" w:eastAsia="仿宋" w:hAnsi="仿宋" w:cs="仿宋" w:hint="eastAsia"/>
            <w:lang w:eastAsia="zh-CN"/>
          </w:rPr>
          <w:t>(六)、不符合与纠正措施</w:t>
        </w:r>
        <w:r>
          <w:tab/>
        </w:r>
        <w:r>
          <w:fldChar w:fldCharType="begin"/>
        </w:r>
        <w:r>
          <w:instrText xml:space="preserve"> PAGEREF _Toc4525 \h </w:instrText>
        </w:r>
        <w:r>
          <w:fldChar w:fldCharType="separate"/>
        </w:r>
        <w:r>
          <w:t>60</w:t>
        </w:r>
        <w:r>
          <w:fldChar w:fldCharType="end"/>
        </w:r>
      </w:hyperlink>
    </w:p>
    <w:p>
      <w:pPr>
        <w:pStyle w:val="TOC1"/>
        <w:tabs>
          <w:tab w:val="right" w:leader="dot" w:pos="8306"/>
        </w:tabs>
      </w:pPr>
      <w:hyperlink w:anchor="_Toc5235" w:history="1">
        <w:r>
          <w:rPr>
            <w:rFonts w:ascii="仿宋" w:eastAsia="仿宋" w:hAnsi="仿宋" w:cs="仿宋" w:hint="eastAsia"/>
            <w:lang w:eastAsia="zh-CN"/>
          </w:rPr>
          <w:t>十四、同位素产品及制品项目治理与监督</w:t>
        </w:r>
        <w:r>
          <w:tab/>
        </w:r>
        <w:r>
          <w:fldChar w:fldCharType="begin"/>
        </w:r>
        <w:r>
          <w:instrText xml:space="preserve"> PAGEREF _Toc5235 \h </w:instrText>
        </w:r>
        <w:r>
          <w:fldChar w:fldCharType="separate"/>
        </w:r>
        <w:r>
          <w:t>61</w:t>
        </w:r>
        <w:r>
          <w:fldChar w:fldCharType="end"/>
        </w:r>
      </w:hyperlink>
    </w:p>
    <w:p>
      <w:pPr>
        <w:pStyle w:val="TOC2"/>
        <w:tabs>
          <w:tab w:val="right" w:leader="dot" w:pos="8306"/>
        </w:tabs>
      </w:pPr>
      <w:hyperlink w:anchor="_Toc10508" w:history="1">
        <w:r>
          <w:rPr>
            <w:rFonts w:ascii="仿宋" w:eastAsia="仿宋" w:hAnsi="仿宋" w:cs="仿宋" w:hint="eastAsia"/>
            <w:lang w:eastAsia="zh-CN"/>
          </w:rPr>
          <w:t>(一)、同位素产品及制品项目治理结构</w:t>
        </w:r>
        <w:r>
          <w:tab/>
        </w:r>
        <w:r>
          <w:fldChar w:fldCharType="begin"/>
        </w:r>
        <w:r>
          <w:instrText xml:space="preserve"> PAGEREF _Toc10508 \h </w:instrText>
        </w:r>
        <w:r>
          <w:fldChar w:fldCharType="separate"/>
        </w:r>
        <w:r>
          <w:t>61</w:t>
        </w:r>
        <w:r>
          <w:fldChar w:fldCharType="end"/>
        </w:r>
      </w:hyperlink>
    </w:p>
    <w:p>
      <w:pPr>
        <w:pStyle w:val="TOC2"/>
        <w:tabs>
          <w:tab w:val="right" w:leader="dot" w:pos="8306"/>
        </w:tabs>
      </w:pPr>
      <w:hyperlink w:anchor="_Toc12148" w:history="1">
        <w:r>
          <w:rPr>
            <w:rFonts w:ascii="仿宋" w:eastAsia="仿宋" w:hAnsi="仿宋" w:cs="仿宋" w:hint="eastAsia"/>
            <w:lang w:eastAsia="zh-CN"/>
          </w:rPr>
          <w:t>(二)、监督与审计</w:t>
        </w:r>
        <w:r>
          <w:tab/>
        </w:r>
        <w:r>
          <w:fldChar w:fldCharType="begin"/>
        </w:r>
        <w:r>
          <w:instrText xml:space="preserve"> PAGEREF _Toc12148 \h </w:instrText>
        </w:r>
        <w:r>
          <w:fldChar w:fldCharType="separate"/>
        </w:r>
        <w:r>
          <w:t>63</w:t>
        </w:r>
        <w:r>
          <w:fldChar w:fldCharType="end"/>
        </w:r>
      </w:hyperlink>
    </w:p>
    <w:p>
      <w:pPr>
        <w:pStyle w:val="TOC1"/>
        <w:tabs>
          <w:tab w:val="right" w:leader="dot" w:pos="8306"/>
        </w:tabs>
      </w:pPr>
      <w:hyperlink w:anchor="_Toc16084" w:history="1">
        <w:r>
          <w:rPr>
            <w:rFonts w:ascii="仿宋" w:eastAsia="仿宋" w:hAnsi="仿宋" w:cs="仿宋" w:hint="eastAsia"/>
            <w:lang w:eastAsia="zh-CN"/>
          </w:rPr>
          <w:t>十五、同位素产品及制品项目实施保障措施</w:t>
        </w:r>
        <w:r>
          <w:tab/>
        </w:r>
        <w:r>
          <w:fldChar w:fldCharType="begin"/>
        </w:r>
        <w:r>
          <w:instrText xml:space="preserve"> PAGEREF _Toc16084 \h </w:instrText>
        </w:r>
        <w:r>
          <w:fldChar w:fldCharType="separate"/>
        </w:r>
        <w:r>
          <w:t>64</w:t>
        </w:r>
        <w:r>
          <w:fldChar w:fldCharType="end"/>
        </w:r>
      </w:hyperlink>
    </w:p>
    <w:p>
      <w:pPr>
        <w:pStyle w:val="TOC2"/>
        <w:tabs>
          <w:tab w:val="right" w:leader="dot" w:pos="8306"/>
        </w:tabs>
      </w:pPr>
      <w:hyperlink w:anchor="_Toc7000" w:history="1">
        <w:r>
          <w:rPr>
            <w:rFonts w:ascii="仿宋" w:eastAsia="仿宋" w:hAnsi="仿宋" w:cs="仿宋" w:hint="eastAsia"/>
            <w:lang w:eastAsia="zh-CN"/>
          </w:rPr>
          <w:t>(一)、同位素产品及制品项目实施保障机制</w:t>
        </w:r>
        <w:r>
          <w:tab/>
        </w:r>
        <w:r>
          <w:fldChar w:fldCharType="begin"/>
        </w:r>
        <w:r>
          <w:instrText xml:space="preserve"> PAGEREF _Toc7000 \h </w:instrText>
        </w:r>
        <w:r>
          <w:fldChar w:fldCharType="separate"/>
        </w:r>
        <w:r>
          <w:t>64</w:t>
        </w:r>
        <w:r>
          <w:fldChar w:fldCharType="end"/>
        </w:r>
      </w:hyperlink>
    </w:p>
    <w:p>
      <w:pPr>
        <w:pStyle w:val="TOC2"/>
        <w:tabs>
          <w:tab w:val="right" w:leader="dot" w:pos="8306"/>
        </w:tabs>
      </w:pPr>
      <w:hyperlink w:anchor="_Toc20117" w:history="1">
        <w:r>
          <w:rPr>
            <w:rFonts w:ascii="仿宋" w:eastAsia="仿宋" w:hAnsi="仿宋" w:cs="仿宋" w:hint="eastAsia"/>
            <w:lang w:eastAsia="zh-CN"/>
          </w:rPr>
          <w:t>(二)、同位素产品及制品项目法律合规要求</w:t>
        </w:r>
        <w:r>
          <w:tab/>
        </w:r>
        <w:r>
          <w:fldChar w:fldCharType="begin"/>
        </w:r>
        <w:r>
          <w:instrText xml:space="preserve"> PAGEREF _Toc20117 \h </w:instrText>
        </w:r>
        <w:r>
          <w:fldChar w:fldCharType="separate"/>
        </w:r>
        <w:r>
          <w:t>68</w:t>
        </w:r>
        <w:r>
          <w:fldChar w:fldCharType="end"/>
        </w:r>
      </w:hyperlink>
    </w:p>
    <w:p>
      <w:pPr>
        <w:pStyle w:val="TOC2"/>
        <w:tabs>
          <w:tab w:val="right" w:leader="dot" w:pos="8306"/>
        </w:tabs>
      </w:pPr>
      <w:hyperlink w:anchor="_Toc24691" w:history="1">
        <w:r>
          <w:rPr>
            <w:rFonts w:ascii="仿宋" w:eastAsia="仿宋" w:hAnsi="仿宋" w:cs="仿宋" w:hint="eastAsia"/>
            <w:lang w:eastAsia="zh-CN"/>
          </w:rPr>
          <w:t>(三)、同位素产品及制品项目合同管理与法律事务</w:t>
        </w:r>
        <w:r>
          <w:tab/>
        </w:r>
        <w:r>
          <w:fldChar w:fldCharType="begin"/>
        </w:r>
        <w:r>
          <w:instrText xml:space="preserve"> PAGEREF _Toc24691 \h </w:instrText>
        </w:r>
        <w:r>
          <w:fldChar w:fldCharType="separate"/>
        </w:r>
        <w:r>
          <w:t>72</w:t>
        </w:r>
        <w:r>
          <w:fldChar w:fldCharType="end"/>
        </w:r>
      </w:hyperlink>
    </w:p>
    <w:p>
      <w:pPr>
        <w:pStyle w:val="TOC2"/>
        <w:tabs>
          <w:tab w:val="right" w:leader="dot" w:pos="8306"/>
        </w:tabs>
      </w:pPr>
      <w:hyperlink w:anchor="_Toc22089" w:history="1">
        <w:r>
          <w:rPr>
            <w:rFonts w:ascii="仿宋" w:eastAsia="仿宋" w:hAnsi="仿宋" w:cs="仿宋" w:hint="eastAsia"/>
            <w:lang w:eastAsia="zh-CN"/>
          </w:rPr>
          <w:t>(四)、同位素产品及制品项目知识产权保护策略</w:t>
        </w:r>
        <w:r>
          <w:tab/>
        </w:r>
        <w:r>
          <w:fldChar w:fldCharType="begin"/>
        </w:r>
        <w:r>
          <w:instrText xml:space="preserve"> PAGEREF _Toc22089 \h </w:instrText>
        </w:r>
        <w:r>
          <w:fldChar w:fldCharType="separate"/>
        </w:r>
        <w:r>
          <w:t>79</w:t>
        </w:r>
        <w:r>
          <w:fldChar w:fldCharType="end"/>
        </w:r>
      </w:hyperlink>
    </w:p>
    <w:p>
      <w:pPr>
        <w:pStyle w:val="TOC1"/>
        <w:tabs>
          <w:tab w:val="right" w:leader="dot" w:pos="8306"/>
        </w:tabs>
      </w:pPr>
      <w:hyperlink w:anchor="_Toc10218" w:history="1">
        <w:r>
          <w:rPr>
            <w:rFonts w:ascii="仿宋" w:eastAsia="仿宋" w:hAnsi="仿宋" w:cs="仿宋" w:hint="eastAsia"/>
            <w:lang w:eastAsia="zh-CN"/>
          </w:rPr>
          <w:t>十六、同位素产品及制品项目变更管理</w:t>
        </w:r>
        <w:r>
          <w:tab/>
        </w:r>
        <w:r>
          <w:fldChar w:fldCharType="begin"/>
        </w:r>
        <w:r>
          <w:instrText xml:space="preserve"> PAGEREF _Toc10218 \h </w:instrText>
        </w:r>
        <w:r>
          <w:fldChar w:fldCharType="separate"/>
        </w:r>
        <w:r>
          <w:t>81</w:t>
        </w:r>
        <w:r>
          <w:fldChar w:fldCharType="end"/>
        </w:r>
      </w:hyperlink>
    </w:p>
    <w:p>
      <w:pPr>
        <w:pStyle w:val="TOC2"/>
        <w:tabs>
          <w:tab w:val="right" w:leader="dot" w:pos="8306"/>
        </w:tabs>
      </w:pPr>
      <w:hyperlink w:anchor="_Toc14666" w:history="1">
        <w:r>
          <w:rPr>
            <w:rFonts w:ascii="仿宋" w:eastAsia="仿宋" w:hAnsi="仿宋" w:cs="仿宋" w:hint="eastAsia"/>
            <w:lang w:eastAsia="zh-CN"/>
          </w:rPr>
          <w:t>(一)、变更申请与评估</w:t>
        </w:r>
        <w:r>
          <w:tab/>
        </w:r>
        <w:r>
          <w:fldChar w:fldCharType="begin"/>
        </w:r>
        <w:r>
          <w:instrText xml:space="preserve"> PAGEREF _Toc14666 \h </w:instrText>
        </w:r>
        <w:r>
          <w:fldChar w:fldCharType="separate"/>
        </w:r>
        <w:r>
          <w:t>81</w:t>
        </w:r>
        <w:r>
          <w:fldChar w:fldCharType="end"/>
        </w:r>
      </w:hyperlink>
    </w:p>
    <w:p>
      <w:pPr>
        <w:pStyle w:val="TOC2"/>
        <w:tabs>
          <w:tab w:val="right" w:leader="dot" w:pos="8306"/>
        </w:tabs>
      </w:pPr>
      <w:hyperlink w:anchor="_Toc21329" w:history="1">
        <w:r>
          <w:rPr>
            <w:rFonts w:ascii="仿宋" w:eastAsia="仿宋" w:hAnsi="仿宋" w:cs="仿宋" w:hint="eastAsia"/>
            <w:lang w:eastAsia="zh-CN"/>
          </w:rPr>
          <w:t>(二)、变更实施与控制</w:t>
        </w:r>
        <w:r>
          <w:tab/>
        </w:r>
        <w:r>
          <w:fldChar w:fldCharType="begin"/>
        </w:r>
        <w:r>
          <w:instrText xml:space="preserve"> PAGEREF _Toc21329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42"/>
      <w:r>
        <w:rPr>
          <w:rFonts w:ascii="仿宋" w:eastAsia="仿宋" w:hAnsi="仿宋" w:cs="仿宋" w:hint="eastAsia"/>
          <w:sz w:val="28"/>
          <w:lang w:eastAsia="zh-CN"/>
        </w:rPr>
        <w:t>一、同位素产品及制品项目可持续发展</w:t>
      </w:r>
      <w:bookmarkEnd w:id="2"/>
    </w:p>
    <w:p>
      <w:pPr>
        <w:pStyle w:val="Heading2"/>
        <w:rPr>
          <w:rFonts w:ascii="仿宋" w:eastAsia="仿宋" w:hAnsi="仿宋" w:cs="仿宋" w:hint="eastAsia"/>
          <w:lang w:eastAsia="zh-CN"/>
        </w:rPr>
      </w:pPr>
      <w:bookmarkStart w:id="3" w:name="_Toc325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中，同位素产品及制品项目团队着眼于未来，明确了可持续发展的战略方向。制定的具体可持续发展目标包括降低资源使用、采用环保技术、最大化社会效益等。这一步骤不仅有助于同位素产品及制品项目在环保和社会责任方面达到最高标准，也为未来提供了明确的指引，确保同位素产品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可持续实践的融入同位素产品及制品项目管理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同位素产品及制品项目管理周期。从同位素产品及制品项目规划开始，同位素产品及制品项目团队就考虑了环境和社会的因素。在执行阶段，同位素产品及制品项目团队积极推动绿色技术的应用，优化资源利用。此外，关注员工的社会责任，通过培训和沟通活动提高员工对可持续发展的认知，使他们能够在日常工作中践行可持续实践。这些举措不仅为同位素产品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13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同位素产品及制品项目的可持续发展理念，我们深信环保与社会责任是同位素产品及制品项目成功的关键支柱。在同位素产品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团队通过引入先进的环保技术、建立高效的废物处理系统以及推动能源节约措施，积极履行环保责任。定期的环保监测和评估确保同位素产品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同位素产品及制品项目不仅致力于自身可持续发展，还注重对社会的回馈。通过支持社区同位素产品及制品项目、参与慈善事业、提供培训机会等方式，同位素产品及制品项目积极履行社会责任。与当地社区建立积极互动，关注员工的工作与生活平衡，以及员工的身心健康，是同位素产品及制品项目在社会责任层面的关键举措。这样的实践不仅增强了同位素产品及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626"/>
      <w:r>
        <w:rPr>
          <w:rFonts w:ascii="仿宋" w:eastAsia="仿宋" w:hAnsi="仿宋" w:cs="仿宋" w:hint="eastAsia"/>
          <w:sz w:val="28"/>
          <w:lang w:eastAsia="zh-CN"/>
        </w:rPr>
        <w:t>二、同位素产品及制品项目选址可行性分析</w:t>
      </w:r>
      <w:bookmarkEnd w:id="5"/>
    </w:p>
    <w:p>
      <w:pPr>
        <w:pStyle w:val="Heading2"/>
        <w:rPr>
          <w:rFonts w:ascii="仿宋" w:eastAsia="仿宋" w:hAnsi="仿宋" w:cs="仿宋" w:hint="eastAsia"/>
          <w:lang w:eastAsia="zh-CN"/>
        </w:rPr>
      </w:pPr>
      <w:bookmarkStart w:id="6" w:name="_Toc8001"/>
      <w:r>
        <w:rPr>
          <w:rFonts w:ascii="仿宋" w:eastAsia="仿宋" w:hAnsi="仿宋" w:cs="仿宋" w:hint="eastAsia"/>
          <w:lang w:eastAsia="zh-CN"/>
        </w:rPr>
        <w:t>(一)、同位素产品及制品项目选址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该同位素产品及制品项目选址位于XX省XX市XX区XXX街道</w:t>
      </w:r>
    </w:p>
    <w:p>
      <w:pPr>
        <w:pStyle w:val="Heading2"/>
        <w:ind w:firstLine="560" w:firstLineChars="200"/>
        <w:rPr>
          <w:rFonts w:ascii="仿宋" w:eastAsia="仿宋" w:hAnsi="仿宋" w:cs="仿宋" w:hint="eastAsia"/>
          <w:sz w:val="28"/>
          <w:lang w:eastAsia="zh-CN"/>
        </w:rPr>
      </w:pPr>
      <w:bookmarkStart w:id="7" w:name="_Toc133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同位素产品及制品项目的征地面积将根据同位素产品及制品项目的实际规模和需求进行精确规划。具体面积XXX平方米，旨在确保同位素产品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净用地面积是在征地面积基础上去除不可利用面积后的实际可开发用地。具体面积XXX平方米，考虑到环保、交通、安全等多方面因素，以确保同位素产品及制品项目在整体利用效率上达到最优。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同位素产品及制品项目计划建设的建筑总规模具体面积XXX平方米。这一规模的确定综合考虑了同位素产品及制品项目的性质、规模，以及城市规划的相关要求，确保建筑布局与周边环境协调一致。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绿地率是同位素产品及制品项目用地中被规划为绿地的比例。具体面积XXX平方米，旨在通过合理规划绿地，改善同位素产品及制品项目周边环境，提升居民生活质量，并符合城市整体绿化规划。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容积率是用地上可以建设的建筑总体积与用地面积之比。具体面积XXX，通过合理的容积率规划，确保同位素产品及制品项目建筑规模与周边环境和谐共生。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同位素产品及制品项目选址与当地城市规划相一致，具体面积XXX平方米。通过与城市规划部门深入沟通，确保同位素产品及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同位素产品及制品项目选址符合当地产业政策，具体面积XXX平方米。这包括同位素产品及制品项目对当地经济的促进作用，以及对相关产业的带动效应，确保同位素产品及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用地总体要求必须符合环保和可持续发展的原则，具体面积XXX平方米。通过采用绿色建筑设计、节能减排等措施，确保同位素产品及制品项目在建设和运营过程中对环境的影响最小化，达到可持续发展的要求。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确保同位素产品及制品项目选址具备必要的公共设施配套，具体面积XXX平方米。这包括交通便利性、教育、医疗等基础设施，以提高居民生活品质，使得同位素产品及制品项目选址更具吸引力。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考虑用地总体要求对当地社会稳定性的影响，具体面积XXX平方米。通过深入了解当地社区反馈，确保同位素产品及制品项目的选址和建设过程对当地社会和谐稳定产生积极作用。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同位素产品及制品项目选址不仅符合法规和规划，还在实际操作中具有可行性。这一全面规划将为同位素产品及制品项目的成功实施提供坚实的基础，确保同位素产品及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7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同位素产品及制品项目的设备规划和空间设计中，我们将采取灵活设备布局的措施。设备布局将根据实际需求进行灵活设计，避免不必要的浪费。通过合理规划设备摆放位置，我们将提高设备的利用率，减少设备间距，以确保同位素产品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同位素产品及制品项目内部引入共享设施的概念，例如共享会议室、办公区等。通过这种方式，我们可以减少对资源的重复建设，提高资源共享效率，从而减小同位素产品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同位素产品及制品项目的总图布置中，我们将不同功能区域进行明确的规划，以最大程度满足同位素产品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7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同位素产品及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位素产品及制品项目对环境的影响是综合评价的重要因素之一。我们将详细考虑选址周边的自然环境、生态保护区、水源地等情况，确保同位素产品及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对选址的评价还需充分考虑当地政府的产业政策和法规。我们将详细了解同位素产品及制品项目所在地的相关政策，确保同位素产品及制品项目的规划和运营与当地法规相符，降低不必要的法律风险。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考虑到社会稳定性对企业运营的重要性，我们将评估选址地区的社会安全情况、劳工关系、社区反馈等方面，以确保同位素产品及制品项目的建设和运营不会受到社会稳定性的负面影响。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最后，我们将综合考虑用地成本，包括土地购置费用、土地开发成本等。通过对用地成本的详细评估，我们能够做出更为精确的经济效益分析，为同位素产品及制品项目的投资决策提供有力支持。</w:t>
      </w:r>
    </w:p>
    <w:p>
      <w:pPr>
        <w:pStyle w:val="Heading1"/>
        <w:ind w:firstLine="560" w:firstLineChars="200"/>
        <w:rPr>
          <w:rFonts w:ascii="仿宋" w:eastAsia="仿宋" w:hAnsi="仿宋" w:cs="仿宋" w:hint="eastAsia"/>
          <w:sz w:val="28"/>
          <w:lang w:eastAsia="zh-CN"/>
        </w:rPr>
      </w:pPr>
      <w:bookmarkStart w:id="11" w:name="_Toc21731"/>
      <w:r>
        <w:rPr>
          <w:rFonts w:ascii="仿宋" w:eastAsia="仿宋" w:hAnsi="仿宋" w:cs="仿宋" w:hint="eastAsia"/>
          <w:sz w:val="28"/>
          <w:lang w:eastAsia="zh-CN"/>
        </w:rPr>
        <w:t>三、同位素产品及制品项目概论</w:t>
      </w:r>
      <w:bookmarkEnd w:id="11"/>
    </w:p>
    <w:p>
      <w:pPr>
        <w:pStyle w:val="Heading2"/>
        <w:rPr>
          <w:rFonts w:ascii="仿宋" w:eastAsia="仿宋" w:hAnsi="仿宋" w:cs="仿宋" w:hint="eastAsia"/>
          <w:lang w:eastAsia="zh-CN"/>
        </w:rPr>
      </w:pPr>
      <w:bookmarkStart w:id="12" w:name="_Toc22269"/>
      <w:r>
        <w:rPr>
          <w:rFonts w:ascii="仿宋" w:eastAsia="仿宋" w:hAnsi="仿宋" w:cs="仿宋" w:hint="eastAsia"/>
          <w:lang w:eastAsia="zh-CN"/>
        </w:rPr>
        <w:t>(一)、同位素产品及制品项目概况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起源追溯至对市场的深入洞察。市场的不断演变与变革为同位素产品及制品项目提供了难得的机遇。当前市场存在的需求缺口和变革的大环境共同构成了同位素产品及制品项目的背景。这个同位素产品及制品项目旨在充分利用市场机遇，填补行业中尚未满足的需求，为客户提供全新的解决方案。市场的变革和需求的增长使得这个同位素产品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同位素产品及制品项目名称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正式命名为同位素产品及制品。这个名称不仅仅是一个标识，更代表了同位素产品及制品项目的核心理念和愿景。它蕴含着同位素产品及制品项目所要解决问题的关键字，具有强烈的表达和辨识度，为同位素产品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同位素产品及制品项目目标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核心目标是提供一种全新、高效的解决方案，满足客户日益增长的需求。同位素产品及制品项目追求的不仅仅是满足市场需求，更是在市场中获得卓越的竞争优势。通过不断提升产品或服务的质量和创新水平，同位素产品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同位素产品及制品项目范围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全面涵盖了产品研发、制造、市场推广和售后服务，确保从产品设计到最终用户体验的全方位关注。这一全面的同位素产品及制品项目范围是为了确保同位素产品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同位素产品及制品项目时间表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同位素产品及制品项目计划在未来18个月内完成，包括研发、测试、市场试点和正式推出等不同阶段。这个时间表的合理设计是为了确保同位素产品及制品项目各个阶段的顺利推进，以便按时交付高质量的成果。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同位素产品及制品项目预算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总预算估算为XX百万美元，主要分配在研发、市场推广、人员培训和运营等方面。这一充足的预算为同位素产品及制品项目提供了充足的资源，确保同位素产品及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同位素产品及制品项目风险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可能面临的风险包括市场接受度低、技术难题、竞争激烈等。同位素产品及制品项目团队已经制定了相应的风险应对计划，通过前瞻性的风险管理，确保同位素产品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同位素产品及制品项目团队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同位素产品及制品项目汇聚了一支经验丰富、多领域专业素养的核心团队，确保同位素产品及制品项目在各个方面都能拥有高水平的执行力。团队的协同作战是同位素产品及制品项目成功的关键因素之一。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同位素产品及制品项目背景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同位素产品及制品项目的背景根植于市场对更高效、创新产品的渴望，同时也受到科技发展对行业格局的深刻改变的影响。这为同位素产品及制品项目提供了广阔的发展空间和市场需求。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同位素产品及制品项目现状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截至目前，同位素产品及制品项目已完成市场调研和技术验证，取得了初步的成功。这为同位素产品及制品项目在未来的发展奠定了坚实的基础，为更远大的目标打下了坚实的基石。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496"/>
      <w:r>
        <w:rPr>
          <w:rFonts w:ascii="仿宋" w:eastAsia="仿宋" w:hAnsi="仿宋" w:cs="仿宋" w:hint="eastAsia"/>
          <w:sz w:val="28"/>
          <w:lang w:eastAsia="zh-CN"/>
        </w:rPr>
        <w:t>(二)、同位素产品及制品项目目标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同位素产品及制品项目首要业务目标是在市场中占据有利地位，实现产品/服务的成功推广和销售。通过不断提升产品质量、创新性，同位素产品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在科技迅速发展的时代，同位素产品及制品项目着眼于技术创新。通过持续的研发和技术升级，同位素产品及制品项目旨在推出更具创新性的产品或服务，以满足市场对新鲜、先进解决方案的需求。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同位素产品及制品项目设定了客户满意度目标。通过提供卓越的产品质量和优质的客户服务，同位素产品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同位素产品及制品项目注重社会责任和可持续发展。通过实施环保、社会责任同位素产品及制品项目，同位素产品及制品项目致力于在经济发展的同时保护环境，促进社会公平，实现可持续经营。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同位素产品及制品项目的团队是实现目标的核心驱动力。因此，同位素产品及制品项目设定了团队发展目标，包括提升团队成员的专业技能、培养领导力，以及搭建协同高效的团队工作氛围。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223"/>
      <w:r>
        <w:rPr>
          <w:rFonts w:ascii="仿宋" w:eastAsia="仿宋" w:hAnsi="仿宋" w:cs="仿宋" w:hint="eastAsia"/>
          <w:sz w:val="28"/>
          <w:lang w:eastAsia="zh-CN"/>
        </w:rPr>
        <w:t>(三)、同位素产品及制品项目提出的理由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同位素产品及制品项目提出的理由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源于对市场机遇的深刻洞察。当前市场中存在的需求缺口和行业发展趋势表明，有巨大的商业机会等待被开发。通过准确捕捉市场机遇，同位素产品及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理念基于对技术创新的信仰。通过持续的研发和技术投入，同位素产品及制品项目有望推出更具创新性的产品或服务。在科技飞速发展的当下，同位素产品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是为了增强企业的行业竞争力。通过提升产品或服务的质量和独特性，同位素产品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同位素产品及制品项目响应了消费者需求的变化。随着社会和科技的不断发展，消费者对产品和服务的需求也在发生变化。通过深入了解并及时回应消费者的新需求，同位素产品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是企业战略发展规划的一部分。在面对日益激烈的市场竞争和不断变化的商业环境中，同位素产品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不仅仅是基于商业考量，还注重社会责任。通过推出环保、社会责任等方面的同位素产品及制品项目，同位素产品及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同位素产品及制品项目的提出反映了对利益相关者期望的关注。包括客户、员工、投资者等利益相关者在企业发展中都有着各自的期望，同位素产品及制品项目力求在满足这些期望的同时，取得更大的共赢。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344"/>
      <w:r>
        <w:rPr>
          <w:rFonts w:ascii="仿宋" w:eastAsia="仿宋" w:hAnsi="仿宋" w:cs="仿宋" w:hint="eastAsia"/>
          <w:sz w:val="28"/>
          <w:lang w:eastAsia="zh-CN"/>
        </w:rPr>
        <w:t>(四)、同位素产品及制品项目意义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在实施同位素产品及制品项目的过程中，我们不仅仅是在追逐商业成功，更是为企业和社会的多个层面创造了深远的意义。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首要意义在于提升企业的市场竞争力。通过持续的创新和对产品质量的高标准要求，同位素产品及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同位素产品及制品项目的推进将促使行业技术水平的提升。通过引入先进技术和创新性解决方案，同位素产品及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同位素产品及制品项目不仅创造了大量就业机会，提高了就业水平，还注重社会责任和环保。通过参与社会公益事业和推动环保同位素产品及制品项目，同位素产品及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综合而言，同位素产品及制品项目意义重大，不仅推动了企业的发展，也为行业和社会的进步贡献了积极力量。这是一个全面而深刻的影响，将在未来产生可持续的正面效应。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269"/>
      <w:r>
        <w:rPr>
          <w:rFonts w:ascii="仿宋" w:eastAsia="仿宋" w:hAnsi="仿宋" w:cs="仿宋" w:hint="eastAsia"/>
          <w:sz w:val="28"/>
          <w:lang w:eastAsia="zh-CN"/>
        </w:rPr>
        <w:t>(五)、同位素产品及制品项目背景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在当今迅猛发展的商业环境中，同位素产品及制品项目的动因根植于对多方面因素的审慎考量。这个同位素产品及制品项目的提出并非孤立的决策，而是对企业所处背景深入思考的产物。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同位素产品及制品项目背后的首要原因。科技的迅速发展和全球市场的快速变化使得企业必须灵活应对。同位素产品及制品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https://d.book118.com/926102122203010103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C1219"/>
    <w:rsid w:val="263C12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0212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2024-03-06T10:42:00Z</dcterms:created>
  <dcterms:modified xsi:type="dcterms:W3CDTF">2024-03-06T10:43:23Z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08647E99CA2F4DA9B6E3235824074256_11</vt:lpwstr>
  </property>
  <property fmtid="{D5CDD505-2E9C-101B-9397-08002B2CF9AE}" pid="3" name="KSOProductBuildVer">
    <vt:lpwstr>2052-12.1.0.16388</vt:lpwstr>
  </property>
</Properties>
</file>