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r>
        <w:pict>
          <v:rect id="docshape1" o:spid="_x0000_s1025" style="width:595.25pt;height:419.5pt;margin-top:0;margin-left:0;mso-height-relative:page;mso-position-horizontal-relative:page;mso-position-vertical-relative:page;mso-width-relative:page;position:absolute;z-index:-251657216" coordsize="21600,21600" filled="t" fillcolor="#fafafa" stroked="f"/>
        </w:pict>
      </w:r>
      <w:r>
        <w:pict>
          <v:group id="docshapegroup2" o:spid="_x0000_s1026" style="width:38.9pt;height:74.7pt;margin-top:312pt;margin-left:554.85pt;mso-height-relative:page;mso-position-horizontal-relative:page;mso-position-vertical-relative:page;mso-width-relative:page;position:absolute;z-index:251658240" coordorigin="11097,6240" coordsize="778,1494">
            <v:shape id="docshape3" o:spid="_x0000_s1027" style="width:778;height:1215;left:11097;position:absolute;top:6519" coordorigin="11097,6519" coordsize="778,1215" path="m11875,7734l11309,7292,11289,7292,11289,7276,11097,7126,11875,6519,11875,7734xe" filled="t" fillcolor="#dd9545" stroked="f">
              <v:path arrowok="t"/>
            </v:shape>
            <v:shape id="docshape4" o:spid="_x0000_s1028" style="width:778;height:1215;left:11097;position:absolute;top:6240" coordorigin="11097,6240" coordsize="778,1215" path="m11875,7455l11097,6847,11875,6240,11875,7455xe" filled="t" fillcolor="#c3542f" stroked="f">
              <v:path arrowok="t"/>
            </v:shape>
          </v:group>
        </w:pict>
      </w:r>
      <w:r>
        <w:pict>
          <v:group id="docshapegroup5" o:spid="_x0000_s1029" style="width:36.85pt;height:69.25pt;margin-top:11.9pt;margin-left:0;mso-height-relative:page;mso-position-horizontal-relative:page;mso-position-vertical-relative:page;mso-width-relative:page;position:absolute;z-index:-251656192" coordorigin="0,238" coordsize="737,1385">
            <v:shape id="docshape6" o:spid="_x0000_s1030" style="width:737;height:1206;position:absolute;top:238" coordorigin="0,238" coordsize="737,1206" path="m,1444l,238,737,841,,1444xe" filled="t" fillcolor="#dd9545" stroked="f">
              <v:path arrowok="t"/>
            </v:shape>
            <v:shape id="docshape7" o:spid="_x0000_s1031" style="width:737;height:1209;position:absolute;top:414" coordorigin="0,414" coordsize="737,1209" path="m,1623l,414,737,1019,,1623xe" filled="t" fillcolor="#c3542f" stroked="f">
              <v:path arrowok="t"/>
            </v:shape>
          </v:group>
        </w:pict>
      </w:r>
    </w:p>
    <w:p>
      <w:pPr>
        <w:pStyle w:val="BodyText"/>
        <w:rPr>
          <w:rFonts w:ascii="Times New Roman"/>
          <w:sz w:val="20"/>
        </w:rPr>
      </w:pPr>
    </w:p>
    <w:p>
      <w:pPr>
        <w:pStyle w:val="BodyText"/>
        <w:rPr>
          <w:rFonts w:ascii="Times New Roman"/>
          <w:sz w:val="20"/>
        </w:rPr>
      </w:pPr>
    </w:p>
    <w:p>
      <w:pPr>
        <w:pStyle w:val="Title"/>
        <w:tabs>
          <w:tab w:val="left" w:pos="880"/>
        </w:tabs>
      </w:pPr>
      <w:r>
        <w:t>前</w:t>
      </w:r>
      <w:r>
        <w:tab/>
      </w:r>
      <w:r>
        <w:t>言</w:t>
      </w:r>
    </w:p>
    <w:p>
      <w:pPr>
        <w:pStyle w:val="BodyText"/>
        <w:spacing w:before="114" w:line="345" w:lineRule="auto"/>
        <w:ind w:left="215" w:right="347" w:firstLine="420"/>
      </w:pPr>
      <w:r>
        <w:rPr>
          <w:w w:val="95"/>
        </w:rPr>
        <w:t>监理工程师备考已经进入冲刺的关键时期，随着近年来考试难度的增加、考试题目的综合性增强，想要通</w:t>
      </w:r>
      <w:r>
        <w:rPr>
          <w:spacing w:val="78"/>
        </w:rPr>
        <w:t xml:space="preserve"> </w:t>
      </w:r>
      <w:r>
        <w:rPr>
          <w:spacing w:val="79"/>
        </w:rPr>
        <w:t xml:space="preserve"> </w:t>
      </w:r>
      <w:r>
        <w:t>过考试，就需要对各个考试科目扎实锤炼基本功、稳步提高分数！</w:t>
      </w:r>
    </w:p>
    <w:p>
      <w:pPr>
        <w:pStyle w:val="BodyText"/>
        <w:spacing w:before="6" w:line="345" w:lineRule="auto"/>
        <w:ind w:left="215" w:right="350" w:firstLine="420"/>
        <w:jc w:val="both"/>
      </w:pPr>
      <w:r>
        <w:rPr>
          <w:w w:val="95"/>
        </w:rPr>
        <w:t>《强训知识点》针对还未经过系统的精讲课程学习或有一定基础的考生量身打造。通过记忆口诀或关键词</w:t>
      </w:r>
      <w:r>
        <w:rPr>
          <w:spacing w:val="82"/>
        </w:rPr>
        <w:t xml:space="preserve"> </w:t>
      </w:r>
      <w:r>
        <w:rPr>
          <w:spacing w:val="83"/>
        </w:rPr>
        <w:t xml:space="preserve"> </w:t>
      </w:r>
      <w:r>
        <w:rPr>
          <w:w w:val="95"/>
        </w:rPr>
        <w:t>等，在短时间内帮助您梳理及记忆重要考点，精学细学，减轻学习压力，缩短学习时间，能快速熟悉知识点，</w:t>
      </w:r>
      <w:r>
        <w:rPr>
          <w:spacing w:val="87"/>
        </w:rPr>
        <w:t xml:space="preserve"> </w:t>
      </w:r>
      <w:r>
        <w:rPr>
          <w:spacing w:val="88"/>
        </w:rPr>
        <w:t xml:space="preserve"> </w:t>
      </w:r>
      <w:r>
        <w:t>搭配快学突击营直播课程，稳固基础，对点拔高。</w:t>
      </w:r>
    </w:p>
    <w:p>
      <w:pPr>
        <w:pStyle w:val="BodyText"/>
        <w:spacing w:before="8" w:line="345" w:lineRule="auto"/>
        <w:ind w:left="215" w:right="350" w:firstLine="420"/>
      </w:pPr>
      <w:r>
        <w:rPr>
          <w:w w:val="95"/>
        </w:rPr>
        <w:t>博观而约取，厚积而薄发。在学习的道路上从来都没有捷径，循序渐进才能攀登高峰。我们都是追梦人，</w:t>
      </w:r>
      <w:r>
        <w:rPr>
          <w:spacing w:val="76"/>
        </w:rPr>
        <w:t xml:space="preserve"> </w:t>
      </w:r>
      <w:r>
        <w:rPr>
          <w:spacing w:val="77"/>
        </w:rPr>
        <w:t xml:space="preserve"> </w:t>
      </w:r>
      <w:r>
        <w:t>既然选择了远方，便只顾风雨兼程。祝优路所有学员励志笃行今日始，金榜题名会有时。</w:t>
      </w:r>
    </w:p>
    <w:p>
      <w:pPr>
        <w:spacing w:after="0" w:line="345" w:lineRule="auto"/>
        <w:rPr>
          <w:rFonts w:hint="eastAsia"/>
        </w:rPr>
        <w:sectPr>
          <w:type w:val="continuous"/>
          <w:pgSz w:w="11910" w:h="8390" w:orient="landscape"/>
          <w:pgMar w:top="220" w:right="580" w:bottom="280" w:left="680" w:header="720" w:footer="720" w:gutter="0"/>
          <w:cols w:space="708"/>
        </w:sectPr>
      </w:pPr>
      <w:bookmarkStart w:id="0" w:name="_GoBack"/>
      <w:bookmarkEnd w:id="0"/>
    </w:p>
    <w:p>
      <w:pPr>
        <w:pStyle w:val="BodyText"/>
        <w:rPr>
          <w:sz w:val="20"/>
        </w:rPr>
      </w:pPr>
      <w:r>
        <w:pict>
          <v:rect id="docshape8" o:spid="_x0000_s1032" style="width:595.25pt;height:419.5pt;margin-top:0;margin-left:0;mso-height-relative:page;mso-position-horizontal-relative:page;mso-position-vertical-relative:page;mso-width-relative:page;position:absolute;z-index:-251654144" coordsize="21600,21600" filled="t" fillcolor="#fafafa" stroked="f"/>
        </w:pict>
      </w:r>
      <w:r>
        <w:pict>
          <v:group id="docshapegroup9" o:spid="_x0000_s1033" style="width:38.9pt;height:74.7pt;margin-top:312pt;margin-left:554.85pt;mso-height-relative:page;mso-position-horizontal-relative:page;mso-position-vertical-relative:page;mso-width-relative:page;position:absolute;z-index:251661312" coordorigin="11097,6240" coordsize="778,1494">
            <v:shape id="docshape10" o:spid="_x0000_s1034" style="width:778;height:1215;left:11097;position:absolute;top:6519" coordorigin="11097,6519" coordsize="778,1215" path="m11875,7734l11309,7292,11289,7292,11289,7276,11097,7126,11875,6519,11875,7734xe" filled="t" fillcolor="#dd9545" stroked="f">
              <v:path arrowok="t"/>
            </v:shape>
            <v:shape id="docshape11" o:spid="_x0000_s1035" style="width:778;height:1215;left:11097;position:absolute;top:6240" coordorigin="11097,6240" coordsize="778,1215" path="m11875,7455l11097,6847,11875,6240,11875,7455xe" filled="t" fillcolor="#c3542f" stroked="f">
              <v:path arrowok="t"/>
            </v:shape>
          </v:group>
        </w:pict>
      </w:r>
      <w:r>
        <w:pict>
          <v:group id="docshapegroup12" o:spid="_x0000_s1036" style="width:36.85pt;height:69.25pt;margin-top:11.9pt;margin-left:0;mso-height-relative:page;mso-position-horizontal-relative:page;mso-position-vertical-relative:page;mso-width-relative:page;position:absolute;z-index:-251653120" coordorigin="0,238" coordsize="737,1385">
            <v:shape id="docshape13" o:spid="_x0000_s1037" style="width:737;height:1206;position:absolute;top:238" coordorigin="0,238" coordsize="737,1206" path="m,1444l,238,737,841,,1444xe" filled="t" fillcolor="#dd9545" stroked="f">
              <v:path arrowok="t"/>
            </v:shape>
            <v:shape id="docshape14" o:spid="_x0000_s1038"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5"/>
        <w:rPr>
          <w:sz w:val="14"/>
        </w:rPr>
      </w:pPr>
    </w:p>
    <w:p>
      <w:pPr>
        <w:tabs>
          <w:tab w:val="left" w:pos="479"/>
        </w:tabs>
        <w:spacing w:before="38"/>
        <w:ind w:left="0" w:right="100" w:firstLine="0"/>
        <w:jc w:val="center"/>
        <w:rPr>
          <w:b/>
          <w:sz w:val="24"/>
        </w:rPr>
      </w:pPr>
      <w:r>
        <w:rPr>
          <w:b/>
          <w:sz w:val="24"/>
        </w:rPr>
        <w:t>目</w:t>
      </w:r>
      <w:r>
        <w:rPr>
          <w:b/>
          <w:sz w:val="24"/>
        </w:rPr>
        <w:tab/>
      </w:r>
      <w:r>
        <w:rPr>
          <w:b/>
          <w:sz w:val="24"/>
        </w:rPr>
        <w:t>录</w:t>
      </w:r>
    </w:p>
    <w:p>
      <w:pPr>
        <w:pStyle w:val="BodyText"/>
        <w:tabs>
          <w:tab w:val="left" w:leader="dot" w:pos="9582"/>
        </w:tabs>
        <w:spacing w:before="185"/>
        <w:ind w:right="99"/>
        <w:jc w:val="center"/>
      </w:pPr>
      <w:hyperlink w:anchor="_bookmark0" w:history="1">
        <w:r>
          <w:t>强训点</w:t>
        </w:r>
        <w:r>
          <w:rPr>
            <w:spacing w:val="-13"/>
          </w:rPr>
          <w:t xml:space="preserve"> </w:t>
        </w:r>
        <w:r>
          <w:t>1：合理选择适合建设工程特点的合同计价方式</w:t>
        </w:r>
        <w:r>
          <w:rPr>
            <w:rFonts w:ascii="Times New Roman" w:eastAsia="Times New Roman"/>
          </w:rPr>
          <w:tab/>
        </w:r>
        <w:r>
          <w:rPr>
            <w:rFonts w:ascii="Times New Roman" w:eastAsia="Times New Roman"/>
            <w:position w:val="7"/>
          </w:rPr>
          <w:t>.</w:t>
        </w:r>
        <w:r>
          <w:rPr>
            <w:rFonts w:ascii="Times New Roman" w:eastAsia="Times New Roman"/>
            <w:spacing w:val="-4"/>
            <w:position w:val="7"/>
          </w:rPr>
          <w:t xml:space="preserve"> </w:t>
        </w:r>
        <w:r>
          <w:t>- 1 -</w:t>
        </w:r>
      </w:hyperlink>
    </w:p>
    <w:p>
      <w:pPr>
        <w:pStyle w:val="BodyText"/>
        <w:spacing w:before="74"/>
        <w:ind w:left="215"/>
      </w:pPr>
      <w:hyperlink w:anchor="_bookmark1" w:history="1">
        <w:r>
          <w:rPr>
            <w:w w:val="95"/>
            <w:position w:val="-6"/>
          </w:rPr>
          <w:t>强训点</w:t>
        </w:r>
        <w:r>
          <w:rPr>
            <w:spacing w:val="85"/>
            <w:position w:val="-6"/>
          </w:rPr>
          <w:t xml:space="preserve"> </w:t>
        </w:r>
        <w:r>
          <w:rPr>
            <w:w w:val="95"/>
            <w:position w:val="-6"/>
          </w:rPr>
          <w:t>2：合同担保—保证</w:t>
        </w:r>
        <w:r>
          <w:rPr>
            <w:rFonts w:ascii="Times New Roman" w:eastAsia="Times New Roman" w:hAnsi="Times New Roman"/>
            <w:w w:val="95"/>
          </w:rPr>
          <w:t>..........................................................................................................................................</w:t>
        </w:r>
        <w:r>
          <w:rPr>
            <w:w w:val="95"/>
            <w:position w:val="-6"/>
          </w:rPr>
          <w:t>-</w:t>
        </w:r>
        <w:r>
          <w:rPr>
            <w:spacing w:val="117"/>
            <w:position w:val="-6"/>
          </w:rPr>
          <w:t xml:space="preserve"> </w:t>
        </w:r>
        <w:r>
          <w:rPr>
            <w:w w:val="95"/>
            <w:position w:val="-6"/>
          </w:rPr>
          <w:t>4</w:t>
        </w:r>
        <w:r>
          <w:rPr>
            <w:spacing w:val="115"/>
            <w:position w:val="-6"/>
          </w:rPr>
          <w:t xml:space="preserve"> </w:t>
        </w:r>
        <w:r>
          <w:rPr>
            <w:w w:val="95"/>
            <w:position w:val="-6"/>
          </w:rPr>
          <w:t>-</w:t>
        </w:r>
      </w:hyperlink>
    </w:p>
    <w:p>
      <w:pPr>
        <w:pStyle w:val="BodyText"/>
        <w:spacing w:before="74"/>
        <w:ind w:left="215"/>
      </w:pPr>
      <w:hyperlink w:anchor="_bookmark2" w:history="1">
        <w:r>
          <w:rPr>
            <w:w w:val="95"/>
            <w:position w:val="-6"/>
          </w:rPr>
          <w:t>强训点</w:t>
        </w:r>
        <w:r>
          <w:rPr>
            <w:spacing w:val="71"/>
            <w:position w:val="-6"/>
          </w:rPr>
          <w:t xml:space="preserve"> </w:t>
        </w:r>
        <w:r>
          <w:rPr>
            <w:w w:val="95"/>
            <w:position w:val="-6"/>
          </w:rPr>
          <w:t>3：施工投标保证</w:t>
        </w:r>
        <w:r>
          <w:rPr>
            <w:rFonts w:ascii="Times New Roman" w:eastAsia="Times New Roman"/>
            <w:w w:val="95"/>
          </w:rPr>
          <w:t xml:space="preserve">.............................................................................................................................................. </w:t>
        </w:r>
        <w:r>
          <w:rPr>
            <w:w w:val="95"/>
            <w:position w:val="-6"/>
          </w:rPr>
          <w:t>-</w:t>
        </w:r>
        <w:r>
          <w:rPr>
            <w:spacing w:val="99"/>
            <w:position w:val="-6"/>
          </w:rPr>
          <w:t xml:space="preserve"> </w:t>
        </w:r>
        <w:r>
          <w:rPr>
            <w:w w:val="95"/>
            <w:position w:val="-6"/>
          </w:rPr>
          <w:t>6</w:t>
        </w:r>
        <w:r>
          <w:rPr>
            <w:spacing w:val="97"/>
            <w:position w:val="-6"/>
          </w:rPr>
          <w:t xml:space="preserve"> </w:t>
        </w:r>
        <w:r>
          <w:rPr>
            <w:w w:val="95"/>
            <w:position w:val="-6"/>
          </w:rPr>
          <w:t>-</w:t>
        </w:r>
      </w:hyperlink>
    </w:p>
    <w:p>
      <w:pPr>
        <w:pStyle w:val="BodyText"/>
        <w:spacing w:before="71"/>
        <w:ind w:left="215"/>
      </w:pPr>
      <w:hyperlink w:anchor="_bookmark3" w:history="1">
        <w:r>
          <w:rPr>
            <w:w w:val="95"/>
            <w:position w:val="-6"/>
          </w:rPr>
          <w:t>强训点</w:t>
        </w:r>
        <w:r>
          <w:rPr>
            <w:spacing w:val="97"/>
            <w:position w:val="-6"/>
          </w:rPr>
          <w:t xml:space="preserve"> </w:t>
        </w:r>
        <w:r>
          <w:rPr>
            <w:w w:val="95"/>
            <w:position w:val="-6"/>
          </w:rPr>
          <w:t>4：建筑工程一切险（及第三者责任险）</w:t>
        </w:r>
        <w:r>
          <w:rPr>
            <w:rFonts w:ascii="Times New Roman" w:eastAsia="Times New Roman"/>
            <w:w w:val="95"/>
          </w:rPr>
          <w:t>......................................................................................................</w:t>
        </w:r>
        <w:r>
          <w:rPr>
            <w:w w:val="95"/>
            <w:position w:val="-6"/>
          </w:rPr>
          <w:t>-</w:t>
        </w:r>
        <w:r>
          <w:rPr>
            <w:spacing w:val="130"/>
            <w:position w:val="-6"/>
          </w:rPr>
          <w:t xml:space="preserve"> </w:t>
        </w:r>
        <w:r>
          <w:rPr>
            <w:w w:val="95"/>
            <w:position w:val="-6"/>
          </w:rPr>
          <w:t>7</w:t>
        </w:r>
        <w:r>
          <w:rPr>
            <w:spacing w:val="128"/>
            <w:position w:val="-6"/>
          </w:rPr>
          <w:t xml:space="preserve"> </w:t>
        </w:r>
        <w:r>
          <w:rPr>
            <w:w w:val="95"/>
            <w:position w:val="-6"/>
          </w:rPr>
          <w:t>-</w:t>
        </w:r>
      </w:hyperlink>
    </w:p>
    <w:p>
      <w:pPr>
        <w:pStyle w:val="BodyText"/>
        <w:spacing w:before="74"/>
        <w:ind w:left="215"/>
      </w:pPr>
      <w:hyperlink w:anchor="_bookmark4" w:history="1">
        <w:r>
          <w:rPr>
            <w:w w:val="95"/>
            <w:position w:val="-6"/>
          </w:rPr>
          <w:t>强训点</w:t>
        </w:r>
        <w:r>
          <w:rPr>
            <w:spacing w:val="71"/>
            <w:position w:val="-6"/>
          </w:rPr>
          <w:t xml:space="preserve"> </w:t>
        </w:r>
        <w:r>
          <w:rPr>
            <w:w w:val="95"/>
            <w:position w:val="-6"/>
          </w:rPr>
          <w:t>5：工程勘察设计招标方式的分类</w:t>
        </w:r>
        <w:r>
          <w:rPr>
            <w:rFonts w:ascii="Times New Roman" w:eastAsia="Times New Roman"/>
            <w:w w:val="95"/>
          </w:rPr>
          <w:t>...............................................................................................................</w:t>
        </w:r>
        <w:r>
          <w:rPr>
            <w:rFonts w:ascii="Times New Roman" w:eastAsia="Times New Roman"/>
            <w:spacing w:val="57"/>
          </w:rPr>
          <w:t xml:space="preserve"> </w:t>
        </w:r>
        <w:r>
          <w:rPr>
            <w:w w:val="95"/>
            <w:position w:val="-6"/>
          </w:rPr>
          <w:t>-</w:t>
        </w:r>
        <w:r>
          <w:rPr>
            <w:spacing w:val="100"/>
            <w:position w:val="-6"/>
          </w:rPr>
          <w:t xml:space="preserve"> </w:t>
        </w:r>
        <w:r>
          <w:rPr>
            <w:w w:val="95"/>
            <w:position w:val="-6"/>
          </w:rPr>
          <w:t>10</w:t>
        </w:r>
        <w:r>
          <w:rPr>
            <w:spacing w:val="103"/>
            <w:position w:val="-6"/>
          </w:rPr>
          <w:t xml:space="preserve"> </w:t>
        </w:r>
        <w:r>
          <w:rPr>
            <w:w w:val="95"/>
            <w:position w:val="-6"/>
          </w:rPr>
          <w:t>-</w:t>
        </w:r>
      </w:hyperlink>
    </w:p>
    <w:p>
      <w:pPr>
        <w:pStyle w:val="BodyText"/>
        <w:spacing w:before="73"/>
        <w:ind w:left="215"/>
      </w:pPr>
      <w:hyperlink w:anchor="_bookmark5" w:history="1">
        <w:r>
          <w:rPr>
            <w:w w:val="95"/>
            <w:position w:val="-6"/>
          </w:rPr>
          <w:t>强训点</w:t>
        </w:r>
        <w:r>
          <w:rPr>
            <w:spacing w:val="85"/>
            <w:position w:val="-6"/>
          </w:rPr>
          <w:t xml:space="preserve"> </w:t>
        </w:r>
        <w:r>
          <w:rPr>
            <w:w w:val="95"/>
            <w:position w:val="-6"/>
          </w:rPr>
          <w:t>6：工程勘察设计评标</w:t>
        </w:r>
        <w:r>
          <w:rPr>
            <w:rFonts w:ascii="Times New Roman" w:eastAsia="Times New Roman"/>
            <w:w w:val="95"/>
          </w:rPr>
          <w:t>....................................................................................................................................</w:t>
        </w:r>
        <w:r>
          <w:rPr>
            <w:w w:val="95"/>
            <w:position w:val="-6"/>
          </w:rPr>
          <w:t>-</w:t>
        </w:r>
        <w:r>
          <w:rPr>
            <w:spacing w:val="116"/>
            <w:position w:val="-6"/>
          </w:rPr>
          <w:t xml:space="preserve"> </w:t>
        </w:r>
        <w:r>
          <w:rPr>
            <w:w w:val="95"/>
            <w:position w:val="-6"/>
          </w:rPr>
          <w:t>12</w:t>
        </w:r>
        <w:r>
          <w:rPr>
            <w:spacing w:val="120"/>
            <w:position w:val="-6"/>
          </w:rPr>
          <w:t xml:space="preserve"> </w:t>
        </w:r>
        <w:r>
          <w:rPr>
            <w:w w:val="95"/>
            <w:position w:val="-6"/>
          </w:rPr>
          <w:t>-</w:t>
        </w:r>
      </w:hyperlink>
    </w:p>
    <w:p>
      <w:pPr>
        <w:pStyle w:val="BodyText"/>
        <w:spacing w:before="72"/>
        <w:ind w:left="215"/>
      </w:pPr>
      <w:hyperlink w:anchor="_bookmark6" w:history="1">
        <w:r>
          <w:rPr>
            <w:w w:val="95"/>
            <w:position w:val="-6"/>
          </w:rPr>
          <w:t>强训点</w:t>
        </w:r>
        <w:r>
          <w:rPr>
            <w:spacing w:val="85"/>
            <w:position w:val="-6"/>
          </w:rPr>
          <w:t xml:space="preserve"> </w:t>
        </w:r>
        <w:r>
          <w:rPr>
            <w:w w:val="95"/>
            <w:position w:val="-6"/>
          </w:rPr>
          <w:t>7：工程施工招标程序</w:t>
        </w:r>
        <w:r>
          <w:rPr>
            <w:rFonts w:ascii="Times New Roman" w:eastAsia="Times New Roman"/>
            <w:w w:val="95"/>
          </w:rPr>
          <w:t>....................................................................................................................................</w:t>
        </w:r>
        <w:r>
          <w:rPr>
            <w:w w:val="95"/>
            <w:position w:val="-6"/>
          </w:rPr>
          <w:t>-</w:t>
        </w:r>
        <w:r>
          <w:rPr>
            <w:spacing w:val="116"/>
            <w:position w:val="-6"/>
          </w:rPr>
          <w:t xml:space="preserve"> </w:t>
        </w:r>
        <w:r>
          <w:rPr>
            <w:w w:val="95"/>
            <w:position w:val="-6"/>
          </w:rPr>
          <w:t>14</w:t>
        </w:r>
        <w:r>
          <w:rPr>
            <w:spacing w:val="120"/>
            <w:position w:val="-6"/>
          </w:rPr>
          <w:t xml:space="preserve"> </w:t>
        </w:r>
        <w:r>
          <w:rPr>
            <w:w w:val="95"/>
            <w:position w:val="-6"/>
          </w:rPr>
          <w:t>-</w:t>
        </w:r>
      </w:hyperlink>
    </w:p>
    <w:p>
      <w:pPr>
        <w:pStyle w:val="BodyText"/>
        <w:spacing w:before="73"/>
        <w:ind w:left="215"/>
      </w:pPr>
      <w:hyperlink w:anchor="_bookmark7" w:history="1">
        <w:r>
          <w:rPr>
            <w:w w:val="95"/>
            <w:position w:val="-6"/>
          </w:rPr>
          <w:t>强训点</w:t>
        </w:r>
        <w:r>
          <w:rPr>
            <w:spacing w:val="83"/>
            <w:position w:val="-6"/>
          </w:rPr>
          <w:t xml:space="preserve"> </w:t>
        </w:r>
        <w:r>
          <w:rPr>
            <w:w w:val="95"/>
            <w:position w:val="-6"/>
          </w:rPr>
          <w:t>8：施工评标办法</w:t>
        </w:r>
        <w:r>
          <w:rPr>
            <w:rFonts w:ascii="Times New Roman" w:eastAsia="Times New Roman"/>
            <w:w w:val="95"/>
          </w:rPr>
          <w:t>............................................................................................................................................</w:t>
        </w:r>
        <w:r>
          <w:rPr>
            <w:w w:val="95"/>
            <w:position w:val="-6"/>
          </w:rPr>
          <w:t>-</w:t>
        </w:r>
        <w:r>
          <w:rPr>
            <w:spacing w:val="115"/>
            <w:position w:val="-6"/>
          </w:rPr>
          <w:t xml:space="preserve"> </w:t>
        </w:r>
        <w:r>
          <w:rPr>
            <w:w w:val="95"/>
            <w:position w:val="-6"/>
          </w:rPr>
          <w:t>17</w:t>
        </w:r>
        <w:r>
          <w:rPr>
            <w:spacing w:val="118"/>
            <w:position w:val="-6"/>
          </w:rPr>
          <w:t xml:space="preserve"> </w:t>
        </w:r>
        <w:r>
          <w:rPr>
            <w:w w:val="95"/>
            <w:position w:val="-6"/>
          </w:rPr>
          <w:t>-</w:t>
        </w:r>
      </w:hyperlink>
    </w:p>
    <w:p>
      <w:pPr>
        <w:pStyle w:val="BodyText"/>
        <w:spacing w:before="74"/>
        <w:ind w:left="215"/>
      </w:pPr>
      <w:hyperlink w:anchor="_bookmark8" w:history="1">
        <w:r>
          <w:rPr>
            <w:w w:val="95"/>
            <w:position w:val="-6"/>
          </w:rPr>
          <w:t>强训点</w:t>
        </w:r>
        <w:r>
          <w:rPr>
            <w:spacing w:val="66"/>
            <w:position w:val="-6"/>
          </w:rPr>
          <w:t xml:space="preserve"> </w:t>
        </w:r>
        <w:r>
          <w:rPr>
            <w:w w:val="95"/>
            <w:position w:val="-6"/>
          </w:rPr>
          <w:t>9：材料设备采购招标特点</w:t>
        </w:r>
        <w:r>
          <w:rPr>
            <w:rFonts w:ascii="Times New Roman" w:eastAsia="Times New Roman"/>
            <w:w w:val="95"/>
          </w:rPr>
          <w:t>...........................................................................................................................</w:t>
        </w:r>
        <w:r>
          <w:rPr>
            <w:rFonts w:ascii="Times New Roman" w:eastAsia="Times New Roman"/>
            <w:spacing w:val="69"/>
          </w:rPr>
          <w:t xml:space="preserve"> </w:t>
        </w:r>
        <w:r>
          <w:rPr>
            <w:w w:val="95"/>
            <w:position w:val="-6"/>
          </w:rPr>
          <w:t>-</w:t>
        </w:r>
        <w:r>
          <w:rPr>
            <w:spacing w:val="93"/>
            <w:position w:val="-6"/>
          </w:rPr>
          <w:t xml:space="preserve"> </w:t>
        </w:r>
        <w:r>
          <w:rPr>
            <w:w w:val="95"/>
            <w:position w:val="-6"/>
          </w:rPr>
          <w:t>20</w:t>
        </w:r>
        <w:r>
          <w:rPr>
            <w:spacing w:val="95"/>
            <w:position w:val="-6"/>
          </w:rPr>
          <w:t xml:space="preserve"> </w:t>
        </w:r>
        <w:r>
          <w:rPr>
            <w:w w:val="95"/>
            <w:position w:val="-6"/>
          </w:rPr>
          <w:t>-</w:t>
        </w:r>
      </w:hyperlink>
    </w:p>
    <w:p>
      <w:pPr>
        <w:pStyle w:val="BodyText"/>
        <w:spacing w:before="71"/>
        <w:ind w:left="215"/>
      </w:pPr>
      <w:hyperlink w:anchor="_bookmark9" w:history="1">
        <w:r>
          <w:rPr>
            <w:w w:val="95"/>
            <w:position w:val="-6"/>
          </w:rPr>
          <w:t>强训点</w:t>
        </w:r>
        <w:r>
          <w:rPr>
            <w:spacing w:val="66"/>
            <w:position w:val="-6"/>
          </w:rPr>
          <w:t xml:space="preserve"> </w:t>
        </w:r>
        <w:r>
          <w:rPr>
            <w:w w:val="95"/>
            <w:position w:val="-6"/>
          </w:rPr>
          <w:t>10：设备采购招标</w:t>
        </w:r>
        <w:r>
          <w:rPr>
            <w:rFonts w:ascii="Times New Roman" w:eastAsia="Times New Roman"/>
            <w:w w:val="95"/>
          </w:rPr>
          <w:t xml:space="preserve">......................................................................................................................................... </w:t>
        </w:r>
        <w:r>
          <w:rPr>
            <w:w w:val="95"/>
            <w:position w:val="-6"/>
          </w:rPr>
          <w:t>-</w:t>
        </w:r>
        <w:r>
          <w:rPr>
            <w:spacing w:val="86"/>
            <w:position w:val="-6"/>
          </w:rPr>
          <w:t xml:space="preserve"> </w:t>
        </w:r>
        <w:r>
          <w:rPr>
            <w:w w:val="95"/>
            <w:position w:val="-6"/>
          </w:rPr>
          <w:t>23</w:t>
        </w:r>
        <w:r>
          <w:rPr>
            <w:spacing w:val="97"/>
            <w:position w:val="-6"/>
          </w:rPr>
          <w:t xml:space="preserve"> </w:t>
        </w:r>
        <w:r>
          <w:rPr>
            <w:w w:val="95"/>
            <w:position w:val="-6"/>
          </w:rPr>
          <w:t>-</w:t>
        </w:r>
      </w:hyperlink>
    </w:p>
    <w:p>
      <w:pPr>
        <w:pStyle w:val="BodyText"/>
        <w:spacing w:before="74"/>
        <w:ind w:left="215"/>
      </w:pPr>
      <w:hyperlink w:anchor="_bookmark10" w:history="1">
        <w:r>
          <w:rPr>
            <w:w w:val="95"/>
            <w:position w:val="-6"/>
          </w:rPr>
          <w:t>强训点</w:t>
        </w:r>
        <w:r>
          <w:rPr>
            <w:spacing w:val="69"/>
            <w:position w:val="-6"/>
          </w:rPr>
          <w:t xml:space="preserve"> </w:t>
        </w:r>
        <w:r>
          <w:rPr>
            <w:w w:val="95"/>
            <w:position w:val="-6"/>
          </w:rPr>
          <w:t>11：设备采购的评标</w:t>
        </w:r>
        <w:r>
          <w:rPr>
            <w:rFonts w:ascii="Times New Roman" w:eastAsia="Times New Roman"/>
            <w:w w:val="95"/>
          </w:rPr>
          <w:t xml:space="preserve">..................................................................................................................................... </w:t>
        </w:r>
        <w:r>
          <w:rPr>
            <w:w w:val="95"/>
            <w:position w:val="-6"/>
          </w:rPr>
          <w:t>-</w:t>
        </w:r>
        <w:r>
          <w:rPr>
            <w:spacing w:val="89"/>
            <w:position w:val="-6"/>
          </w:rPr>
          <w:t xml:space="preserve"> </w:t>
        </w:r>
        <w:r>
          <w:rPr>
            <w:w w:val="95"/>
            <w:position w:val="-6"/>
          </w:rPr>
          <w:t>24</w:t>
        </w:r>
        <w:r>
          <w:rPr>
            <w:spacing w:val="100"/>
            <w:position w:val="-6"/>
          </w:rPr>
          <w:t xml:space="preserve"> </w:t>
        </w:r>
        <w:r>
          <w:rPr>
            <w:w w:val="95"/>
            <w:position w:val="-6"/>
          </w:rPr>
          <w:t>-</w:t>
        </w:r>
      </w:hyperlink>
    </w:p>
    <w:p>
      <w:pPr>
        <w:spacing w:after="0"/>
        <w:sectPr>
          <w:pgSz w:w="11910" w:h="8390" w:orient="landscape"/>
          <w:pgMar w:top="220" w:right="580" w:bottom="280" w:left="680" w:header="720" w:footer="720" w:gutter="0"/>
          <w:pgNumType w:start="2"/>
          <w:cols w:space="708"/>
        </w:sectPr>
      </w:pPr>
    </w:p>
    <w:p>
      <w:pPr>
        <w:pStyle w:val="BodyText"/>
        <w:rPr>
          <w:sz w:val="20"/>
        </w:rPr>
      </w:pPr>
      <w:r>
        <w:pict>
          <v:rect id="docshape15" o:spid="_x0000_s1039" style="width:595.25pt;height:419.5pt;margin-top:0;margin-left:0;mso-height-relative:page;mso-position-horizontal-relative:page;mso-position-vertical-relative:page;mso-width-relative:page;position:absolute;z-index:-251651072" coordsize="21600,21600" filled="t" fillcolor="#fafafa" stroked="f"/>
        </w:pict>
      </w:r>
      <w:r>
        <w:pict>
          <v:group id="docshapegroup16" o:spid="_x0000_s1040" style="width:38.9pt;height:74.7pt;margin-top:312pt;margin-left:554.85pt;mso-height-relative:page;mso-position-horizontal-relative:page;mso-position-vertical-relative:page;mso-width-relative:page;position:absolute;z-index:251664384" coordorigin="11097,6240" coordsize="778,1494">
            <v:shape id="docshape17" o:spid="_x0000_s1041" style="width:778;height:1215;left:11097;position:absolute;top:6519" coordorigin="11097,6519" coordsize="778,1215" path="m11875,7734l11309,7292,11289,7292,11289,7276,11097,7126,11875,6519,11875,7734xe" filled="t" fillcolor="#dd9545" stroked="f">
              <v:path arrowok="t"/>
            </v:shape>
            <v:shape id="docshape18" o:spid="_x0000_s1042" style="width:778;height:1215;left:11097;position:absolute;top:6240" coordorigin="11097,6240" coordsize="778,1215" path="m11875,7455l11097,6847,11875,6240,11875,7455xe" filled="t" fillcolor="#c3542f" stroked="f">
              <v:path arrowok="t"/>
            </v:shape>
          </v:group>
        </w:pict>
      </w:r>
      <w:r>
        <w:pict>
          <v:group id="docshapegroup19" o:spid="_x0000_s1043" style="width:36.85pt;height:69.25pt;margin-top:11.9pt;margin-left:0;mso-height-relative:page;mso-position-horizontal-relative:page;mso-position-vertical-relative:page;mso-width-relative:page;position:absolute;z-index:-251650048" coordorigin="0,238" coordsize="737,1385">
            <v:shape id="docshape20" o:spid="_x0000_s1044" style="width:737;height:1206;position:absolute;top:238" coordorigin="0,238" coordsize="737,1206" path="m,1444l,238,737,841,,1444xe" filled="t" fillcolor="#dd9545" stroked="f">
              <v:path arrowok="t"/>
            </v:shape>
            <v:shape id="docshape21" o:spid="_x0000_s1045"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BodyText"/>
        <w:tabs>
          <w:tab w:val="left" w:leader="dot" w:pos="9703"/>
        </w:tabs>
        <w:spacing w:before="79"/>
        <w:ind w:left="215"/>
      </w:pPr>
      <w:hyperlink w:anchor="_bookmark11" w:history="1">
        <w:r>
          <w:t>强训点</w:t>
        </w:r>
        <w:r>
          <w:rPr>
            <w:spacing w:val="-13"/>
          </w:rPr>
          <w:t xml:space="preserve"> </w:t>
        </w:r>
        <w:r>
          <w:t>12：建设工程合同的内容和合同当事人</w:t>
        </w:r>
        <w:r>
          <w:rPr>
            <w:rFonts w:ascii="Times New Roman" w:eastAsia="Times New Roman"/>
          </w:rPr>
          <w:tab/>
        </w:r>
        <w:r>
          <w:rPr>
            <w:rFonts w:ascii="Times New Roman" w:eastAsia="Times New Roman"/>
            <w:spacing w:val="10"/>
            <w:position w:val="7"/>
          </w:rPr>
          <w:t>.</w:t>
        </w:r>
        <w:r>
          <w:rPr>
            <w:spacing w:val="10"/>
          </w:rPr>
          <w:t>-</w:t>
        </w:r>
        <w:r>
          <w:rPr>
            <w:spacing w:val="-3"/>
          </w:rPr>
          <w:t xml:space="preserve"> </w:t>
        </w:r>
        <w:r>
          <w:t>25</w:t>
        </w:r>
        <w:r>
          <w:rPr>
            <w:spacing w:val="1"/>
          </w:rPr>
          <w:t xml:space="preserve"> </w:t>
        </w:r>
        <w:r>
          <w:t>-</w:t>
        </w:r>
      </w:hyperlink>
    </w:p>
    <w:p>
      <w:pPr>
        <w:pStyle w:val="BodyText"/>
        <w:spacing w:before="74"/>
        <w:ind w:left="215"/>
      </w:pPr>
      <w:hyperlink w:anchor="_bookmark12" w:history="1">
        <w:r>
          <w:rPr>
            <w:w w:val="95"/>
            <w:position w:val="-6"/>
          </w:rPr>
          <w:t>强训点</w:t>
        </w:r>
        <w:r>
          <w:rPr>
            <w:spacing w:val="78"/>
            <w:position w:val="-6"/>
          </w:rPr>
          <w:t xml:space="preserve"> </w:t>
        </w:r>
        <w:r>
          <w:rPr>
            <w:w w:val="95"/>
            <w:position w:val="-6"/>
          </w:rPr>
          <w:t>13：建设工程勘察合同履行管理</w:t>
        </w:r>
        <w:r>
          <w:rPr>
            <w:rFonts w:ascii="Times New Roman" w:eastAsia="Times New Roman"/>
            <w:w w:val="95"/>
          </w:rPr>
          <w:t xml:space="preserve">................................................................................................................. </w:t>
        </w:r>
        <w:r>
          <w:rPr>
            <w:w w:val="95"/>
            <w:position w:val="-6"/>
          </w:rPr>
          <w:t>-</w:t>
        </w:r>
        <w:r>
          <w:rPr>
            <w:spacing w:val="99"/>
            <w:position w:val="-6"/>
          </w:rPr>
          <w:t xml:space="preserve"> </w:t>
        </w:r>
        <w:r>
          <w:rPr>
            <w:w w:val="95"/>
            <w:position w:val="-6"/>
          </w:rPr>
          <w:t>26</w:t>
        </w:r>
        <w:r>
          <w:rPr>
            <w:spacing w:val="111"/>
            <w:position w:val="-6"/>
          </w:rPr>
          <w:t xml:space="preserve"> </w:t>
        </w:r>
        <w:r>
          <w:rPr>
            <w:w w:val="95"/>
            <w:position w:val="-6"/>
          </w:rPr>
          <w:t>-</w:t>
        </w:r>
      </w:hyperlink>
    </w:p>
    <w:p>
      <w:pPr>
        <w:pStyle w:val="BodyText"/>
        <w:spacing w:before="74"/>
        <w:ind w:left="215"/>
      </w:pPr>
      <w:hyperlink w:anchor="_bookmark13" w:history="1">
        <w:r>
          <w:rPr>
            <w:w w:val="95"/>
            <w:position w:val="-6"/>
          </w:rPr>
          <w:t>强训点</w:t>
        </w:r>
        <w:r>
          <w:rPr>
            <w:spacing w:val="80"/>
            <w:position w:val="-6"/>
          </w:rPr>
          <w:t xml:space="preserve"> </w:t>
        </w:r>
        <w:r>
          <w:rPr>
            <w:w w:val="95"/>
            <w:position w:val="-6"/>
          </w:rPr>
          <w:t>14：工程设计合同订立和履行管理</w:t>
        </w:r>
        <w:r>
          <w:rPr>
            <w:rFonts w:ascii="Times New Roman" w:eastAsia="Times New Roman"/>
            <w:w w:val="95"/>
          </w:rPr>
          <w:t xml:space="preserve">............................................................................................................. </w:t>
        </w:r>
        <w:r>
          <w:rPr>
            <w:w w:val="95"/>
            <w:position w:val="-6"/>
          </w:rPr>
          <w:t>-</w:t>
        </w:r>
        <w:r>
          <w:rPr>
            <w:spacing w:val="103"/>
            <w:position w:val="-6"/>
          </w:rPr>
          <w:t xml:space="preserve"> </w:t>
        </w:r>
        <w:r>
          <w:rPr>
            <w:w w:val="95"/>
            <w:position w:val="-6"/>
          </w:rPr>
          <w:t>28</w:t>
        </w:r>
        <w:r>
          <w:rPr>
            <w:spacing w:val="114"/>
            <w:position w:val="-6"/>
          </w:rPr>
          <w:t xml:space="preserve"> </w:t>
        </w:r>
        <w:r>
          <w:rPr>
            <w:w w:val="95"/>
            <w:position w:val="-6"/>
          </w:rPr>
          <w:t>-</w:t>
        </w:r>
      </w:hyperlink>
    </w:p>
    <w:p>
      <w:pPr>
        <w:pStyle w:val="BodyText"/>
        <w:spacing w:before="71"/>
        <w:ind w:left="215"/>
      </w:pPr>
      <w:hyperlink w:anchor="_bookmark14" w:history="1">
        <w:r>
          <w:rPr>
            <w:w w:val="95"/>
            <w:position w:val="-6"/>
          </w:rPr>
          <w:t>强训点</w:t>
        </w:r>
        <w:r>
          <w:rPr>
            <w:spacing w:val="63"/>
            <w:position w:val="-6"/>
          </w:rPr>
          <w:t xml:space="preserve"> </w:t>
        </w:r>
        <w:r>
          <w:rPr>
            <w:w w:val="95"/>
            <w:position w:val="-6"/>
          </w:rPr>
          <w:t>15：违约责任</w:t>
        </w:r>
        <w:r>
          <w:rPr>
            <w:rFonts w:ascii="Times New Roman" w:eastAsia="Times New Roman"/>
            <w:w w:val="95"/>
          </w:rPr>
          <w:t>.................................................................................................................................................</w:t>
        </w:r>
        <w:r>
          <w:rPr>
            <w:rFonts w:ascii="Times New Roman" w:eastAsia="Times New Roman"/>
            <w:spacing w:val="52"/>
          </w:rPr>
          <w:t xml:space="preserve"> </w:t>
        </w:r>
        <w:r>
          <w:rPr>
            <w:w w:val="95"/>
            <w:position w:val="-6"/>
          </w:rPr>
          <w:t>-</w:t>
        </w:r>
        <w:r>
          <w:rPr>
            <w:spacing w:val="82"/>
            <w:position w:val="-6"/>
          </w:rPr>
          <w:t xml:space="preserve"> </w:t>
        </w:r>
        <w:r>
          <w:rPr>
            <w:w w:val="95"/>
            <w:position w:val="-6"/>
          </w:rPr>
          <w:t>30</w:t>
        </w:r>
        <w:r>
          <w:rPr>
            <w:spacing w:val="92"/>
            <w:position w:val="-6"/>
          </w:rPr>
          <w:t xml:space="preserve"> </w:t>
        </w:r>
        <w:r>
          <w:rPr>
            <w:w w:val="95"/>
            <w:position w:val="-6"/>
          </w:rPr>
          <w:t>-</w:t>
        </w:r>
      </w:hyperlink>
    </w:p>
    <w:p>
      <w:pPr>
        <w:pStyle w:val="BodyText"/>
        <w:spacing w:before="74"/>
        <w:ind w:left="215"/>
      </w:pPr>
      <w:hyperlink w:anchor="_bookmark15" w:history="1">
        <w:r>
          <w:rPr>
            <w:w w:val="95"/>
            <w:position w:val="-6"/>
          </w:rPr>
          <w:t>强训点</w:t>
        </w:r>
        <w:r>
          <w:rPr>
            <w:spacing w:val="66"/>
            <w:position w:val="-6"/>
          </w:rPr>
          <w:t xml:space="preserve"> </w:t>
        </w:r>
        <w:r>
          <w:rPr>
            <w:w w:val="95"/>
            <w:position w:val="-6"/>
          </w:rPr>
          <w:t>16：合同附件格式</w:t>
        </w:r>
        <w:r>
          <w:rPr>
            <w:rFonts w:ascii="Times New Roman" w:eastAsia="Times New Roman"/>
            <w:w w:val="95"/>
          </w:rPr>
          <w:t xml:space="preserve">......................................................................................................................................... </w:t>
        </w:r>
        <w:r>
          <w:rPr>
            <w:w w:val="95"/>
            <w:position w:val="-6"/>
          </w:rPr>
          <w:t>-</w:t>
        </w:r>
        <w:r>
          <w:rPr>
            <w:spacing w:val="86"/>
            <w:position w:val="-6"/>
          </w:rPr>
          <w:t xml:space="preserve"> </w:t>
        </w:r>
        <w:r>
          <w:rPr>
            <w:w w:val="95"/>
            <w:position w:val="-6"/>
          </w:rPr>
          <w:t>31</w:t>
        </w:r>
        <w:r>
          <w:rPr>
            <w:spacing w:val="97"/>
            <w:position w:val="-6"/>
          </w:rPr>
          <w:t xml:space="preserve"> </w:t>
        </w:r>
        <w:r>
          <w:rPr>
            <w:w w:val="95"/>
            <w:position w:val="-6"/>
          </w:rPr>
          <w:t>-</w:t>
        </w:r>
      </w:hyperlink>
    </w:p>
    <w:p>
      <w:pPr>
        <w:pStyle w:val="BodyText"/>
        <w:spacing w:before="74"/>
        <w:ind w:left="215"/>
      </w:pPr>
      <w:hyperlink w:anchor="_bookmark16" w:history="1">
        <w:r>
          <w:rPr>
            <w:w w:val="95"/>
            <w:position w:val="-6"/>
          </w:rPr>
          <w:t>强训点</w:t>
        </w:r>
        <w:r>
          <w:rPr>
            <w:spacing w:val="78"/>
            <w:position w:val="-6"/>
          </w:rPr>
          <w:t xml:space="preserve"> </w:t>
        </w:r>
        <w:r>
          <w:rPr>
            <w:w w:val="95"/>
            <w:position w:val="-6"/>
          </w:rPr>
          <w:t>17：施工合同有关各方管理职责</w:t>
        </w:r>
        <w:r>
          <w:rPr>
            <w:rFonts w:ascii="Times New Roman" w:eastAsia="Times New Roman"/>
            <w:w w:val="95"/>
          </w:rPr>
          <w:t xml:space="preserve">................................................................................................................. </w:t>
        </w:r>
        <w:r>
          <w:rPr>
            <w:w w:val="95"/>
            <w:position w:val="-6"/>
          </w:rPr>
          <w:t>-</w:t>
        </w:r>
        <w:r>
          <w:rPr>
            <w:spacing w:val="99"/>
            <w:position w:val="-6"/>
          </w:rPr>
          <w:t xml:space="preserve"> </w:t>
        </w:r>
        <w:r>
          <w:rPr>
            <w:w w:val="95"/>
            <w:position w:val="-6"/>
          </w:rPr>
          <w:t>33</w:t>
        </w:r>
        <w:r>
          <w:rPr>
            <w:spacing w:val="111"/>
            <w:position w:val="-6"/>
          </w:rPr>
          <w:t xml:space="preserve"> </w:t>
        </w:r>
        <w:r>
          <w:rPr>
            <w:w w:val="95"/>
            <w:position w:val="-6"/>
          </w:rPr>
          <w:t>-</w:t>
        </w:r>
      </w:hyperlink>
    </w:p>
    <w:p>
      <w:pPr>
        <w:pStyle w:val="BodyText"/>
        <w:spacing w:before="71"/>
        <w:ind w:left="215"/>
      </w:pPr>
      <w:hyperlink w:anchor="_bookmark17" w:history="1">
        <w:r>
          <w:rPr>
            <w:w w:val="95"/>
            <w:position w:val="-6"/>
          </w:rPr>
          <w:t>强训点</w:t>
        </w:r>
        <w:r>
          <w:rPr>
            <w:spacing w:val="63"/>
            <w:position w:val="-6"/>
          </w:rPr>
          <w:t xml:space="preserve"> </w:t>
        </w:r>
        <w:r>
          <w:rPr>
            <w:w w:val="95"/>
            <w:position w:val="-6"/>
          </w:rPr>
          <w:t>18：基准日期</w:t>
        </w:r>
        <w:r>
          <w:rPr>
            <w:rFonts w:ascii="Times New Roman" w:eastAsia="Times New Roman"/>
            <w:w w:val="95"/>
          </w:rPr>
          <w:t>.................................................................................................................................................</w:t>
        </w:r>
        <w:r>
          <w:rPr>
            <w:rFonts w:ascii="Times New Roman" w:eastAsia="Times New Roman"/>
            <w:spacing w:val="52"/>
          </w:rPr>
          <w:t xml:space="preserve"> </w:t>
        </w:r>
        <w:r>
          <w:rPr>
            <w:w w:val="95"/>
            <w:position w:val="-6"/>
          </w:rPr>
          <w:t>-</w:t>
        </w:r>
        <w:r>
          <w:rPr>
            <w:spacing w:val="82"/>
            <w:position w:val="-6"/>
          </w:rPr>
          <w:t xml:space="preserve"> </w:t>
        </w:r>
        <w:r>
          <w:rPr>
            <w:w w:val="95"/>
            <w:position w:val="-6"/>
          </w:rPr>
          <w:t>35</w:t>
        </w:r>
        <w:r>
          <w:rPr>
            <w:spacing w:val="92"/>
            <w:position w:val="-6"/>
          </w:rPr>
          <w:t xml:space="preserve"> </w:t>
        </w:r>
        <w:r>
          <w:rPr>
            <w:w w:val="95"/>
            <w:position w:val="-6"/>
          </w:rPr>
          <w:t>-</w:t>
        </w:r>
      </w:hyperlink>
    </w:p>
    <w:p>
      <w:pPr>
        <w:pStyle w:val="BodyText"/>
        <w:spacing w:before="74"/>
        <w:ind w:left="215"/>
      </w:pPr>
      <w:hyperlink w:anchor="_bookmark18" w:history="1">
        <w:r>
          <w:rPr>
            <w:w w:val="95"/>
            <w:position w:val="-6"/>
          </w:rPr>
          <w:t>强训点</w:t>
        </w:r>
        <w:r>
          <w:rPr>
            <w:spacing w:val="66"/>
            <w:position w:val="-6"/>
          </w:rPr>
          <w:t xml:space="preserve"> </w:t>
        </w:r>
        <w:r>
          <w:rPr>
            <w:w w:val="95"/>
            <w:position w:val="-6"/>
          </w:rPr>
          <w:t>19：明确保险责任</w:t>
        </w:r>
        <w:r>
          <w:rPr>
            <w:rFonts w:ascii="Times New Roman" w:eastAsia="Times New Roman"/>
            <w:w w:val="95"/>
          </w:rPr>
          <w:t xml:space="preserve">......................................................................................................................................... </w:t>
        </w:r>
        <w:r>
          <w:rPr>
            <w:w w:val="95"/>
            <w:position w:val="-6"/>
          </w:rPr>
          <w:t>-</w:t>
        </w:r>
        <w:r>
          <w:rPr>
            <w:spacing w:val="86"/>
            <w:position w:val="-6"/>
          </w:rPr>
          <w:t xml:space="preserve"> </w:t>
        </w:r>
        <w:r>
          <w:rPr>
            <w:w w:val="95"/>
            <w:position w:val="-6"/>
          </w:rPr>
          <w:t>36</w:t>
        </w:r>
        <w:r>
          <w:rPr>
            <w:spacing w:val="97"/>
            <w:position w:val="-6"/>
          </w:rPr>
          <w:t xml:space="preserve"> </w:t>
        </w:r>
        <w:r>
          <w:rPr>
            <w:w w:val="95"/>
            <w:position w:val="-6"/>
          </w:rPr>
          <w:t>-</w:t>
        </w:r>
      </w:hyperlink>
    </w:p>
    <w:p>
      <w:pPr>
        <w:pStyle w:val="BodyText"/>
        <w:spacing w:before="73"/>
        <w:ind w:left="215"/>
      </w:pPr>
      <w:hyperlink w:anchor="_bookmark19" w:history="1">
        <w:r>
          <w:rPr>
            <w:w w:val="95"/>
            <w:position w:val="-6"/>
          </w:rPr>
          <w:t>强训点</w:t>
        </w:r>
        <w:r>
          <w:rPr>
            <w:spacing w:val="74"/>
            <w:position w:val="-6"/>
          </w:rPr>
          <w:t xml:space="preserve"> </w:t>
        </w:r>
        <w:r>
          <w:rPr>
            <w:w w:val="95"/>
            <w:position w:val="-6"/>
          </w:rPr>
          <w:t>20：发包人与承包人的义务</w:t>
        </w:r>
        <w:r>
          <w:rPr>
            <w:rFonts w:ascii="Times New Roman" w:eastAsia="Times New Roman"/>
            <w:w w:val="95"/>
          </w:rPr>
          <w:t xml:space="preserve">......................................................................................................................... </w:t>
        </w:r>
        <w:r>
          <w:rPr>
            <w:w w:val="95"/>
            <w:position w:val="-6"/>
          </w:rPr>
          <w:t>-</w:t>
        </w:r>
        <w:r>
          <w:rPr>
            <w:spacing w:val="95"/>
            <w:position w:val="-6"/>
          </w:rPr>
          <w:t xml:space="preserve"> </w:t>
        </w:r>
        <w:r>
          <w:rPr>
            <w:w w:val="95"/>
            <w:position w:val="-6"/>
          </w:rPr>
          <w:t>38</w:t>
        </w:r>
        <w:r>
          <w:rPr>
            <w:spacing w:val="106"/>
            <w:position w:val="-6"/>
          </w:rPr>
          <w:t xml:space="preserve"> </w:t>
        </w:r>
        <w:r>
          <w:rPr>
            <w:w w:val="95"/>
            <w:position w:val="-6"/>
          </w:rPr>
          <w:t>-</w:t>
        </w:r>
      </w:hyperlink>
    </w:p>
    <w:p>
      <w:pPr>
        <w:pStyle w:val="BodyText"/>
        <w:spacing w:before="72"/>
        <w:ind w:left="215"/>
      </w:pPr>
      <w:hyperlink w:anchor="_bookmark20" w:history="1">
        <w:r>
          <w:rPr>
            <w:w w:val="95"/>
            <w:position w:val="-6"/>
          </w:rPr>
          <w:t>强训点</w:t>
        </w:r>
        <w:r>
          <w:rPr>
            <w:spacing w:val="69"/>
            <w:position w:val="-6"/>
          </w:rPr>
          <w:t xml:space="preserve"> </w:t>
        </w:r>
        <w:r>
          <w:rPr>
            <w:w w:val="95"/>
            <w:position w:val="-6"/>
          </w:rPr>
          <w:t>21：工程款支付管理</w:t>
        </w:r>
        <w:r>
          <w:rPr>
            <w:rFonts w:ascii="Times New Roman" w:eastAsia="Times New Roman"/>
            <w:w w:val="95"/>
          </w:rPr>
          <w:t xml:space="preserve">..................................................................................................................................... </w:t>
        </w:r>
        <w:r>
          <w:rPr>
            <w:w w:val="95"/>
            <w:position w:val="-6"/>
          </w:rPr>
          <w:t>-</w:t>
        </w:r>
        <w:r>
          <w:rPr>
            <w:spacing w:val="89"/>
            <w:position w:val="-6"/>
          </w:rPr>
          <w:t xml:space="preserve"> </w:t>
        </w:r>
        <w:r>
          <w:rPr>
            <w:w w:val="95"/>
            <w:position w:val="-6"/>
          </w:rPr>
          <w:t>41</w:t>
        </w:r>
        <w:r>
          <w:rPr>
            <w:spacing w:val="100"/>
            <w:position w:val="-6"/>
          </w:rPr>
          <w:t xml:space="preserve"> </w:t>
        </w:r>
        <w:r>
          <w:rPr>
            <w:w w:val="95"/>
            <w:position w:val="-6"/>
          </w:rPr>
          <w:t>-</w:t>
        </w:r>
      </w:hyperlink>
    </w:p>
    <w:p>
      <w:pPr>
        <w:pStyle w:val="BodyText"/>
        <w:spacing w:before="73"/>
        <w:ind w:left="215"/>
      </w:pPr>
      <w:hyperlink w:anchor="_bookmark21" w:history="1">
        <w:r>
          <w:rPr>
            <w:w w:val="95"/>
            <w:position w:val="-6"/>
          </w:rPr>
          <w:t>强训点</w:t>
        </w:r>
        <w:r>
          <w:rPr>
            <w:spacing w:val="63"/>
            <w:position w:val="-6"/>
          </w:rPr>
          <w:t xml:space="preserve"> </w:t>
        </w:r>
        <w:r>
          <w:rPr>
            <w:w w:val="95"/>
            <w:position w:val="-6"/>
          </w:rPr>
          <w:t>22：不可抗力</w:t>
        </w:r>
        <w:r>
          <w:rPr>
            <w:rFonts w:ascii="Times New Roman" w:eastAsia="Times New Roman"/>
            <w:w w:val="95"/>
          </w:rPr>
          <w:t>.................................................................................................................................................</w:t>
        </w:r>
        <w:r>
          <w:rPr>
            <w:rFonts w:ascii="Times New Roman" w:eastAsia="Times New Roman"/>
            <w:spacing w:val="52"/>
          </w:rPr>
          <w:t xml:space="preserve"> </w:t>
        </w:r>
        <w:r>
          <w:rPr>
            <w:w w:val="95"/>
            <w:position w:val="-6"/>
          </w:rPr>
          <w:t>-</w:t>
        </w:r>
        <w:r>
          <w:rPr>
            <w:spacing w:val="82"/>
            <w:position w:val="-6"/>
          </w:rPr>
          <w:t xml:space="preserve"> </w:t>
        </w:r>
        <w:r>
          <w:rPr>
            <w:w w:val="95"/>
            <w:position w:val="-6"/>
          </w:rPr>
          <w:t>44</w:t>
        </w:r>
        <w:r>
          <w:rPr>
            <w:spacing w:val="92"/>
            <w:position w:val="-6"/>
          </w:rPr>
          <w:t xml:space="preserve"> </w:t>
        </w:r>
        <w:r>
          <w:rPr>
            <w:w w:val="95"/>
            <w:position w:val="-6"/>
          </w:rPr>
          <w:t>-</w:t>
        </w:r>
      </w:hyperlink>
    </w:p>
    <w:p>
      <w:pPr>
        <w:pStyle w:val="BodyText"/>
        <w:spacing w:before="74"/>
        <w:ind w:left="215"/>
      </w:pPr>
      <w:hyperlink w:anchor="_bookmark22" w:history="1">
        <w:r>
          <w:rPr>
            <w:w w:val="95"/>
            <w:position w:val="-6"/>
          </w:rPr>
          <w:t>强训点</w:t>
        </w:r>
        <w:r>
          <w:rPr>
            <w:spacing w:val="70"/>
            <w:position w:val="-6"/>
          </w:rPr>
          <w:t xml:space="preserve"> </w:t>
        </w:r>
        <w:r>
          <w:rPr>
            <w:w w:val="95"/>
            <w:position w:val="-6"/>
          </w:rPr>
          <w:t>23：承包人的索赔管理</w:t>
        </w:r>
        <w:r>
          <w:rPr>
            <w:rFonts w:ascii="Times New Roman" w:eastAsia="Times New Roman"/>
            <w:w w:val="95"/>
          </w:rPr>
          <w:t xml:space="preserve">................................................................................................................................. </w:t>
        </w:r>
        <w:r>
          <w:rPr>
            <w:w w:val="95"/>
            <w:position w:val="-6"/>
          </w:rPr>
          <w:t>-</w:t>
        </w:r>
        <w:r>
          <w:rPr>
            <w:spacing w:val="91"/>
            <w:position w:val="-6"/>
          </w:rPr>
          <w:t xml:space="preserve"> </w:t>
        </w:r>
        <w:r>
          <w:rPr>
            <w:w w:val="95"/>
            <w:position w:val="-6"/>
          </w:rPr>
          <w:t>45</w:t>
        </w:r>
        <w:r>
          <w:rPr>
            <w:spacing w:val="101"/>
            <w:position w:val="-6"/>
          </w:rPr>
          <w:t xml:space="preserve"> </w:t>
        </w:r>
        <w:r>
          <w:rPr>
            <w:w w:val="95"/>
            <w:position w:val="-6"/>
          </w:rPr>
          <w:t>-</w:t>
        </w:r>
      </w:hyperlink>
    </w:p>
    <w:p>
      <w:pPr>
        <w:pStyle w:val="BodyText"/>
        <w:spacing w:before="71"/>
        <w:ind w:left="215"/>
      </w:pPr>
      <w:hyperlink w:anchor="_bookmark23" w:history="1">
        <w:r>
          <w:rPr>
            <w:w w:val="95"/>
            <w:position w:val="-6"/>
          </w:rPr>
          <w:t>强训点</w:t>
        </w:r>
        <w:r>
          <w:rPr>
            <w:spacing w:val="63"/>
            <w:position w:val="-6"/>
          </w:rPr>
          <w:t xml:space="preserve"> </w:t>
        </w:r>
        <w:r>
          <w:rPr>
            <w:w w:val="95"/>
            <w:position w:val="-6"/>
          </w:rPr>
          <w:t>24：竣工清场</w:t>
        </w:r>
        <w:r>
          <w:rPr>
            <w:rFonts w:ascii="Times New Roman" w:eastAsia="Times New Roman"/>
            <w:w w:val="95"/>
          </w:rPr>
          <w:t>.................................................................................................................................................</w:t>
        </w:r>
        <w:r>
          <w:rPr>
            <w:rFonts w:ascii="Times New Roman" w:eastAsia="Times New Roman"/>
            <w:spacing w:val="52"/>
          </w:rPr>
          <w:t xml:space="preserve"> </w:t>
        </w:r>
        <w:r>
          <w:rPr>
            <w:w w:val="95"/>
            <w:position w:val="-6"/>
          </w:rPr>
          <w:t>-</w:t>
        </w:r>
        <w:r>
          <w:rPr>
            <w:spacing w:val="82"/>
            <w:position w:val="-6"/>
          </w:rPr>
          <w:t xml:space="preserve"> </w:t>
        </w:r>
        <w:r>
          <w:rPr>
            <w:w w:val="95"/>
            <w:position w:val="-6"/>
          </w:rPr>
          <w:t>46</w:t>
        </w:r>
        <w:r>
          <w:rPr>
            <w:spacing w:val="92"/>
            <w:position w:val="-6"/>
          </w:rPr>
          <w:t xml:space="preserve"> </w:t>
        </w:r>
        <w:r>
          <w:rPr>
            <w:w w:val="95"/>
            <w:position w:val="-6"/>
          </w:rPr>
          <w:t>-</w:t>
        </w:r>
      </w:hyperlink>
    </w:p>
    <w:p>
      <w:pPr>
        <w:spacing w:after="0"/>
        <w:sectPr>
          <w:pgSz w:w="11910" w:h="8390" w:orient="landscape"/>
          <w:pgMar w:top="220" w:right="580" w:bottom="280" w:left="680" w:header="720" w:footer="720" w:gutter="0"/>
          <w:pgNumType w:start="3"/>
          <w:cols w:space="708"/>
        </w:sectPr>
      </w:pPr>
    </w:p>
    <w:p>
      <w:pPr>
        <w:pStyle w:val="BodyText"/>
        <w:rPr>
          <w:sz w:val="20"/>
        </w:rPr>
      </w:pPr>
      <w:r>
        <w:pict>
          <v:rect id="docshape22" o:spid="_x0000_s1046" style="width:595.25pt;height:419.5pt;margin-top:0;margin-left:0;mso-height-relative:page;mso-position-horizontal-relative:page;mso-position-vertical-relative:page;mso-width-relative:page;position:absolute;z-index:-251648000" coordsize="21600,21600" filled="t" fillcolor="#fafafa" stroked="f"/>
        </w:pict>
      </w:r>
      <w:r>
        <w:pict>
          <v:group id="docshapegroup23" o:spid="_x0000_s1047" style="width:38.9pt;height:74.7pt;margin-top:312pt;margin-left:554.85pt;mso-height-relative:page;mso-position-horizontal-relative:page;mso-position-vertical-relative:page;mso-width-relative:page;position:absolute;z-index:251667456" coordorigin="11097,6240" coordsize="778,1494">
            <v:shape id="docshape24" o:spid="_x0000_s1048" style="width:778;height:1215;left:11097;position:absolute;top:6519" coordorigin="11097,6519" coordsize="778,1215" path="m11875,7734l11309,7292,11289,7292,11289,7276,11097,7126,11875,6519,11875,7734xe" filled="t" fillcolor="#dd9545" stroked="f">
              <v:path arrowok="t"/>
            </v:shape>
            <v:shape id="docshape25" o:spid="_x0000_s1049" style="width:778;height:1215;left:11097;position:absolute;top:6240" coordorigin="11097,6240" coordsize="778,1215" path="m11875,7455l11097,6847,11875,6240,11875,7455xe" filled="t" fillcolor="#c3542f" stroked="f">
              <v:path arrowok="t"/>
            </v:shape>
          </v:group>
        </w:pict>
      </w:r>
      <w:r>
        <w:pict>
          <v:group id="docshapegroup26" o:spid="_x0000_s1050" style="width:36.85pt;height:69.25pt;margin-top:11.9pt;margin-left:0;mso-height-relative:page;mso-position-horizontal-relative:page;mso-position-vertical-relative:page;mso-width-relative:page;position:absolute;z-index:-251646976" coordorigin="0,238" coordsize="737,1385">
            <v:shape id="docshape27" o:spid="_x0000_s1051" style="width:737;height:1206;position:absolute;top:238" coordorigin="0,238" coordsize="737,1206" path="m,1444l,238,737,841,,1444xe" filled="t" fillcolor="#dd9545" stroked="f">
              <v:path arrowok="t"/>
            </v:shape>
            <v:shape id="docshape28" o:spid="_x0000_s1052"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BodyText"/>
        <w:tabs>
          <w:tab w:val="left" w:leader="dot" w:pos="9691"/>
        </w:tabs>
        <w:spacing w:before="79"/>
        <w:ind w:left="215"/>
      </w:pPr>
      <w:hyperlink w:anchor="_bookmark24" w:history="1">
        <w:r>
          <w:t>强训点</w:t>
        </w:r>
        <w:r>
          <w:rPr>
            <w:spacing w:val="-12"/>
          </w:rPr>
          <w:t xml:space="preserve"> </w:t>
        </w:r>
        <w:r>
          <w:t>25：工程总承包合同特点</w:t>
        </w:r>
        <w:r>
          <w:rPr>
            <w:rFonts w:ascii="Times New Roman" w:eastAsia="Times New Roman"/>
          </w:rPr>
          <w:tab/>
        </w:r>
        <w:r>
          <w:rPr>
            <w:rFonts w:ascii="Times New Roman" w:eastAsia="Times New Roman"/>
            <w:w w:val="95"/>
            <w:position w:val="7"/>
          </w:rPr>
          <w:t>.</w:t>
        </w:r>
        <w:r>
          <w:rPr>
            <w:rFonts w:ascii="Times New Roman" w:eastAsia="Times New Roman"/>
            <w:spacing w:val="-15"/>
            <w:w w:val="95"/>
            <w:position w:val="7"/>
          </w:rPr>
          <w:t xml:space="preserve"> </w:t>
        </w:r>
        <w:r>
          <w:rPr>
            <w:w w:val="95"/>
          </w:rPr>
          <w:t>-</w:t>
        </w:r>
        <w:r>
          <w:rPr>
            <w:spacing w:val="7"/>
            <w:w w:val="95"/>
          </w:rPr>
          <w:t xml:space="preserve"> </w:t>
        </w:r>
        <w:r>
          <w:rPr>
            <w:w w:val="95"/>
          </w:rPr>
          <w:t>46</w:t>
        </w:r>
        <w:r>
          <w:rPr>
            <w:spacing w:val="11"/>
            <w:w w:val="95"/>
          </w:rPr>
          <w:t xml:space="preserve"> </w:t>
        </w:r>
        <w:r>
          <w:rPr>
            <w:w w:val="95"/>
          </w:rPr>
          <w:t>-</w:t>
        </w:r>
      </w:hyperlink>
    </w:p>
    <w:p>
      <w:pPr>
        <w:pStyle w:val="BodyText"/>
        <w:spacing w:before="74"/>
        <w:ind w:left="215"/>
      </w:pPr>
      <w:hyperlink w:anchor="_bookmark25" w:history="1">
        <w:r>
          <w:rPr>
            <w:w w:val="95"/>
            <w:position w:val="-6"/>
          </w:rPr>
          <w:t>强训点</w:t>
        </w:r>
        <w:r>
          <w:rPr>
            <w:spacing w:val="85"/>
            <w:position w:val="-6"/>
          </w:rPr>
          <w:t xml:space="preserve"> </w:t>
        </w:r>
        <w:r>
          <w:rPr>
            <w:w w:val="95"/>
            <w:position w:val="-6"/>
          </w:rPr>
          <w:t>26：工程总承包合同有关各方管理职责</w:t>
        </w:r>
        <w:r>
          <w:rPr>
            <w:rFonts w:ascii="Times New Roman" w:eastAsia="Times New Roman"/>
            <w:w w:val="95"/>
          </w:rPr>
          <w:t xml:space="preserve">..................................................................................................... </w:t>
        </w:r>
        <w:r>
          <w:rPr>
            <w:w w:val="95"/>
            <w:position w:val="-6"/>
          </w:rPr>
          <w:t>-</w:t>
        </w:r>
        <w:r>
          <w:rPr>
            <w:spacing w:val="108"/>
            <w:position w:val="-6"/>
          </w:rPr>
          <w:t xml:space="preserve"> </w:t>
        </w:r>
        <w:r>
          <w:rPr>
            <w:w w:val="95"/>
            <w:position w:val="-6"/>
          </w:rPr>
          <w:t>48</w:t>
        </w:r>
        <w:r>
          <w:rPr>
            <w:spacing w:val="119"/>
            <w:position w:val="-6"/>
          </w:rPr>
          <w:t xml:space="preserve"> </w:t>
        </w:r>
        <w:r>
          <w:rPr>
            <w:w w:val="95"/>
            <w:position w:val="-6"/>
          </w:rPr>
          <w:t>-</w:t>
        </w:r>
      </w:hyperlink>
    </w:p>
    <w:p>
      <w:pPr>
        <w:pStyle w:val="BodyText"/>
        <w:spacing w:before="74"/>
        <w:ind w:left="215"/>
      </w:pPr>
      <w:hyperlink w:anchor="_bookmark26" w:history="1">
        <w:r>
          <w:rPr>
            <w:w w:val="95"/>
            <w:position w:val="-6"/>
          </w:rPr>
          <w:t>强训点</w:t>
        </w:r>
        <w:r>
          <w:rPr>
            <w:spacing w:val="69"/>
            <w:position w:val="-6"/>
          </w:rPr>
          <w:t xml:space="preserve"> </w:t>
        </w:r>
        <w:r>
          <w:rPr>
            <w:w w:val="95"/>
            <w:position w:val="-6"/>
          </w:rPr>
          <w:t>27：合同的索赔管理</w:t>
        </w:r>
        <w:r>
          <w:rPr>
            <w:rFonts w:ascii="Times New Roman" w:eastAsia="Times New Roman"/>
            <w:w w:val="95"/>
          </w:rPr>
          <w:t xml:space="preserve">..................................................................................................................................... </w:t>
        </w:r>
        <w:r>
          <w:rPr>
            <w:w w:val="95"/>
            <w:position w:val="-6"/>
          </w:rPr>
          <w:t>-</w:t>
        </w:r>
        <w:r>
          <w:rPr>
            <w:spacing w:val="89"/>
            <w:position w:val="-6"/>
          </w:rPr>
          <w:t xml:space="preserve"> </w:t>
        </w:r>
        <w:r>
          <w:rPr>
            <w:w w:val="95"/>
            <w:position w:val="-6"/>
          </w:rPr>
          <w:t>50</w:t>
        </w:r>
        <w:r>
          <w:rPr>
            <w:spacing w:val="100"/>
            <w:position w:val="-6"/>
          </w:rPr>
          <w:t xml:space="preserve"> </w:t>
        </w:r>
        <w:r>
          <w:rPr>
            <w:w w:val="95"/>
            <w:position w:val="-6"/>
          </w:rPr>
          <w:t>-</w:t>
        </w:r>
      </w:hyperlink>
    </w:p>
    <w:p>
      <w:pPr>
        <w:pStyle w:val="BodyText"/>
        <w:spacing w:before="71"/>
        <w:ind w:left="215"/>
      </w:pPr>
      <w:hyperlink w:anchor="_bookmark27" w:history="1">
        <w:r>
          <w:rPr>
            <w:w w:val="95"/>
            <w:position w:val="-6"/>
          </w:rPr>
          <w:t>强训点</w:t>
        </w:r>
        <w:r>
          <w:rPr>
            <w:spacing w:val="74"/>
            <w:position w:val="-6"/>
          </w:rPr>
          <w:t xml:space="preserve"> </w:t>
        </w:r>
        <w:r>
          <w:rPr>
            <w:w w:val="95"/>
            <w:position w:val="-6"/>
          </w:rPr>
          <w:t>28：材料采购合同履行管理</w:t>
        </w:r>
        <w:r>
          <w:rPr>
            <w:rFonts w:ascii="Times New Roman" w:eastAsia="Times New Roman"/>
            <w:w w:val="95"/>
          </w:rPr>
          <w:t xml:space="preserve">......................................................................................................................... </w:t>
        </w:r>
        <w:r>
          <w:rPr>
            <w:w w:val="95"/>
            <w:position w:val="-6"/>
          </w:rPr>
          <w:t>-</w:t>
        </w:r>
        <w:r>
          <w:rPr>
            <w:spacing w:val="95"/>
            <w:position w:val="-6"/>
          </w:rPr>
          <w:t xml:space="preserve"> </w:t>
        </w:r>
        <w:r>
          <w:rPr>
            <w:w w:val="95"/>
            <w:position w:val="-6"/>
          </w:rPr>
          <w:t>51</w:t>
        </w:r>
        <w:r>
          <w:rPr>
            <w:spacing w:val="106"/>
            <w:position w:val="-6"/>
          </w:rPr>
          <w:t xml:space="preserve"> </w:t>
        </w:r>
        <w:r>
          <w:rPr>
            <w:w w:val="95"/>
            <w:position w:val="-6"/>
          </w:rPr>
          <w:t>-</w:t>
        </w:r>
      </w:hyperlink>
    </w:p>
    <w:p>
      <w:pPr>
        <w:pStyle w:val="BodyText"/>
        <w:spacing w:before="74"/>
        <w:ind w:left="215"/>
      </w:pPr>
      <w:hyperlink w:anchor="_bookmark28" w:history="1">
        <w:r>
          <w:rPr>
            <w:w w:val="95"/>
            <w:position w:val="-6"/>
          </w:rPr>
          <w:t>强训点</w:t>
        </w:r>
        <w:r>
          <w:rPr>
            <w:spacing w:val="74"/>
            <w:position w:val="-6"/>
          </w:rPr>
          <w:t xml:space="preserve"> </w:t>
        </w:r>
        <w:r>
          <w:rPr>
            <w:w w:val="95"/>
            <w:position w:val="-6"/>
          </w:rPr>
          <w:t>29：设备采购合同履行管理</w:t>
        </w:r>
        <w:r>
          <w:rPr>
            <w:rFonts w:ascii="Times New Roman" w:eastAsia="Times New Roman"/>
            <w:w w:val="95"/>
          </w:rPr>
          <w:t xml:space="preserve">......................................................................................................................... </w:t>
        </w:r>
        <w:r>
          <w:rPr>
            <w:w w:val="95"/>
            <w:position w:val="-6"/>
          </w:rPr>
          <w:t>-</w:t>
        </w:r>
        <w:r>
          <w:rPr>
            <w:spacing w:val="95"/>
            <w:position w:val="-6"/>
          </w:rPr>
          <w:t xml:space="preserve"> </w:t>
        </w:r>
        <w:r>
          <w:rPr>
            <w:w w:val="95"/>
            <w:position w:val="-6"/>
          </w:rPr>
          <w:t>53</w:t>
        </w:r>
        <w:r>
          <w:rPr>
            <w:spacing w:val="106"/>
            <w:position w:val="-6"/>
          </w:rPr>
          <w:t xml:space="preserve"> </w:t>
        </w:r>
        <w:r>
          <w:rPr>
            <w:w w:val="95"/>
            <w:position w:val="-6"/>
          </w:rPr>
          <w:t>-</w:t>
        </w:r>
      </w:hyperlink>
    </w:p>
    <w:p>
      <w:pPr>
        <w:pStyle w:val="BodyText"/>
        <w:spacing w:before="74"/>
        <w:ind w:left="215"/>
      </w:pPr>
      <w:hyperlink w:anchor="_bookmark29" w:history="1">
        <w:r>
          <w:rPr>
            <w:w w:val="95"/>
            <w:position w:val="-6"/>
          </w:rPr>
          <w:t>强训点</w:t>
        </w:r>
        <w:r>
          <w:rPr>
            <w:spacing w:val="86"/>
            <w:position w:val="-6"/>
          </w:rPr>
          <w:t xml:space="preserve"> </w:t>
        </w:r>
        <w:r>
          <w:rPr>
            <w:w w:val="95"/>
            <w:position w:val="-6"/>
          </w:rPr>
          <w:t>30：《施工合同条件》中各方责任和义务</w:t>
        </w:r>
        <w:r>
          <w:rPr>
            <w:rFonts w:ascii="Times New Roman" w:eastAsia="Times New Roman"/>
            <w:w w:val="95"/>
          </w:rPr>
          <w:t xml:space="preserve">................................................................................................. </w:t>
        </w:r>
        <w:r>
          <w:rPr>
            <w:w w:val="95"/>
            <w:position w:val="-6"/>
          </w:rPr>
          <w:t>-</w:t>
        </w:r>
        <w:r>
          <w:rPr>
            <w:spacing w:val="109"/>
            <w:position w:val="-6"/>
          </w:rPr>
          <w:t xml:space="preserve"> </w:t>
        </w:r>
        <w:r>
          <w:rPr>
            <w:w w:val="95"/>
            <w:position w:val="-6"/>
          </w:rPr>
          <w:t>55</w:t>
        </w:r>
        <w:r>
          <w:rPr>
            <w:spacing w:val="121"/>
            <w:position w:val="-6"/>
          </w:rPr>
          <w:t xml:space="preserve"> </w:t>
        </w:r>
        <w:r>
          <w:rPr>
            <w:w w:val="95"/>
            <w:position w:val="-6"/>
          </w:rPr>
          <w:t>-</w:t>
        </w:r>
      </w:hyperlink>
    </w:p>
    <w:p>
      <w:pPr>
        <w:pStyle w:val="BodyText"/>
        <w:spacing w:before="71"/>
        <w:ind w:left="215"/>
      </w:pPr>
      <w:hyperlink w:anchor="_bookmark30" w:history="1">
        <w:r>
          <w:rPr>
            <w:w w:val="95"/>
            <w:position w:val="-6"/>
          </w:rPr>
          <w:t>强训点</w:t>
        </w:r>
        <w:r>
          <w:rPr>
            <w:spacing w:val="63"/>
            <w:position w:val="-6"/>
          </w:rPr>
          <w:t xml:space="preserve"> </w:t>
        </w:r>
        <w:r>
          <w:rPr>
            <w:w w:val="95"/>
            <w:position w:val="-6"/>
          </w:rPr>
          <w:t>31：FIDIC</w:t>
        </w:r>
        <w:r>
          <w:rPr>
            <w:spacing w:val="69"/>
            <w:position w:val="-6"/>
          </w:rPr>
          <w:t xml:space="preserve"> </w:t>
        </w:r>
        <w:r>
          <w:rPr>
            <w:w w:val="95"/>
            <w:position w:val="-6"/>
          </w:rPr>
          <w:t>设计采购施工（EPC)/交钥匙合同条件</w:t>
        </w:r>
        <w:r>
          <w:rPr>
            <w:rFonts w:ascii="Times New Roman" w:eastAsia="Times New Roman"/>
            <w:w w:val="95"/>
          </w:rPr>
          <w:t xml:space="preserve">................................................................................... </w:t>
        </w:r>
        <w:r>
          <w:rPr>
            <w:w w:val="95"/>
            <w:position w:val="-6"/>
          </w:rPr>
          <w:t>-</w:t>
        </w:r>
        <w:r>
          <w:rPr>
            <w:spacing w:val="91"/>
            <w:position w:val="-6"/>
          </w:rPr>
          <w:t xml:space="preserve"> </w:t>
        </w:r>
        <w:r>
          <w:rPr>
            <w:w w:val="95"/>
            <w:position w:val="-6"/>
          </w:rPr>
          <w:t>58</w:t>
        </w:r>
        <w:r>
          <w:rPr>
            <w:spacing w:val="87"/>
            <w:position w:val="-6"/>
          </w:rPr>
          <w:t xml:space="preserve"> </w:t>
        </w:r>
        <w:r>
          <w:rPr>
            <w:w w:val="95"/>
            <w:position w:val="-6"/>
          </w:rPr>
          <w:t>-</w:t>
        </w:r>
      </w:hyperlink>
    </w:p>
    <w:p>
      <w:pPr>
        <w:pStyle w:val="BodyText"/>
        <w:spacing w:before="74"/>
        <w:ind w:left="215"/>
      </w:pPr>
      <w:hyperlink w:anchor="_bookmark31" w:history="1">
        <w:r>
          <w:rPr>
            <w:w w:val="95"/>
            <w:position w:val="-6"/>
          </w:rPr>
          <w:t>强训点</w:t>
        </w:r>
        <w:r>
          <w:rPr>
            <w:spacing w:val="77"/>
            <w:position w:val="-6"/>
          </w:rPr>
          <w:t xml:space="preserve"> </w:t>
        </w:r>
        <w:r>
          <w:rPr>
            <w:w w:val="95"/>
            <w:position w:val="-6"/>
          </w:rPr>
          <w:t>32：工程施工合同（ECC)的组成内容</w:t>
        </w:r>
        <w:r>
          <w:rPr>
            <w:rFonts w:ascii="Times New Roman" w:eastAsia="Times New Roman"/>
            <w:w w:val="95"/>
          </w:rPr>
          <w:t xml:space="preserve">........................................................................................................ </w:t>
        </w:r>
        <w:r>
          <w:rPr>
            <w:w w:val="95"/>
            <w:position w:val="-6"/>
          </w:rPr>
          <w:t>-</w:t>
        </w:r>
        <w:r>
          <w:rPr>
            <w:spacing w:val="107"/>
            <w:position w:val="-6"/>
          </w:rPr>
          <w:t xml:space="preserve"> </w:t>
        </w:r>
        <w:r>
          <w:rPr>
            <w:w w:val="95"/>
            <w:position w:val="-6"/>
          </w:rPr>
          <w:t>60</w:t>
        </w:r>
        <w:r>
          <w:rPr>
            <w:spacing w:val="103"/>
            <w:position w:val="-6"/>
          </w:rPr>
          <w:t xml:space="preserve"> </w:t>
        </w:r>
        <w:r>
          <w:rPr>
            <w:w w:val="95"/>
            <w:position w:val="-6"/>
          </w:rPr>
          <w:t>-</w:t>
        </w:r>
      </w:hyperlink>
    </w:p>
    <w:p>
      <w:pPr>
        <w:pStyle w:val="BodyText"/>
        <w:spacing w:before="73"/>
        <w:ind w:left="215"/>
      </w:pPr>
      <w:hyperlink w:anchor="_bookmark32" w:history="1">
        <w:r>
          <w:rPr>
            <w:w w:val="95"/>
            <w:position w:val="-6"/>
          </w:rPr>
          <w:t>强训点</w:t>
        </w:r>
        <w:r>
          <w:rPr>
            <w:spacing w:val="62"/>
            <w:position w:val="-6"/>
          </w:rPr>
          <w:t xml:space="preserve"> </w:t>
        </w:r>
        <w:r>
          <w:rPr>
            <w:w w:val="95"/>
            <w:position w:val="-6"/>
          </w:rPr>
          <w:t>33：CM</w:t>
        </w:r>
        <w:r>
          <w:rPr>
            <w:spacing w:val="68"/>
            <w:position w:val="-6"/>
          </w:rPr>
          <w:t xml:space="preserve"> </w:t>
        </w:r>
        <w:r>
          <w:rPr>
            <w:w w:val="95"/>
            <w:position w:val="-6"/>
          </w:rPr>
          <w:t>合同模式</w:t>
        </w:r>
        <w:r>
          <w:rPr>
            <w:rFonts w:ascii="Times New Roman" w:eastAsia="Times New Roman"/>
            <w:w w:val="95"/>
          </w:rPr>
          <w:t>..........................................................................................................................................</w:t>
        </w:r>
        <w:r>
          <w:rPr>
            <w:w w:val="95"/>
            <w:position w:val="-6"/>
          </w:rPr>
          <w:t>-</w:t>
        </w:r>
        <w:r>
          <w:rPr>
            <w:spacing w:val="82"/>
            <w:position w:val="-6"/>
          </w:rPr>
          <w:t xml:space="preserve"> </w:t>
        </w:r>
        <w:r>
          <w:rPr>
            <w:w w:val="95"/>
            <w:position w:val="-6"/>
          </w:rPr>
          <w:t>62</w:t>
        </w:r>
        <w:r>
          <w:rPr>
            <w:spacing w:val="92"/>
            <w:position w:val="-6"/>
          </w:rPr>
          <w:t xml:space="preserve"> </w:t>
        </w:r>
        <w:r>
          <w:rPr>
            <w:w w:val="95"/>
            <w:position w:val="-6"/>
          </w:rPr>
          <w:t>-</w:t>
        </w:r>
      </w:hyperlink>
    </w:p>
    <w:p>
      <w:pPr>
        <w:spacing w:after="0"/>
        <w:sectPr>
          <w:pgSz w:w="11910" w:h="8390" w:orient="landscape"/>
          <w:pgMar w:top="220" w:right="580" w:bottom="280" w:left="680" w:header="720" w:footer="720" w:gutter="0"/>
          <w:pgNumType w:start="4"/>
          <w:cols w:space="708"/>
        </w:sectPr>
      </w:pPr>
    </w:p>
    <w:p>
      <w:pPr>
        <w:pStyle w:val="BodyText"/>
        <w:rPr>
          <w:sz w:val="20"/>
        </w:rPr>
      </w:pPr>
      <w:r>
        <w:pict>
          <v:group id="docshapegroup30" o:spid="_x0000_s1053" style="width:38.9pt;height:74.7pt;margin-top:312pt;margin-left:554.85pt;mso-height-relative:page;mso-position-horizontal-relative:page;mso-position-vertical-relative:page;mso-width-relative:page;position:absolute;z-index:251670528" coordorigin="11097,6240" coordsize="778,1494">
            <v:shape id="docshape31" o:spid="_x0000_s1054" style="width:778;height:1215;left:11097;position:absolute;top:6519" coordorigin="11097,6519" coordsize="778,1215" path="m11875,7734l11309,7292,11289,7292,11289,7276,11097,7126,11875,6519,11875,7734xe" filled="t" fillcolor="#dd9545" stroked="f">
              <v:path arrowok="t"/>
            </v:shape>
            <v:shape id="docshape32" o:spid="_x0000_s1055" style="width:778;height:1215;left:11097;position:absolute;top:6240" coordorigin="11097,6240" coordsize="778,1215" path="m11875,7455l11097,6847,11875,6240,11875,7455xe" filled="t" fillcolor="#c3542f" stroked="f">
              <v:path arrowok="t"/>
            </v:shape>
          </v:group>
        </w:pict>
      </w:r>
      <w:r>
        <w:pict>
          <v:group id="docshapegroup33" o:spid="_x0000_s1056" style="width:36.85pt;height:69.25pt;margin-top:11.9pt;margin-left:0;mso-height-relative:page;mso-position-horizontal-relative:page;mso-position-vertical-relative:page;mso-width-relative:page;position:absolute;z-index:-251644928" coordorigin="0,238" coordsize="737,1385">
            <v:shape id="docshape34" o:spid="_x0000_s1057" style="width:737;height:1206;position:absolute;top:238" coordorigin="0,238" coordsize="737,1206" path="m,1444l,238,737,841,,1444xe" filled="t" fillcolor="#dd9545" stroked="f">
              <v:path arrowok="t"/>
            </v:shape>
            <v:shape id="docshape35" o:spid="_x0000_s1058"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Heading1"/>
      </w:pPr>
      <w:bookmarkStart w:id="1" w:name="_bookmark0"/>
      <w:bookmarkEnd w:id="1"/>
      <w:r>
        <w:rPr>
          <w:color w:val="FFFFFF"/>
          <w:spacing w:val="-3"/>
          <w:shd w:val="clear" w:color="auto" w:fill="C55811"/>
        </w:rPr>
        <w:t xml:space="preserve">强训点 </w:t>
      </w:r>
      <w:r>
        <w:rPr>
          <w:color w:val="FFFFFF"/>
          <w:shd w:val="clear" w:color="auto" w:fill="C55811"/>
        </w:rPr>
        <w:t>1：合理选择适合建设工程特点的合同计价方式</w:t>
      </w:r>
    </w:p>
    <w:p>
      <w:pPr>
        <w:pStyle w:val="Heading2"/>
      </w:pPr>
      <w:r>
        <w:t>易混易错点：适用范围</w:t>
      </w:r>
    </w:p>
    <w:p>
      <w:pPr>
        <w:spacing w:before="74"/>
        <w:ind w:left="215" w:right="0" w:firstLine="0"/>
        <w:jc w:val="left"/>
        <w:rPr>
          <w:b/>
          <w:sz w:val="21"/>
        </w:rPr>
      </w:pPr>
      <w:r>
        <w:rPr>
          <w:b/>
          <w:sz w:val="21"/>
        </w:rPr>
        <w:t>关键词：风险承担、单价合同、总价合同</w:t>
      </w:r>
    </w:p>
    <w:p>
      <w:pPr>
        <w:pStyle w:val="BodyText"/>
        <w:spacing w:before="73"/>
        <w:ind w:left="215"/>
      </w:pPr>
      <w:r>
        <w:t>1、单价合同</w:t>
      </w:r>
    </w:p>
    <w:p>
      <w:pPr>
        <w:pStyle w:val="ListParagraph"/>
        <w:numPr>
          <w:ilvl w:val="0"/>
          <w:numId w:val="31"/>
        </w:numPr>
        <w:tabs>
          <w:tab w:val="left" w:pos="1180"/>
        </w:tabs>
        <w:spacing w:before="72" w:after="0" w:line="240" w:lineRule="auto"/>
        <w:ind w:left="1179" w:right="0" w:hanging="545"/>
        <w:jc w:val="left"/>
        <w:rPr>
          <w:sz w:val="21"/>
        </w:rPr>
      </w:pPr>
      <w:r>
        <w:rPr>
          <w:spacing w:val="-10"/>
          <w:sz w:val="21"/>
        </w:rPr>
        <w:t>概念：实际支付时用每项工作</w:t>
      </w:r>
      <w:r>
        <w:rPr>
          <w:b/>
          <w:color w:val="C00000"/>
          <w:sz w:val="21"/>
        </w:rPr>
        <w:t>实际完成工程量</w:t>
      </w:r>
      <w:r>
        <w:rPr>
          <w:sz w:val="21"/>
        </w:rPr>
        <w:t>乘以该项工作的</w:t>
      </w:r>
      <w:r>
        <w:rPr>
          <w:b/>
          <w:color w:val="C00000"/>
          <w:sz w:val="21"/>
        </w:rPr>
        <w:t>单位价格</w:t>
      </w:r>
      <w:r>
        <w:rPr>
          <w:sz w:val="21"/>
        </w:rPr>
        <w:t>计算出该项工作的</w:t>
      </w:r>
      <w:r>
        <w:rPr>
          <w:b/>
          <w:color w:val="C00000"/>
          <w:sz w:val="21"/>
        </w:rPr>
        <w:t>应付工程款</w:t>
      </w:r>
      <w:r>
        <w:rPr>
          <w:sz w:val="21"/>
        </w:rPr>
        <w:t>。</w:t>
      </w:r>
    </w:p>
    <w:p>
      <w:pPr>
        <w:pStyle w:val="BodyText"/>
        <w:spacing w:before="73"/>
        <w:ind w:left="215"/>
      </w:pPr>
      <w:r>
        <w:t>（发包人承担</w:t>
      </w:r>
      <w:r>
        <w:rPr>
          <w:b/>
          <w:color w:val="C00000"/>
        </w:rPr>
        <w:t>量</w:t>
      </w:r>
      <w:r>
        <w:t>的风险，承包人承担</w:t>
      </w:r>
      <w:r>
        <w:rPr>
          <w:b/>
          <w:color w:val="C00000"/>
        </w:rPr>
        <w:t>价</w:t>
      </w:r>
      <w:r>
        <w:t>的风险）。</w:t>
      </w:r>
    </w:p>
    <w:p>
      <w:pPr>
        <w:pStyle w:val="ListParagraph"/>
        <w:numPr>
          <w:ilvl w:val="0"/>
          <w:numId w:val="31"/>
        </w:numPr>
        <w:tabs>
          <w:tab w:val="left" w:pos="1180"/>
        </w:tabs>
        <w:spacing w:before="74" w:after="0" w:line="283" w:lineRule="auto"/>
        <w:ind w:left="215" w:right="225" w:firstLine="420"/>
        <w:jc w:val="left"/>
        <w:rPr>
          <w:sz w:val="21"/>
        </w:rPr>
      </w:pPr>
      <w:r>
        <w:rPr>
          <w:w w:val="95"/>
          <w:sz w:val="21"/>
        </w:rPr>
        <w:t>适用：在发包时施工工程内容和工程量</w:t>
      </w:r>
      <w:r>
        <w:rPr>
          <w:b/>
          <w:color w:val="C00000"/>
          <w:w w:val="95"/>
          <w:sz w:val="21"/>
        </w:rPr>
        <w:t>尚不能明确</w:t>
      </w:r>
      <w:r>
        <w:rPr>
          <w:w w:val="95"/>
          <w:sz w:val="21"/>
        </w:rPr>
        <w:t>确定的情况，发包单位</w:t>
      </w:r>
      <w:r>
        <w:rPr>
          <w:b/>
          <w:color w:val="C00000"/>
          <w:w w:val="95"/>
          <w:sz w:val="21"/>
        </w:rPr>
        <w:t>可以在</w:t>
      </w:r>
      <w:r>
        <w:rPr>
          <w:w w:val="95"/>
          <w:sz w:val="21"/>
        </w:rPr>
        <w:t>设计工作</w:t>
      </w:r>
      <w:r>
        <w:rPr>
          <w:b/>
          <w:color w:val="C00000"/>
          <w:w w:val="95"/>
          <w:sz w:val="21"/>
        </w:rPr>
        <w:t>尚未</w:t>
      </w:r>
      <w:r>
        <w:rPr>
          <w:w w:val="95"/>
          <w:sz w:val="21"/>
        </w:rPr>
        <w:t>完成、</w:t>
      </w:r>
      <w:r>
        <w:rPr>
          <w:spacing w:val="66"/>
          <w:sz w:val="21"/>
        </w:rPr>
        <w:t xml:space="preserve"> </w:t>
      </w:r>
      <w:r>
        <w:rPr>
          <w:spacing w:val="67"/>
          <w:sz w:val="21"/>
        </w:rPr>
        <w:t xml:space="preserve"> </w:t>
      </w:r>
      <w:r>
        <w:rPr>
          <w:sz w:val="21"/>
        </w:rPr>
        <w:t>工程量清单</w:t>
      </w:r>
      <w:r>
        <w:rPr>
          <w:b/>
          <w:color w:val="C00000"/>
          <w:sz w:val="21"/>
        </w:rPr>
        <w:t>尚未</w:t>
      </w:r>
      <w:r>
        <w:rPr>
          <w:sz w:val="21"/>
        </w:rPr>
        <w:t>确定、工程内容</w:t>
      </w:r>
      <w:r>
        <w:rPr>
          <w:b/>
          <w:color w:val="C00000"/>
          <w:sz w:val="21"/>
        </w:rPr>
        <w:t>无需</w:t>
      </w:r>
      <w:r>
        <w:rPr>
          <w:sz w:val="21"/>
        </w:rPr>
        <w:t>完整详尽约定的情况下就开始施工招标。</w:t>
      </w:r>
    </w:p>
    <w:p>
      <w:pPr>
        <w:pStyle w:val="ListParagraph"/>
        <w:numPr>
          <w:ilvl w:val="0"/>
          <w:numId w:val="31"/>
        </w:numPr>
        <w:tabs>
          <w:tab w:val="left" w:pos="1180"/>
        </w:tabs>
        <w:spacing w:before="6" w:after="0" w:line="240" w:lineRule="auto"/>
        <w:ind w:left="1179" w:right="0" w:hanging="545"/>
        <w:jc w:val="left"/>
        <w:rPr>
          <w:sz w:val="21"/>
        </w:rPr>
      </w:pPr>
      <w:r>
        <w:rPr>
          <w:sz w:val="21"/>
        </w:rPr>
        <w:t>优点：投标人只需对所列工程内容报出价格，从而</w:t>
      </w:r>
      <w:r>
        <w:rPr>
          <w:b/>
          <w:color w:val="C00000"/>
          <w:sz w:val="21"/>
        </w:rPr>
        <w:t>缩短招投标时间，利于尽早开工</w:t>
      </w:r>
      <w:r>
        <w:rPr>
          <w:sz w:val="21"/>
        </w:rPr>
        <w:t>。</w:t>
      </w:r>
    </w:p>
    <w:p>
      <w:pPr>
        <w:pStyle w:val="ListParagraph"/>
        <w:numPr>
          <w:ilvl w:val="0"/>
          <w:numId w:val="31"/>
        </w:numPr>
        <w:tabs>
          <w:tab w:val="left" w:pos="1180"/>
        </w:tabs>
        <w:spacing w:before="74" w:after="0" w:line="283" w:lineRule="auto"/>
        <w:ind w:left="215" w:right="225" w:firstLine="420"/>
        <w:jc w:val="left"/>
        <w:rPr>
          <w:sz w:val="21"/>
        </w:rPr>
      </w:pPr>
      <w:r>
        <w:rPr>
          <w:w w:val="95"/>
          <w:sz w:val="21"/>
        </w:rPr>
        <w:t>缺点：需要在施工过程中协调工作内容、测量核实完成的工程量；且实际应付工程款可能超过估算，</w:t>
      </w:r>
      <w:r>
        <w:rPr>
          <w:spacing w:val="66"/>
          <w:sz w:val="21"/>
        </w:rPr>
        <w:t xml:space="preserve"> </w:t>
      </w:r>
      <w:r>
        <w:rPr>
          <w:spacing w:val="67"/>
          <w:sz w:val="21"/>
        </w:rPr>
        <w:t xml:space="preserve"> </w:t>
      </w:r>
      <w:r>
        <w:rPr>
          <w:sz w:val="21"/>
        </w:rPr>
        <w:t>控制投资难度较大。</w:t>
      </w:r>
    </w:p>
    <w:p>
      <w:pPr>
        <w:pStyle w:val="ListParagraph"/>
        <w:numPr>
          <w:ilvl w:val="0"/>
          <w:numId w:val="31"/>
        </w:numPr>
        <w:tabs>
          <w:tab w:val="left" w:pos="1180"/>
        </w:tabs>
        <w:spacing w:before="5" w:after="0" w:line="240" w:lineRule="auto"/>
        <w:ind w:left="1179" w:right="8410" w:hanging="1180"/>
        <w:jc w:val="left"/>
        <w:rPr>
          <w:sz w:val="21"/>
        </w:rPr>
      </w:pPr>
      <w:r>
        <w:rPr>
          <w:sz w:val="21"/>
        </w:rPr>
        <w:t>分类</w:t>
      </w:r>
    </w:p>
    <w:p>
      <w:pPr>
        <w:pStyle w:val="Heading2"/>
        <w:numPr>
          <w:ilvl w:val="0"/>
          <w:numId w:val="2"/>
        </w:numPr>
        <w:tabs>
          <w:tab w:val="left" w:pos="871"/>
        </w:tabs>
        <w:spacing w:before="74" w:after="0" w:line="240" w:lineRule="auto"/>
        <w:ind w:left="870" w:right="8508" w:hanging="871"/>
        <w:jc w:val="left"/>
      </w:pPr>
      <w:r>
        <w:rPr>
          <w:color w:val="C00000"/>
        </w:rPr>
        <w:t>固定单价</w:t>
      </w:r>
    </w:p>
    <w:p>
      <w:pPr>
        <w:spacing w:after="0" w:line="240" w:lineRule="auto"/>
        <w:jc w:val="left"/>
        <w:sectPr>
          <w:footerReference w:type="default" r:id="rId5"/>
          <w:pgSz w:w="11910" w:h="8390" w:orient="landscape"/>
          <w:pgMar w:top="220" w:right="580" w:bottom="1180" w:left="680" w:header="0" w:footer="986" w:gutter="0"/>
          <w:pgNumType w:start="5"/>
          <w:cols w:space="708"/>
        </w:sectPr>
      </w:pPr>
    </w:p>
    <w:p>
      <w:pPr>
        <w:pStyle w:val="BodyText"/>
        <w:rPr>
          <w:b/>
          <w:sz w:val="20"/>
        </w:rPr>
      </w:pPr>
      <w:r>
        <w:pict>
          <v:group id="docshapegroup40" o:spid="_x0000_s1059" style="width:38.9pt;height:74.7pt;margin-top:312pt;margin-left:554.85pt;mso-height-relative:page;mso-position-horizontal-relative:page;mso-position-vertical-relative:page;mso-width-relative:page;position:absolute;z-index:-251643904" coordorigin="11097,6240" coordsize="778,1494">
            <v:shape id="docshape41" o:spid="_x0000_s1060" style="width:778;height:1215;left:11097;position:absolute;top:6519" coordorigin="11097,6519" coordsize="778,1215" path="m11875,7734l11309,7292,11289,7292,11289,7276,11097,7126,11875,6519,11875,7734xe" filled="t" fillcolor="#dd9545" stroked="f">
              <v:path arrowok="t"/>
            </v:shape>
            <v:shape id="docshape42" o:spid="_x0000_s1061" style="width:778;height:1215;left:11097;position:absolute;top:6240" coordorigin="11097,6240" coordsize="778,1215" path="m11875,7455l11097,6847,11875,6240,11875,7455xe" filled="t" fillcolor="#c3542f" stroked="f">
              <v:path arrowok="t"/>
            </v:shape>
          </v:group>
        </w:pict>
      </w:r>
      <w:r>
        <w:pict>
          <v:group id="docshapegroup43" o:spid="_x0000_s1062" style="width:36.85pt;height:69.25pt;margin-top:11.9pt;margin-left:0;mso-height-relative:page;mso-position-horizontal-relative:page;mso-position-vertical-relative:page;mso-width-relative:page;position:absolute;z-index:-251642880" coordorigin="0,238" coordsize="737,1385">
            <v:shape id="docshape44" o:spid="_x0000_s1063" style="width:737;height:1206;position:absolute;top:238" coordorigin="0,238" coordsize="737,1206" path="m,1444l,238,737,841,,1444xe" filled="t" fillcolor="#dd9545" stroked="f">
              <v:path arrowok="t"/>
            </v:shape>
            <v:shape id="docshape45" o:spid="_x0000_s1064"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pStyle w:val="BodyText"/>
        <w:spacing w:before="44"/>
        <w:ind w:left="426"/>
      </w:pPr>
      <w:r>
        <w:t>对</w:t>
      </w:r>
      <w:r>
        <w:rPr>
          <w:b/>
          <w:color w:val="C00000"/>
        </w:rPr>
        <w:t>承包商</w:t>
      </w:r>
      <w:r>
        <w:t>而言,存在较大的报价风险。一般适用于</w:t>
      </w:r>
      <w:r>
        <w:rPr>
          <w:b/>
          <w:color w:val="C00000"/>
        </w:rPr>
        <w:t>工期较短</w:t>
      </w:r>
      <w:r>
        <w:t>、工作内容和工程量变化幅度</w:t>
      </w:r>
      <w:r>
        <w:rPr>
          <w:b/>
          <w:color w:val="C00000"/>
        </w:rPr>
        <w:t>不大</w:t>
      </w:r>
      <w:r>
        <w:t>的项目。</w:t>
      </w:r>
    </w:p>
    <w:p>
      <w:pPr>
        <w:pStyle w:val="Heading2"/>
        <w:numPr>
          <w:ilvl w:val="0"/>
          <w:numId w:val="2"/>
        </w:numPr>
        <w:tabs>
          <w:tab w:val="left" w:pos="766"/>
        </w:tabs>
        <w:spacing w:before="71" w:after="0" w:line="240" w:lineRule="auto"/>
        <w:ind w:left="766" w:right="0" w:hanging="340"/>
        <w:jc w:val="left"/>
      </w:pPr>
      <w:r>
        <w:rPr>
          <w:color w:val="C00000"/>
        </w:rPr>
        <w:t>可变单价</w:t>
      </w:r>
    </w:p>
    <w:p>
      <w:pPr>
        <w:pStyle w:val="BodyText"/>
        <w:spacing w:before="74" w:line="285" w:lineRule="auto"/>
        <w:ind w:left="215" w:right="3498" w:firstLine="420"/>
      </w:pPr>
      <w:r>
        <w:rPr>
          <w:w w:val="95"/>
        </w:rPr>
        <w:t>与固定单价合同相比，可变单价合同承包商承担价格变化的风险</w:t>
      </w:r>
      <w:r>
        <w:rPr>
          <w:b/>
          <w:color w:val="C00000"/>
          <w:w w:val="95"/>
        </w:rPr>
        <w:t>较小</w:t>
      </w:r>
      <w:r>
        <w:rPr>
          <w:w w:val="95"/>
        </w:rPr>
        <w:t>。</w:t>
      </w:r>
      <w:r>
        <w:rPr>
          <w:spacing w:val="148"/>
        </w:rPr>
        <w:t xml:space="preserve"> </w:t>
      </w:r>
      <w:r>
        <w:t>2、总价合同</w:t>
      </w:r>
    </w:p>
    <w:p>
      <w:pPr>
        <w:pStyle w:val="ListParagraph"/>
        <w:numPr>
          <w:ilvl w:val="1"/>
          <w:numId w:val="2"/>
        </w:numPr>
        <w:tabs>
          <w:tab w:val="left" w:pos="1180"/>
        </w:tabs>
        <w:spacing w:before="0" w:after="0" w:line="385" w:lineRule="exact"/>
        <w:ind w:left="1179" w:right="0" w:hanging="545"/>
        <w:jc w:val="left"/>
        <w:rPr>
          <w:sz w:val="21"/>
        </w:rPr>
      </w:pPr>
      <w:r>
        <w:rPr>
          <w:sz w:val="21"/>
        </w:rPr>
        <w:t>概念：指合同就约定的工程施工内容和要求，</w:t>
      </w:r>
      <w:r>
        <w:rPr>
          <w:b/>
          <w:color w:val="C00000"/>
          <w:sz w:val="21"/>
        </w:rPr>
        <w:t>规定一个确定的总价</w:t>
      </w:r>
      <w:r>
        <w:rPr>
          <w:sz w:val="21"/>
        </w:rPr>
        <w:t>作为业主支付给承包商的款额。</w:t>
      </w:r>
    </w:p>
    <w:p>
      <w:pPr>
        <w:pStyle w:val="ListParagraph"/>
        <w:numPr>
          <w:ilvl w:val="1"/>
          <w:numId w:val="2"/>
        </w:numPr>
        <w:tabs>
          <w:tab w:val="left" w:pos="1180"/>
        </w:tabs>
        <w:spacing w:before="74" w:after="0" w:line="240" w:lineRule="auto"/>
        <w:ind w:left="1179" w:right="0" w:hanging="545"/>
        <w:jc w:val="left"/>
        <w:rPr>
          <w:sz w:val="21"/>
        </w:rPr>
      </w:pPr>
      <w:r>
        <w:rPr>
          <w:sz w:val="21"/>
        </w:rPr>
        <w:t>分类</w:t>
      </w:r>
    </w:p>
    <w:p>
      <w:pPr>
        <w:pStyle w:val="Heading2"/>
        <w:numPr>
          <w:ilvl w:val="0"/>
          <w:numId w:val="3"/>
        </w:numPr>
        <w:tabs>
          <w:tab w:val="left" w:pos="555"/>
        </w:tabs>
        <w:spacing w:before="74" w:after="0" w:line="240" w:lineRule="auto"/>
        <w:ind w:left="554" w:right="0" w:hanging="340"/>
        <w:jc w:val="left"/>
      </w:pPr>
      <w:r>
        <w:rPr>
          <w:color w:val="C00000"/>
        </w:rPr>
        <w:t>固定总价</w:t>
      </w:r>
    </w:p>
    <w:p>
      <w:pPr>
        <w:pStyle w:val="BodyText"/>
        <w:spacing w:before="71" w:line="285" w:lineRule="auto"/>
        <w:ind w:left="215" w:right="314" w:firstLine="420"/>
      </w:pPr>
      <w:r>
        <w:rPr>
          <w:w w:val="95"/>
        </w:rPr>
        <w:t>①承包商几乎承担了工作</w:t>
      </w:r>
      <w:r>
        <w:rPr>
          <w:b/>
          <w:color w:val="C00000"/>
          <w:w w:val="95"/>
        </w:rPr>
        <w:t>量及价格</w:t>
      </w:r>
      <w:r>
        <w:rPr>
          <w:w w:val="95"/>
        </w:rPr>
        <w:t>变动的</w:t>
      </w:r>
      <w:r>
        <w:rPr>
          <w:b/>
          <w:color w:val="C00000"/>
          <w:w w:val="95"/>
        </w:rPr>
        <w:t>全部风险</w:t>
      </w:r>
      <w:r>
        <w:rPr>
          <w:w w:val="95"/>
        </w:rPr>
        <w:t>，因此承包商在报价时应对价格变动因素以及不可预见</w:t>
      </w:r>
      <w:r>
        <w:rPr>
          <w:spacing w:val="94"/>
        </w:rPr>
        <w:t xml:space="preserve"> </w:t>
      </w:r>
      <w:r>
        <w:rPr>
          <w:spacing w:val="95"/>
        </w:rPr>
        <w:t xml:space="preserve"> </w:t>
      </w:r>
      <w:r>
        <w:t>因素做充分的估计。</w:t>
      </w:r>
    </w:p>
    <w:p>
      <w:pPr>
        <w:spacing w:before="0"/>
        <w:ind w:left="635" w:right="0" w:firstLine="0"/>
        <w:jc w:val="left"/>
        <w:rPr>
          <w:sz w:val="21"/>
        </w:rPr>
      </w:pPr>
      <w:r>
        <w:rPr>
          <w:sz w:val="21"/>
        </w:rPr>
        <w:t>②对</w:t>
      </w:r>
      <w:r>
        <w:rPr>
          <w:b/>
          <w:color w:val="C00000"/>
          <w:sz w:val="21"/>
        </w:rPr>
        <w:t>业主</w:t>
      </w:r>
      <w:r>
        <w:rPr>
          <w:sz w:val="21"/>
        </w:rPr>
        <w:t>而言，在合同签订时就可以</w:t>
      </w:r>
      <w:r>
        <w:rPr>
          <w:b/>
          <w:color w:val="C00000"/>
          <w:sz w:val="21"/>
        </w:rPr>
        <w:t>基本确定</w:t>
      </w:r>
      <w:r>
        <w:rPr>
          <w:sz w:val="21"/>
        </w:rPr>
        <w:t>项目总投资额，有利于投资控制；业主承担的</w:t>
      </w:r>
      <w:r>
        <w:rPr>
          <w:b/>
          <w:color w:val="C00000"/>
          <w:sz w:val="21"/>
        </w:rPr>
        <w:t>风险较小</w:t>
      </w:r>
      <w:r>
        <w:rPr>
          <w:sz w:val="21"/>
        </w:rPr>
        <w:t>。</w:t>
      </w:r>
    </w:p>
    <w:p>
      <w:pPr>
        <w:pStyle w:val="BodyText"/>
        <w:spacing w:before="72" w:line="285" w:lineRule="auto"/>
        <w:ind w:left="215" w:right="316" w:firstLine="420"/>
      </w:pPr>
      <w:r>
        <w:rPr>
          <w:w w:val="95"/>
        </w:rPr>
        <w:t>③适用：工程范围和任务</w:t>
      </w:r>
      <w:r>
        <w:rPr>
          <w:b/>
          <w:color w:val="C00000"/>
          <w:w w:val="95"/>
        </w:rPr>
        <w:t>明确</w:t>
      </w:r>
      <w:r>
        <w:rPr>
          <w:w w:val="95"/>
        </w:rPr>
        <w:t>，工程设计图纸</w:t>
      </w:r>
      <w:r>
        <w:rPr>
          <w:b/>
          <w:color w:val="C00000"/>
          <w:w w:val="95"/>
        </w:rPr>
        <w:t>完整详细</w:t>
      </w:r>
      <w:r>
        <w:rPr>
          <w:w w:val="95"/>
        </w:rPr>
        <w:t>，承包商了解现场条件、能准确确定工程量及施工</w:t>
      </w:r>
      <w:r>
        <w:rPr>
          <w:spacing w:val="93"/>
        </w:rPr>
        <w:t xml:space="preserve"> </w:t>
      </w:r>
      <w:r>
        <w:rPr>
          <w:spacing w:val="94"/>
        </w:rPr>
        <w:t xml:space="preserve"> </w:t>
      </w:r>
      <w:r>
        <w:t>计划，施工期</w:t>
      </w:r>
      <w:r>
        <w:rPr>
          <w:b/>
          <w:color w:val="C00000"/>
        </w:rPr>
        <w:t>较短</w:t>
      </w:r>
      <w:r>
        <w:t>、价格波动</w:t>
      </w:r>
      <w:r>
        <w:rPr>
          <w:b/>
          <w:color w:val="C00000"/>
        </w:rPr>
        <w:t>不大</w:t>
      </w:r>
      <w:r>
        <w:t>的项目。</w:t>
      </w:r>
    </w:p>
    <w:p>
      <w:pPr>
        <w:pStyle w:val="Heading2"/>
        <w:numPr>
          <w:ilvl w:val="0"/>
          <w:numId w:val="3"/>
        </w:numPr>
        <w:tabs>
          <w:tab w:val="left" w:pos="555"/>
        </w:tabs>
        <w:spacing w:before="0" w:after="0" w:line="240" w:lineRule="auto"/>
        <w:ind w:left="554" w:right="0" w:hanging="340"/>
        <w:jc w:val="left"/>
      </w:pPr>
      <w:r>
        <w:rPr>
          <w:color w:val="C00000"/>
        </w:rPr>
        <w:t>可调总价</w:t>
      </w:r>
    </w:p>
    <w:p>
      <w:pPr>
        <w:spacing w:after="0" w:line="240" w:lineRule="auto"/>
        <w:jc w:val="left"/>
        <w:sectPr>
          <w:footerReference w:type="default" r:id="rId6"/>
          <w:pgSz w:w="11910" w:h="8390" w:orient="landscape"/>
          <w:pgMar w:top="220" w:right="580" w:bottom="1180" w:left="680" w:header="0" w:footer="986" w:gutter="0"/>
          <w:pgNumType w:start="2"/>
          <w:cols w:space="708"/>
        </w:sectPr>
      </w:pPr>
    </w:p>
    <w:p>
      <w:pPr>
        <w:pStyle w:val="BodyText"/>
        <w:rPr>
          <w:b/>
          <w:sz w:val="20"/>
        </w:rPr>
      </w:pPr>
      <w:r>
        <w:pict>
          <v:group id="docshapegroup46" o:spid="_x0000_s1065" style="width:38.9pt;height:74.7pt;margin-top:312pt;margin-left:554.85pt;mso-height-relative:page;mso-position-horizontal-relative:page;mso-position-vertical-relative:page;mso-width-relative:page;position:absolute;z-index:251674624" coordorigin="11097,6240" coordsize="778,1494">
            <v:shape id="docshape47" o:spid="_x0000_s1066" style="width:778;height:1215;left:11097;position:absolute;top:6519" coordorigin="11097,6519" coordsize="778,1215" path="m11875,7734l11309,7292,11289,7292,11289,7276,11097,7126,11875,6519,11875,7734xe" filled="t" fillcolor="#dd9545" stroked="f">
              <v:path arrowok="t"/>
            </v:shape>
            <v:shape id="docshape48" o:spid="_x0000_s1067" style="width:778;height:1215;left:11097;position:absolute;top:6240" coordorigin="11097,6240" coordsize="778,1215" path="m11875,7455l11097,6847,11875,6240,11875,7455xe" filled="t" fillcolor="#c3542f" stroked="f">
              <v:path arrowok="t"/>
            </v:shape>
          </v:group>
        </w:pict>
      </w:r>
      <w:r>
        <w:pict>
          <v:group id="docshapegroup49" o:spid="_x0000_s1068" style="width:36.85pt;height:69.25pt;margin-top:11.9pt;margin-left:0;mso-height-relative:page;mso-position-horizontal-relative:page;mso-position-vertical-relative:page;mso-width-relative:page;position:absolute;z-index:-251640832" coordorigin="0,238" coordsize="737,1385">
            <v:shape id="docshape50" o:spid="_x0000_s1069" style="width:737;height:1206;position:absolute;top:238" coordorigin="0,238" coordsize="737,1206" path="m,1444l,238,737,841,,1444xe" filled="t" fillcolor="#dd9545" stroked="f">
              <v:path arrowok="t"/>
            </v:shape>
            <v:shape id="docshape51" o:spid="_x0000_s1070"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spacing w:before="44" w:line="283" w:lineRule="auto"/>
        <w:ind w:left="215" w:right="314" w:firstLine="410"/>
        <w:jc w:val="left"/>
        <w:rPr>
          <w:sz w:val="21"/>
        </w:rPr>
      </w:pPr>
      <w:r>
        <w:rPr>
          <w:b/>
          <w:color w:val="C00000"/>
          <w:w w:val="95"/>
          <w:sz w:val="21"/>
        </w:rPr>
        <w:t>市场价格变动等风险由业主承担</w:t>
      </w:r>
      <w:r>
        <w:rPr>
          <w:w w:val="95"/>
          <w:sz w:val="21"/>
        </w:rPr>
        <w:t>，与固定总价合同相比，在一定程度上降低了承包商的风险，但对业主而</w:t>
      </w:r>
      <w:r>
        <w:rPr>
          <w:spacing w:val="99"/>
          <w:sz w:val="21"/>
        </w:rPr>
        <w:t xml:space="preserve"> </w:t>
      </w:r>
      <w:r>
        <w:rPr>
          <w:spacing w:val="100"/>
          <w:sz w:val="21"/>
        </w:rPr>
        <w:t xml:space="preserve"> </w:t>
      </w:r>
      <w:r>
        <w:rPr>
          <w:sz w:val="21"/>
        </w:rPr>
        <w:t>言，突破合同既定价格的风险有所增大。</w:t>
      </w:r>
    </w:p>
    <w:p>
      <w:pPr>
        <w:pStyle w:val="ListParagraph"/>
        <w:numPr>
          <w:ilvl w:val="1"/>
          <w:numId w:val="2"/>
        </w:numPr>
        <w:tabs>
          <w:tab w:val="left" w:pos="760"/>
        </w:tabs>
        <w:spacing w:before="6" w:after="0" w:line="240" w:lineRule="auto"/>
        <w:ind w:left="759" w:right="0" w:hanging="545"/>
        <w:jc w:val="left"/>
        <w:rPr>
          <w:sz w:val="21"/>
        </w:rPr>
      </w:pPr>
      <w:r>
        <w:rPr>
          <w:sz w:val="21"/>
        </w:rPr>
        <w:t>固定总价和可调总价的适用年限</w:t>
      </w:r>
    </w:p>
    <w:p>
      <w:pPr>
        <w:pStyle w:val="ListParagraph"/>
        <w:numPr>
          <w:ilvl w:val="2"/>
          <w:numId w:val="2"/>
        </w:numPr>
        <w:tabs>
          <w:tab w:val="left" w:pos="970"/>
        </w:tabs>
        <w:spacing w:before="74" w:after="0" w:line="283" w:lineRule="auto"/>
        <w:ind w:left="215" w:right="314" w:firstLine="420"/>
        <w:jc w:val="left"/>
        <w:rPr>
          <w:sz w:val="21"/>
        </w:rPr>
      </w:pPr>
      <w:r>
        <w:rPr>
          <w:sz w:val="21"/>
        </w:rPr>
        <w:t>施工期限</w:t>
      </w:r>
      <w:r>
        <w:rPr>
          <w:b/>
          <w:color w:val="C00000"/>
          <w:sz w:val="21"/>
        </w:rPr>
        <w:t>一年左右</w:t>
      </w:r>
      <w:r>
        <w:rPr>
          <w:sz w:val="21"/>
        </w:rPr>
        <w:t>的项目可考虑采用</w:t>
      </w:r>
      <w:r>
        <w:rPr>
          <w:b/>
          <w:color w:val="C00000"/>
          <w:sz w:val="21"/>
        </w:rPr>
        <w:t>固定总价</w:t>
      </w:r>
      <w:r>
        <w:rPr>
          <w:sz w:val="21"/>
        </w:rPr>
        <w:t>合同，以签订合同时的单价和总价为准，物价上涨等风险由承包商承担；</w:t>
      </w:r>
    </w:p>
    <w:p>
      <w:pPr>
        <w:pStyle w:val="ListParagraph"/>
        <w:numPr>
          <w:ilvl w:val="2"/>
          <w:numId w:val="2"/>
        </w:numPr>
        <w:tabs>
          <w:tab w:val="left" w:pos="970"/>
        </w:tabs>
        <w:spacing w:before="5" w:after="0" w:line="240" w:lineRule="auto"/>
        <w:ind w:left="970" w:right="0" w:hanging="335"/>
        <w:jc w:val="left"/>
        <w:rPr>
          <w:sz w:val="21"/>
        </w:rPr>
      </w:pPr>
      <w:r>
        <w:rPr>
          <w:sz w:val="21"/>
        </w:rPr>
        <w:t>对建设周期</w:t>
      </w:r>
      <w:r>
        <w:rPr>
          <w:b/>
          <w:color w:val="C00000"/>
          <w:sz w:val="21"/>
        </w:rPr>
        <w:t>一年半以上</w:t>
      </w:r>
      <w:r>
        <w:rPr>
          <w:sz w:val="21"/>
        </w:rPr>
        <w:t>的，则应考虑施工期间市场价格等的变化，宜采用</w:t>
      </w:r>
      <w:r>
        <w:rPr>
          <w:b/>
          <w:color w:val="C00000"/>
          <w:sz w:val="21"/>
        </w:rPr>
        <w:t>可调总价</w:t>
      </w:r>
      <w:r>
        <w:rPr>
          <w:sz w:val="21"/>
        </w:rPr>
        <w:t>合同。</w:t>
      </w:r>
    </w:p>
    <w:p>
      <w:pPr>
        <w:pStyle w:val="BodyText"/>
        <w:spacing w:before="74"/>
        <w:ind w:left="215"/>
      </w:pPr>
      <w:r>
        <w:t>3、成本加酬金合同</w:t>
      </w:r>
    </w:p>
    <w:p>
      <w:pPr>
        <w:pStyle w:val="ListParagraph"/>
        <w:numPr>
          <w:ilvl w:val="0"/>
          <w:numId w:val="4"/>
        </w:numPr>
        <w:tabs>
          <w:tab w:val="left" w:pos="1179"/>
        </w:tabs>
        <w:spacing w:before="71" w:after="0" w:line="285" w:lineRule="auto"/>
        <w:ind w:left="215" w:right="309" w:firstLine="420"/>
        <w:jc w:val="left"/>
        <w:rPr>
          <w:sz w:val="21"/>
        </w:rPr>
      </w:pPr>
      <w:r>
        <w:rPr>
          <w:w w:val="95"/>
          <w:sz w:val="21"/>
        </w:rPr>
        <w:t>概念：也称为</w:t>
      </w:r>
      <w:r>
        <w:rPr>
          <w:b/>
          <w:color w:val="C00000"/>
          <w:w w:val="95"/>
          <w:sz w:val="21"/>
        </w:rPr>
        <w:t>成本补偿合同</w:t>
      </w:r>
      <w:r>
        <w:rPr>
          <w:w w:val="95"/>
          <w:sz w:val="21"/>
        </w:rPr>
        <w:t>或</w:t>
      </w:r>
      <w:r>
        <w:rPr>
          <w:b/>
          <w:color w:val="C00000"/>
          <w:w w:val="95"/>
          <w:sz w:val="21"/>
        </w:rPr>
        <w:t>成本加成合同</w:t>
      </w:r>
      <w:r>
        <w:rPr>
          <w:w w:val="95"/>
          <w:sz w:val="21"/>
        </w:rPr>
        <w:t>。采用这种合同，承包商利润有保证，</w:t>
      </w:r>
      <w:r>
        <w:rPr>
          <w:b/>
          <w:color w:val="C00000"/>
          <w:w w:val="95"/>
          <w:sz w:val="21"/>
        </w:rPr>
        <w:t>价格变化或工程量</w:t>
      </w:r>
      <w:r>
        <w:rPr>
          <w:b/>
          <w:color w:val="C00000"/>
          <w:spacing w:val="113"/>
          <w:sz w:val="21"/>
        </w:rPr>
        <w:t xml:space="preserve"> </w:t>
      </w:r>
      <w:r>
        <w:rPr>
          <w:b/>
          <w:color w:val="C00000"/>
          <w:sz w:val="21"/>
        </w:rPr>
        <w:t>变化</w:t>
      </w:r>
      <w:r>
        <w:rPr>
          <w:sz w:val="21"/>
        </w:rPr>
        <w:t>的风险基本都由业主承担。</w:t>
      </w:r>
    </w:p>
    <w:p>
      <w:pPr>
        <w:pStyle w:val="ListParagraph"/>
        <w:numPr>
          <w:ilvl w:val="0"/>
          <w:numId w:val="4"/>
        </w:numPr>
        <w:tabs>
          <w:tab w:val="left" w:pos="1179"/>
        </w:tabs>
        <w:spacing w:before="1" w:after="0" w:line="240" w:lineRule="auto"/>
        <w:ind w:left="1178" w:right="0" w:hanging="544"/>
        <w:jc w:val="left"/>
        <w:rPr>
          <w:sz w:val="21"/>
        </w:rPr>
      </w:pPr>
      <w:r>
        <w:rPr>
          <w:sz w:val="21"/>
        </w:rPr>
        <w:t>适用：工程</w:t>
      </w:r>
      <w:r>
        <w:rPr>
          <w:b/>
          <w:color w:val="C00000"/>
          <w:sz w:val="21"/>
        </w:rPr>
        <w:t>复杂</w:t>
      </w:r>
      <w:r>
        <w:rPr>
          <w:sz w:val="21"/>
        </w:rPr>
        <w:t>，工程技术、结构方案</w:t>
      </w:r>
      <w:r>
        <w:rPr>
          <w:b/>
          <w:color w:val="C00000"/>
          <w:sz w:val="21"/>
        </w:rPr>
        <w:t>难以预先确定</w:t>
      </w:r>
      <w:r>
        <w:rPr>
          <w:sz w:val="21"/>
        </w:rPr>
        <w:t>，</w:t>
      </w:r>
      <w:r>
        <w:rPr>
          <w:b/>
          <w:color w:val="C00000"/>
          <w:sz w:val="21"/>
        </w:rPr>
        <w:t>时间特别紧迫（如抢险救灾）</w:t>
      </w:r>
      <w:r>
        <w:rPr>
          <w:sz w:val="21"/>
        </w:rPr>
        <w:t>的项目。</w:t>
      </w:r>
    </w:p>
    <w:p>
      <w:pPr>
        <w:pStyle w:val="ListParagraph"/>
        <w:numPr>
          <w:ilvl w:val="0"/>
          <w:numId w:val="4"/>
        </w:numPr>
        <w:tabs>
          <w:tab w:val="left" w:pos="1179"/>
        </w:tabs>
        <w:spacing w:before="71" w:after="0" w:line="285" w:lineRule="auto"/>
        <w:ind w:left="215" w:right="311" w:firstLine="420"/>
        <w:jc w:val="left"/>
        <w:rPr>
          <w:sz w:val="21"/>
        </w:rPr>
      </w:pPr>
      <w:r>
        <w:rPr>
          <w:w w:val="95"/>
          <w:sz w:val="21"/>
        </w:rPr>
        <w:t>优点：可以</w:t>
      </w:r>
      <w:r>
        <w:rPr>
          <w:b/>
          <w:color w:val="C00000"/>
          <w:w w:val="95"/>
          <w:sz w:val="21"/>
        </w:rPr>
        <w:t>简化招标、节省时间</w:t>
      </w:r>
      <w:r>
        <w:rPr>
          <w:w w:val="95"/>
          <w:sz w:val="21"/>
        </w:rPr>
        <w:t>，不需等到设计图纸完成后才开始招标和施工，实现设计和施工工作</w:t>
      </w:r>
      <w:r>
        <w:rPr>
          <w:spacing w:val="111"/>
          <w:sz w:val="21"/>
        </w:rPr>
        <w:t xml:space="preserve"> </w:t>
      </w:r>
      <w:r>
        <w:rPr>
          <w:sz w:val="21"/>
        </w:rPr>
        <w:t>的搭接。</w:t>
      </w:r>
    </w:p>
    <w:p>
      <w:pPr>
        <w:pStyle w:val="ListParagraph"/>
        <w:numPr>
          <w:ilvl w:val="0"/>
          <w:numId w:val="4"/>
        </w:numPr>
        <w:tabs>
          <w:tab w:val="left" w:pos="1179"/>
        </w:tabs>
        <w:spacing w:before="0" w:after="0" w:line="240" w:lineRule="auto"/>
        <w:ind w:left="1178" w:right="0" w:hanging="544"/>
        <w:jc w:val="left"/>
        <w:rPr>
          <w:sz w:val="21"/>
        </w:rPr>
      </w:pPr>
      <w:r>
        <w:rPr>
          <w:sz w:val="21"/>
        </w:rPr>
        <w:t>缺点：</w:t>
      </w:r>
      <w:r>
        <w:rPr>
          <w:b/>
          <w:color w:val="C00000"/>
          <w:sz w:val="21"/>
        </w:rPr>
        <w:t>不利于业主</w:t>
      </w:r>
      <w:r>
        <w:rPr>
          <w:sz w:val="21"/>
        </w:rPr>
        <w:t>的投资控制。</w:t>
      </w:r>
    </w:p>
    <w:p>
      <w:pPr>
        <w:spacing w:after="0" w:line="240" w:lineRule="auto"/>
        <w:jc w:val="left"/>
        <w:rPr>
          <w:sz w:val="21"/>
        </w:rPr>
        <w:sectPr>
          <w:footerReference w:type="default" r:id="rId7"/>
          <w:pgSz w:w="11910" w:h="8390" w:orient="landscape"/>
          <w:pgMar w:top="220" w:right="580" w:bottom="1180" w:left="680" w:header="0" w:footer="986" w:gutter="0"/>
          <w:pgNumType w:start="3"/>
          <w:cols w:space="708"/>
        </w:sectPr>
      </w:pPr>
    </w:p>
    <w:p>
      <w:pPr>
        <w:pStyle w:val="BodyText"/>
        <w:rPr>
          <w:sz w:val="20"/>
        </w:rPr>
      </w:pPr>
      <w:r>
        <w:pict>
          <v:group id="docshapegroup52" o:spid="_x0000_s1071" style="width:38.9pt;height:74.7pt;margin-top:312pt;margin-left:554.85pt;mso-height-relative:page;mso-position-horizontal-relative:page;mso-position-vertical-relative:page;mso-width-relative:page;position:absolute;z-index:251676672" coordorigin="11097,6240" coordsize="778,1494">
            <v:shape id="docshape53" o:spid="_x0000_s1072" style="width:778;height:1215;left:11097;position:absolute;top:6519" coordorigin="11097,6519" coordsize="778,1215" path="m11875,7734l11309,7292,11289,7292,11289,7276,11097,7126,11875,6519,11875,7734xe" filled="t" fillcolor="#dd9545" stroked="f">
              <v:path arrowok="t"/>
            </v:shape>
            <v:shape id="docshape54" o:spid="_x0000_s1073" style="width:778;height:1215;left:11097;position:absolute;top:6240" coordorigin="11097,6240" coordsize="778,1215" path="m11875,7455l11097,6847,11875,6240,11875,7455xe" filled="t" fillcolor="#c3542f" stroked="f">
              <v:path arrowok="t"/>
            </v:shape>
          </v:group>
        </w:pict>
      </w:r>
      <w:r>
        <w:pict>
          <v:group id="docshapegroup55" o:spid="_x0000_s1074" style="width:36.85pt;height:69.25pt;margin-top:11.9pt;margin-left:0;mso-height-relative:page;mso-position-horizontal-relative:page;mso-position-vertical-relative:page;mso-width-relative:page;position:absolute;z-index:-251638784" coordorigin="0,238" coordsize="737,1385">
            <v:shape id="docshape56" o:spid="_x0000_s1075" style="width:737;height:1206;position:absolute;top:238" coordorigin="0,238" coordsize="737,1206" path="m,1444l,238,737,841,,1444xe" filled="t" fillcolor="#dd9545" stroked="f">
              <v:path arrowok="t"/>
            </v:shape>
            <v:shape id="docshape57" o:spid="_x0000_s1076"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ListParagraph"/>
        <w:numPr>
          <w:ilvl w:val="0"/>
          <w:numId w:val="32"/>
        </w:numPr>
        <w:tabs>
          <w:tab w:val="left" w:pos="1179"/>
        </w:tabs>
        <w:spacing w:before="44" w:after="0" w:line="240" w:lineRule="auto"/>
        <w:ind w:left="1178" w:right="0" w:hanging="544"/>
        <w:jc w:val="left"/>
        <w:rPr>
          <w:sz w:val="21"/>
        </w:rPr>
      </w:pPr>
      <w:r>
        <w:rPr>
          <w:sz w:val="21"/>
        </w:rPr>
        <w:t>分类：1）成本加</w:t>
      </w:r>
      <w:r>
        <w:rPr>
          <w:b/>
          <w:color w:val="C00000"/>
          <w:sz w:val="21"/>
        </w:rPr>
        <w:t>固定酬金</w:t>
      </w:r>
      <w:r>
        <w:rPr>
          <w:sz w:val="21"/>
        </w:rPr>
        <w:t>合同、2）成本加</w:t>
      </w:r>
      <w:r>
        <w:rPr>
          <w:b/>
          <w:color w:val="C00000"/>
          <w:sz w:val="21"/>
        </w:rPr>
        <w:t>固定百分比酬金</w:t>
      </w:r>
      <w:r>
        <w:rPr>
          <w:sz w:val="21"/>
        </w:rPr>
        <w:t>合同、3）成本加</w:t>
      </w:r>
      <w:r>
        <w:rPr>
          <w:b/>
          <w:color w:val="C00000"/>
          <w:sz w:val="21"/>
        </w:rPr>
        <w:t>可变酬金</w:t>
      </w:r>
      <w:r>
        <w:rPr>
          <w:sz w:val="21"/>
        </w:rPr>
        <w:t>合同</w:t>
      </w:r>
    </w:p>
    <w:p>
      <w:pPr>
        <w:pStyle w:val="Heading1"/>
        <w:spacing w:before="32"/>
      </w:pPr>
      <w:bookmarkStart w:id="2" w:name="强训点2：合同担保—保证"/>
      <w:bookmarkEnd w:id="2"/>
      <w:bookmarkStart w:id="3" w:name="_bookmark1"/>
      <w:bookmarkEnd w:id="3"/>
      <w:r>
        <w:rPr>
          <w:color w:val="FFFFFF"/>
          <w:spacing w:val="-3"/>
          <w:shd w:val="clear" w:color="auto" w:fill="C55811"/>
        </w:rPr>
        <w:t xml:space="preserve">强训点 </w:t>
      </w:r>
      <w:r>
        <w:rPr>
          <w:color w:val="FFFFFF"/>
          <w:shd w:val="clear" w:color="auto" w:fill="C55811"/>
        </w:rPr>
        <w:t>2：合同担保—保证</w:t>
      </w:r>
    </w:p>
    <w:p>
      <w:pPr>
        <w:pStyle w:val="Heading2"/>
      </w:pPr>
      <w:r>
        <w:t>考频：常考</w:t>
      </w:r>
    </w:p>
    <w:p>
      <w:pPr>
        <w:spacing w:before="74"/>
        <w:ind w:left="215" w:right="0" w:firstLine="0"/>
        <w:jc w:val="left"/>
        <w:rPr>
          <w:b/>
          <w:sz w:val="21"/>
        </w:rPr>
      </w:pPr>
      <w:r>
        <w:rPr>
          <w:b/>
          <w:sz w:val="21"/>
        </w:rPr>
        <w:t>关键词：保证人、保证合同</w:t>
      </w:r>
    </w:p>
    <w:p>
      <w:pPr>
        <w:spacing w:before="71" w:line="285" w:lineRule="auto"/>
        <w:ind w:left="215" w:right="2027" w:firstLine="420"/>
        <w:jc w:val="left"/>
        <w:rPr>
          <w:sz w:val="21"/>
        </w:rPr>
      </w:pPr>
      <w:r>
        <w:rPr>
          <w:w w:val="95"/>
          <w:sz w:val="21"/>
        </w:rPr>
        <w:t>根据《民法典》担保物权分编和合同编，担保方式为</w:t>
      </w:r>
      <w:r>
        <w:rPr>
          <w:b/>
          <w:color w:val="C00000"/>
          <w:w w:val="95"/>
          <w:sz w:val="21"/>
        </w:rPr>
        <w:t>保证、抵押、质押、留置和定金</w:t>
      </w:r>
      <w:r>
        <w:rPr>
          <w:w w:val="95"/>
          <w:sz w:val="21"/>
        </w:rPr>
        <w:t>。</w:t>
      </w:r>
      <w:r>
        <w:rPr>
          <w:spacing w:val="79"/>
          <w:sz w:val="21"/>
        </w:rPr>
        <w:t xml:space="preserve"> </w:t>
      </w:r>
      <w:r>
        <w:rPr>
          <w:spacing w:val="80"/>
          <w:sz w:val="21"/>
        </w:rPr>
        <w:t xml:space="preserve"> </w:t>
      </w:r>
      <w:r>
        <w:rPr>
          <w:sz w:val="21"/>
        </w:rPr>
        <w:t>1、保证的概念和方式</w:t>
      </w:r>
    </w:p>
    <w:p>
      <w:pPr>
        <w:pStyle w:val="ListParagraph"/>
        <w:numPr>
          <w:ilvl w:val="0"/>
          <w:numId w:val="5"/>
        </w:numPr>
        <w:tabs>
          <w:tab w:val="left" w:pos="1179"/>
        </w:tabs>
        <w:spacing w:before="0" w:after="0" w:line="283" w:lineRule="auto"/>
        <w:ind w:left="215" w:right="314" w:firstLine="420"/>
        <w:jc w:val="left"/>
        <w:rPr>
          <w:sz w:val="21"/>
        </w:rPr>
      </w:pPr>
      <w:r>
        <w:rPr>
          <w:w w:val="95"/>
          <w:sz w:val="21"/>
        </w:rPr>
        <w:t>概念：保证是指保证人和债权人约定，当债务人不履行债务时，保证人按照约定履行债务或者承担责</w:t>
      </w:r>
      <w:r>
        <w:rPr>
          <w:spacing w:val="108"/>
          <w:sz w:val="21"/>
        </w:rPr>
        <w:t xml:space="preserve"> </w:t>
      </w:r>
      <w:r>
        <w:rPr>
          <w:sz w:val="21"/>
        </w:rPr>
        <w:t>任的行为。保证法律关系</w:t>
      </w:r>
      <w:r>
        <w:rPr>
          <w:b/>
          <w:color w:val="C00000"/>
          <w:sz w:val="21"/>
        </w:rPr>
        <w:t>至少必须有</w:t>
      </w:r>
      <w:r>
        <w:rPr>
          <w:sz w:val="21"/>
        </w:rPr>
        <w:t>三方参加，即</w:t>
      </w:r>
      <w:r>
        <w:rPr>
          <w:b/>
          <w:color w:val="C00000"/>
          <w:sz w:val="21"/>
        </w:rPr>
        <w:t>保证人、被保证人（债务人）和债权人</w:t>
      </w:r>
      <w:r>
        <w:rPr>
          <w:sz w:val="21"/>
        </w:rPr>
        <w:t>。</w:t>
      </w:r>
    </w:p>
    <w:p>
      <w:pPr>
        <w:pStyle w:val="ListParagraph"/>
        <w:numPr>
          <w:ilvl w:val="0"/>
          <w:numId w:val="5"/>
        </w:numPr>
        <w:tabs>
          <w:tab w:val="left" w:pos="1179"/>
        </w:tabs>
        <w:spacing w:before="6" w:after="0" w:line="285" w:lineRule="auto"/>
        <w:ind w:left="215" w:right="314" w:firstLine="420"/>
        <w:jc w:val="left"/>
        <w:rPr>
          <w:b/>
          <w:sz w:val="21"/>
        </w:rPr>
      </w:pPr>
      <w:r>
        <w:rPr>
          <w:w w:val="95"/>
          <w:sz w:val="21"/>
        </w:rPr>
        <w:t>方式：保证的方式有两种，即</w:t>
      </w:r>
      <w:r>
        <w:rPr>
          <w:b/>
          <w:color w:val="C00000"/>
          <w:w w:val="95"/>
          <w:sz w:val="21"/>
        </w:rPr>
        <w:t>一般保证</w:t>
      </w:r>
      <w:r>
        <w:rPr>
          <w:w w:val="95"/>
          <w:sz w:val="21"/>
        </w:rPr>
        <w:t>和</w:t>
      </w:r>
      <w:r>
        <w:rPr>
          <w:b/>
          <w:color w:val="C00000"/>
          <w:w w:val="95"/>
          <w:sz w:val="21"/>
        </w:rPr>
        <w:t>连带责任保证</w:t>
      </w:r>
      <w:r>
        <w:rPr>
          <w:w w:val="95"/>
          <w:sz w:val="21"/>
        </w:rPr>
        <w:t>。当事人在保证合同中对保证方式</w:t>
      </w:r>
      <w:r>
        <w:rPr>
          <w:b/>
          <w:color w:val="C00000"/>
          <w:w w:val="95"/>
          <w:sz w:val="21"/>
        </w:rPr>
        <w:t>没有约定或</w:t>
      </w:r>
      <w:r>
        <w:rPr>
          <w:b/>
          <w:color w:val="C00000"/>
          <w:spacing w:val="108"/>
          <w:sz w:val="21"/>
        </w:rPr>
        <w:t xml:space="preserve"> </w:t>
      </w:r>
      <w:r>
        <w:rPr>
          <w:b/>
          <w:color w:val="C00000"/>
          <w:sz w:val="21"/>
        </w:rPr>
        <w:t>者约定不明确的，按照一般保证承担保证责任</w:t>
      </w:r>
      <w:r>
        <w:rPr>
          <w:sz w:val="21"/>
        </w:rPr>
        <w:t>。</w:t>
      </w:r>
      <w:r>
        <w:rPr>
          <w:b/>
          <w:color w:val="2D75B5"/>
          <w:sz w:val="21"/>
        </w:rPr>
        <w:t>（考察几率很大）</w:t>
      </w:r>
    </w:p>
    <w:p>
      <w:pPr>
        <w:pStyle w:val="BodyText"/>
        <w:spacing w:line="385" w:lineRule="exact"/>
        <w:ind w:left="215"/>
      </w:pPr>
      <w:r>
        <w:t>2、保证人的资格</w:t>
      </w:r>
    </w:p>
    <w:p>
      <w:pPr>
        <w:pStyle w:val="BodyText"/>
        <w:spacing w:before="69" w:line="285" w:lineRule="auto"/>
        <w:ind w:left="320" w:right="3919" w:firstLine="314"/>
        <w:rPr>
          <w:b/>
        </w:rPr>
      </w:pPr>
      <w:r>
        <w:rPr>
          <w:w w:val="95"/>
        </w:rPr>
        <w:t>具有代为清偿能力的法人、其他组织或者公民，可以作为保证人。</w:t>
      </w:r>
      <w:r>
        <w:rPr>
          <w:spacing w:val="43"/>
          <w:w w:val="95"/>
        </w:rPr>
        <w:t xml:space="preserve"> </w:t>
      </w:r>
      <w:r>
        <w:t>以下组织不能作为保证人：</w:t>
      </w:r>
      <w:r>
        <w:rPr>
          <w:b/>
          <w:color w:val="2D75B5"/>
        </w:rPr>
        <w:t>（常考点）</w:t>
      </w:r>
    </w:p>
    <w:p>
      <w:pPr>
        <w:spacing w:after="0" w:line="285" w:lineRule="auto"/>
        <w:sectPr>
          <w:footerReference w:type="default" r:id="rId8"/>
          <w:pgSz w:w="11910" w:h="8390" w:orient="landscape"/>
          <w:pgMar w:top="220" w:right="580" w:bottom="1180" w:left="680" w:header="0" w:footer="986" w:gutter="0"/>
          <w:pgNumType w:start="4"/>
          <w:cols w:space="708"/>
        </w:sectPr>
      </w:pPr>
    </w:p>
    <w:p>
      <w:pPr>
        <w:pStyle w:val="BodyText"/>
        <w:rPr>
          <w:b/>
          <w:sz w:val="20"/>
        </w:rPr>
      </w:pPr>
      <w:r>
        <w:pict>
          <v:group id="docshapegroup62" o:spid="_x0000_s1077" style="width:38.9pt;height:74.7pt;margin-top:312pt;margin-left:554.85pt;mso-height-relative:page;mso-position-horizontal-relative:page;mso-position-vertical-relative:page;mso-width-relative:page;position:absolute;z-index:-251637760" coordorigin="11097,6240" coordsize="778,1494">
            <v:shape id="docshape63" o:spid="_x0000_s1078" style="width:778;height:1215;left:11097;position:absolute;top:6519" coordorigin="11097,6519" coordsize="778,1215" path="m11875,7734l11309,7292,11289,7292,11289,7276,11097,7126,11875,6519,11875,7734xe" filled="t" fillcolor="#dd9545" stroked="f">
              <v:path arrowok="t"/>
            </v:shape>
            <v:shape id="docshape64" o:spid="_x0000_s1079" style="width:778;height:1215;left:11097;position:absolute;top:6240" coordorigin="11097,6240" coordsize="778,1215" path="m11875,7455l11097,6847,11875,6240,11875,7455xe" filled="t" fillcolor="#c3542f" stroked="f">
              <v:path arrowok="t"/>
            </v:shape>
          </v:group>
        </w:pict>
      </w:r>
      <w:r>
        <w:pict>
          <v:group id="docshapegroup65" o:spid="_x0000_s1080" style="width:36.85pt;height:69.25pt;margin-top:11.9pt;margin-left:0;mso-height-relative:page;mso-position-horizontal-relative:page;mso-position-vertical-relative:page;mso-width-relative:page;position:absolute;z-index:-251636736" coordorigin="0,238" coordsize="737,1385">
            <v:shape id="docshape66" o:spid="_x0000_s1081" style="width:737;height:1206;position:absolute;top:238" coordorigin="0,238" coordsize="737,1206" path="m,1444l,238,737,841,,1444xe" filled="t" fillcolor="#dd9545" stroked="f">
              <v:path arrowok="t"/>
            </v:shape>
            <v:shape id="docshape67" o:spid="_x0000_s1082"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pStyle w:val="ListParagraph"/>
        <w:numPr>
          <w:ilvl w:val="0"/>
          <w:numId w:val="33"/>
        </w:numPr>
        <w:tabs>
          <w:tab w:val="left" w:pos="1179"/>
        </w:tabs>
        <w:spacing w:before="44" w:after="0" w:line="240" w:lineRule="auto"/>
        <w:ind w:left="1178" w:right="0" w:hanging="544"/>
        <w:jc w:val="left"/>
        <w:rPr>
          <w:sz w:val="21"/>
        </w:rPr>
      </w:pPr>
      <w:r>
        <w:rPr>
          <w:spacing w:val="-1"/>
          <w:sz w:val="21"/>
        </w:rPr>
        <w:t>企业法人的</w:t>
      </w:r>
      <w:r>
        <w:rPr>
          <w:b/>
          <w:color w:val="C00000"/>
          <w:spacing w:val="-1"/>
          <w:sz w:val="21"/>
        </w:rPr>
        <w:t>分支机构、职能部门</w:t>
      </w:r>
      <w:r>
        <w:rPr>
          <w:spacing w:val="-1"/>
          <w:sz w:val="21"/>
        </w:rPr>
        <w:t>。企业法人的分支机构有法人书面授权的，可以在授权范围内提供保</w:t>
      </w:r>
    </w:p>
    <w:p>
      <w:pPr>
        <w:pStyle w:val="BodyText"/>
        <w:spacing w:before="71"/>
        <w:ind w:left="215"/>
      </w:pPr>
      <w:r>
        <w:t>证。</w:t>
      </w:r>
    </w:p>
    <w:p>
      <w:pPr>
        <w:pStyle w:val="Heading2"/>
        <w:numPr>
          <w:ilvl w:val="0"/>
          <w:numId w:val="33"/>
        </w:numPr>
        <w:tabs>
          <w:tab w:val="left" w:pos="1180"/>
        </w:tabs>
        <w:spacing w:before="74" w:after="0" w:line="240" w:lineRule="auto"/>
        <w:ind w:left="1180" w:right="0" w:hanging="545"/>
        <w:jc w:val="left"/>
        <w:rPr>
          <w:b w:val="0"/>
        </w:rPr>
      </w:pPr>
      <w:r>
        <w:rPr>
          <w:color w:val="C00000"/>
        </w:rPr>
        <w:t>国家机关</w:t>
      </w:r>
      <w:r>
        <w:rPr>
          <w:b w:val="0"/>
        </w:rPr>
        <w:t>。</w:t>
      </w:r>
    </w:p>
    <w:p>
      <w:pPr>
        <w:pStyle w:val="ListParagraph"/>
        <w:numPr>
          <w:ilvl w:val="0"/>
          <w:numId w:val="33"/>
        </w:numPr>
        <w:tabs>
          <w:tab w:val="left" w:pos="1179"/>
        </w:tabs>
        <w:spacing w:before="74" w:after="0" w:line="240" w:lineRule="auto"/>
        <w:ind w:left="1178" w:right="0" w:hanging="544"/>
        <w:jc w:val="left"/>
        <w:rPr>
          <w:sz w:val="21"/>
        </w:rPr>
      </w:pPr>
      <w:r>
        <w:rPr>
          <w:sz w:val="21"/>
        </w:rPr>
        <w:t>学校、幼儿园、医院等</w:t>
      </w:r>
      <w:r>
        <w:rPr>
          <w:b/>
          <w:color w:val="C00000"/>
          <w:sz w:val="21"/>
        </w:rPr>
        <w:t>以公益为目的</w:t>
      </w:r>
      <w:r>
        <w:rPr>
          <w:sz w:val="21"/>
        </w:rPr>
        <w:t>的事业单位、社会团体。</w:t>
      </w:r>
    </w:p>
    <w:p>
      <w:pPr>
        <w:pStyle w:val="BodyText"/>
        <w:spacing w:before="71"/>
        <w:ind w:left="215"/>
      </w:pPr>
      <w:r>
        <w:t>3、保证合同的内容</w:t>
      </w:r>
    </w:p>
    <w:p>
      <w:pPr>
        <w:spacing w:before="74" w:line="285" w:lineRule="auto"/>
        <w:ind w:left="215" w:right="309" w:firstLine="420"/>
        <w:jc w:val="left"/>
        <w:rPr>
          <w:sz w:val="21"/>
        </w:rPr>
      </w:pPr>
      <w:r>
        <w:rPr>
          <w:w w:val="95"/>
          <w:sz w:val="21"/>
        </w:rPr>
        <w:t>（1）被保证的主债权</w:t>
      </w:r>
      <w:r>
        <w:rPr>
          <w:b/>
          <w:color w:val="C00000"/>
          <w:w w:val="95"/>
          <w:sz w:val="21"/>
        </w:rPr>
        <w:t>种类、数额</w:t>
      </w:r>
      <w:r>
        <w:rPr>
          <w:w w:val="95"/>
          <w:sz w:val="21"/>
        </w:rPr>
        <w:t>；（2）债务人履行债务的</w:t>
      </w:r>
      <w:r>
        <w:rPr>
          <w:b/>
          <w:color w:val="C00000"/>
          <w:w w:val="95"/>
          <w:sz w:val="21"/>
        </w:rPr>
        <w:t>期限</w:t>
      </w:r>
      <w:r>
        <w:rPr>
          <w:w w:val="95"/>
          <w:sz w:val="21"/>
        </w:rPr>
        <w:t>；（3）保证的</w:t>
      </w:r>
      <w:r>
        <w:rPr>
          <w:b/>
          <w:color w:val="C00000"/>
          <w:w w:val="95"/>
          <w:sz w:val="21"/>
        </w:rPr>
        <w:t>方式</w:t>
      </w:r>
      <w:r>
        <w:rPr>
          <w:w w:val="95"/>
          <w:sz w:val="21"/>
        </w:rPr>
        <w:t>；（4）保证担保的</w:t>
      </w:r>
      <w:r>
        <w:rPr>
          <w:b/>
          <w:color w:val="C00000"/>
          <w:w w:val="95"/>
          <w:sz w:val="21"/>
        </w:rPr>
        <w:t>范</w:t>
      </w:r>
      <w:r>
        <w:rPr>
          <w:b/>
          <w:color w:val="C00000"/>
          <w:spacing w:val="62"/>
          <w:sz w:val="21"/>
        </w:rPr>
        <w:t xml:space="preserve"> </w:t>
      </w:r>
      <w:r>
        <w:rPr>
          <w:b/>
          <w:color w:val="C00000"/>
          <w:spacing w:val="63"/>
          <w:sz w:val="21"/>
        </w:rPr>
        <w:t xml:space="preserve"> </w:t>
      </w:r>
      <w:r>
        <w:rPr>
          <w:b/>
          <w:color w:val="C00000"/>
          <w:sz w:val="21"/>
        </w:rPr>
        <w:t>围</w:t>
      </w:r>
      <w:r>
        <w:rPr>
          <w:sz w:val="21"/>
        </w:rPr>
        <w:t>；（5）保证的</w:t>
      </w:r>
      <w:r>
        <w:rPr>
          <w:b/>
          <w:color w:val="C00000"/>
          <w:sz w:val="21"/>
        </w:rPr>
        <w:t>期间</w:t>
      </w:r>
      <w:r>
        <w:rPr>
          <w:sz w:val="21"/>
        </w:rPr>
        <w:t>；（6）双方认为需要约定的</w:t>
      </w:r>
      <w:r>
        <w:rPr>
          <w:b/>
          <w:color w:val="C00000"/>
          <w:sz w:val="21"/>
        </w:rPr>
        <w:t>其他</w:t>
      </w:r>
      <w:r>
        <w:rPr>
          <w:sz w:val="21"/>
        </w:rPr>
        <w:t>事项。</w:t>
      </w:r>
    </w:p>
    <w:p>
      <w:pPr>
        <w:pStyle w:val="BodyText"/>
        <w:spacing w:line="385" w:lineRule="exact"/>
        <w:ind w:left="215"/>
      </w:pPr>
      <w:r>
        <w:t>4、保证责任</w:t>
      </w:r>
    </w:p>
    <w:p>
      <w:pPr>
        <w:spacing w:before="74"/>
        <w:ind w:left="635" w:right="0" w:firstLine="0"/>
        <w:jc w:val="left"/>
        <w:rPr>
          <w:sz w:val="21"/>
        </w:rPr>
      </w:pPr>
      <w:r>
        <w:rPr>
          <w:sz w:val="21"/>
        </w:rPr>
        <w:t>保证合同生效后，保证人就应当在合同规定的</w:t>
      </w:r>
      <w:r>
        <w:rPr>
          <w:b/>
          <w:color w:val="C00000"/>
          <w:sz w:val="21"/>
        </w:rPr>
        <w:t>保证范围</w:t>
      </w:r>
      <w:r>
        <w:rPr>
          <w:sz w:val="21"/>
        </w:rPr>
        <w:t>和</w:t>
      </w:r>
      <w:r>
        <w:rPr>
          <w:b/>
          <w:color w:val="C00000"/>
          <w:sz w:val="21"/>
        </w:rPr>
        <w:t>保证期间</w:t>
      </w:r>
      <w:r>
        <w:rPr>
          <w:sz w:val="21"/>
        </w:rPr>
        <w:t>承担保证责任。</w:t>
      </w:r>
    </w:p>
    <w:p>
      <w:pPr>
        <w:pStyle w:val="ListParagraph"/>
        <w:numPr>
          <w:ilvl w:val="0"/>
          <w:numId w:val="7"/>
        </w:numPr>
        <w:tabs>
          <w:tab w:val="left" w:pos="1284"/>
        </w:tabs>
        <w:spacing w:before="73" w:after="0" w:line="283" w:lineRule="auto"/>
        <w:ind w:left="220" w:right="208" w:firstLine="415"/>
        <w:jc w:val="left"/>
        <w:rPr>
          <w:sz w:val="21"/>
        </w:rPr>
      </w:pPr>
      <w:r>
        <w:rPr>
          <w:w w:val="95"/>
          <w:sz w:val="21"/>
        </w:rPr>
        <w:t>保证担保的范围包括</w:t>
      </w:r>
      <w:r>
        <w:rPr>
          <w:b/>
          <w:color w:val="C00000"/>
          <w:w w:val="95"/>
          <w:sz w:val="21"/>
        </w:rPr>
        <w:t>主债权</w:t>
      </w:r>
      <w:r>
        <w:rPr>
          <w:w w:val="95"/>
          <w:sz w:val="21"/>
        </w:rPr>
        <w:t>及</w:t>
      </w:r>
      <w:r>
        <w:rPr>
          <w:b/>
          <w:color w:val="C00000"/>
          <w:w w:val="95"/>
          <w:sz w:val="21"/>
        </w:rPr>
        <w:t>利息、违约金、损害赔偿金</w:t>
      </w:r>
      <w:r>
        <w:rPr>
          <w:w w:val="95"/>
          <w:sz w:val="21"/>
        </w:rPr>
        <w:t>及</w:t>
      </w:r>
      <w:r>
        <w:rPr>
          <w:b/>
          <w:color w:val="C00000"/>
          <w:w w:val="95"/>
          <w:sz w:val="21"/>
        </w:rPr>
        <w:t>实现债权</w:t>
      </w:r>
      <w:r>
        <w:rPr>
          <w:w w:val="95"/>
          <w:sz w:val="21"/>
        </w:rPr>
        <w:t>的费用。保证合同另有约定的，</w:t>
      </w:r>
      <w:r>
        <w:rPr>
          <w:spacing w:val="109"/>
          <w:sz w:val="21"/>
        </w:rPr>
        <w:t xml:space="preserve"> </w:t>
      </w:r>
      <w:r>
        <w:rPr>
          <w:sz w:val="21"/>
        </w:rPr>
        <w:t>按照约定。当事人对保证担保的范围没有约定或者约定不明的，保证人应当对</w:t>
      </w:r>
      <w:r>
        <w:rPr>
          <w:b/>
          <w:color w:val="C00000"/>
          <w:sz w:val="21"/>
        </w:rPr>
        <w:t>全部债务承担责任</w:t>
      </w:r>
      <w:r>
        <w:rPr>
          <w:sz w:val="21"/>
        </w:rPr>
        <w:t>。</w:t>
      </w:r>
    </w:p>
    <w:p>
      <w:pPr>
        <w:pStyle w:val="ListParagraph"/>
        <w:numPr>
          <w:ilvl w:val="0"/>
          <w:numId w:val="7"/>
        </w:numPr>
        <w:tabs>
          <w:tab w:val="left" w:pos="1284"/>
        </w:tabs>
        <w:spacing w:before="6" w:after="0" w:line="240" w:lineRule="auto"/>
        <w:ind w:left="1283" w:right="0" w:hanging="649"/>
        <w:jc w:val="left"/>
        <w:rPr>
          <w:sz w:val="21"/>
        </w:rPr>
      </w:pPr>
      <w:r>
        <w:rPr>
          <w:w w:val="95"/>
          <w:sz w:val="21"/>
        </w:rPr>
        <w:t>一般保证的保证人未约定保证期间的，保证期间为主债务履行期届满之日起</w:t>
      </w:r>
      <w:r>
        <w:rPr>
          <w:spacing w:val="137"/>
          <w:sz w:val="21"/>
        </w:rPr>
        <w:t xml:space="preserve"> </w:t>
      </w:r>
      <w:r>
        <w:rPr>
          <w:b/>
          <w:color w:val="C00000"/>
          <w:w w:val="95"/>
          <w:sz w:val="21"/>
        </w:rPr>
        <w:t>6</w:t>
      </w:r>
      <w:r>
        <w:rPr>
          <w:b/>
          <w:color w:val="C00000"/>
          <w:spacing w:val="137"/>
          <w:sz w:val="21"/>
        </w:rPr>
        <w:t xml:space="preserve"> </w:t>
      </w:r>
      <w:r>
        <w:rPr>
          <w:b/>
          <w:color w:val="C00000"/>
          <w:w w:val="95"/>
          <w:sz w:val="21"/>
        </w:rPr>
        <w:t>个月</w:t>
      </w:r>
      <w:r>
        <w:rPr>
          <w:w w:val="95"/>
          <w:sz w:val="21"/>
        </w:rPr>
        <w:t>。</w:t>
      </w:r>
    </w:p>
    <w:p>
      <w:pPr>
        <w:spacing w:after="0" w:line="240" w:lineRule="auto"/>
        <w:jc w:val="left"/>
        <w:rPr>
          <w:sz w:val="21"/>
        </w:rPr>
        <w:sectPr>
          <w:footerReference w:type="default" r:id="rId9"/>
          <w:pgSz w:w="11910" w:h="8390" w:orient="landscape"/>
          <w:pgMar w:top="220" w:right="580" w:bottom="1640" w:left="680" w:header="0" w:footer="1447" w:gutter="0"/>
          <w:pgNumType w:start="5"/>
          <w:cols w:space="708"/>
        </w:sectPr>
      </w:pPr>
    </w:p>
    <w:p>
      <w:pPr>
        <w:pStyle w:val="BodyText"/>
        <w:rPr>
          <w:sz w:val="20"/>
        </w:rPr>
      </w:pPr>
      <w:r>
        <w:pict>
          <v:group id="docshapegroup72" o:spid="_x0000_s1083" style="width:38.9pt;height:74.7pt;margin-top:312pt;margin-left:554.85pt;mso-height-relative:page;mso-position-horizontal-relative:page;mso-position-vertical-relative:page;mso-width-relative:page;position:absolute;z-index:-251635712" coordorigin="11097,6240" coordsize="778,1494">
            <v:shape id="docshape73" o:spid="_x0000_s1084" style="width:778;height:1215;left:11097;position:absolute;top:6519" coordorigin="11097,6519" coordsize="778,1215" path="m11875,7734l11309,7292,11289,7292,11289,7276,11097,7126,11875,6519,11875,7734xe" filled="t" fillcolor="#dd9545" stroked="f">
              <v:path arrowok="t"/>
            </v:shape>
            <v:shape id="docshape74" o:spid="_x0000_s1085" style="width:778;height:1215;left:11097;position:absolute;top:6240" coordorigin="11097,6240" coordsize="778,1215" path="m11875,7455l11097,6847,11875,6240,11875,7455xe" filled="t" fillcolor="#c3542f" stroked="f">
              <v:path arrowok="t"/>
            </v:shape>
          </v:group>
        </w:pict>
      </w:r>
      <w:r>
        <w:pict>
          <v:group id="docshapegroup75" o:spid="_x0000_s1086" style="width:36.85pt;height:69.25pt;margin-top:11.9pt;margin-left:0;mso-height-relative:page;mso-position-horizontal-relative:page;mso-position-vertical-relative:page;mso-width-relative:page;position:absolute;z-index:-251634688" coordorigin="0,238" coordsize="737,1385">
            <v:shape id="docshape76" o:spid="_x0000_s1087" style="width:737;height:1206;position:absolute;top:238" coordorigin="0,238" coordsize="737,1206" path="m,1444l,238,737,841,,1444xe" filled="t" fillcolor="#dd9545" stroked="f">
              <v:path arrowok="t"/>
            </v:shape>
            <v:shape id="docshape77" o:spid="_x0000_s1088"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Heading1"/>
      </w:pPr>
      <w:bookmarkStart w:id="4" w:name="强训点3：施工投标保证"/>
      <w:bookmarkEnd w:id="4"/>
      <w:bookmarkStart w:id="5" w:name="_bookmark2"/>
      <w:bookmarkEnd w:id="5"/>
      <w:r>
        <w:rPr>
          <w:color w:val="FFFFFF"/>
          <w:spacing w:val="-3"/>
          <w:shd w:val="clear" w:color="auto" w:fill="C55811"/>
        </w:rPr>
        <w:t xml:space="preserve">强训点 </w:t>
      </w:r>
      <w:r>
        <w:rPr>
          <w:color w:val="FFFFFF"/>
          <w:shd w:val="clear" w:color="auto" w:fill="C55811"/>
        </w:rPr>
        <w:t>3：施工投标保证</w:t>
      </w:r>
    </w:p>
    <w:p>
      <w:pPr>
        <w:pStyle w:val="Heading2"/>
      </w:pPr>
      <w:r>
        <w:t>考频：单选多选，每年必考</w:t>
      </w:r>
    </w:p>
    <w:p>
      <w:pPr>
        <w:spacing w:before="74"/>
        <w:ind w:left="215" w:right="0" w:firstLine="0"/>
        <w:jc w:val="left"/>
        <w:rPr>
          <w:b/>
          <w:sz w:val="21"/>
        </w:rPr>
      </w:pPr>
      <w:r>
        <w:rPr>
          <w:b/>
          <w:sz w:val="21"/>
        </w:rPr>
        <w:t>关键词：没收投标保证金的情况、2%</w:t>
      </w:r>
    </w:p>
    <w:p>
      <w:pPr>
        <w:spacing w:before="73" w:line="285" w:lineRule="auto"/>
        <w:ind w:left="215" w:right="210" w:firstLine="420"/>
        <w:jc w:val="left"/>
        <w:rPr>
          <w:sz w:val="21"/>
        </w:rPr>
      </w:pPr>
      <w:r>
        <w:rPr>
          <w:b/>
          <w:color w:val="C00000"/>
          <w:sz w:val="21"/>
        </w:rPr>
        <w:t>投标保证金</w:t>
      </w:r>
      <w:r>
        <w:rPr>
          <w:sz w:val="21"/>
        </w:rPr>
        <w:t>是指在招标投标活动中，投标人随投标文件一同递交给招标人的一定形式、一定金额的投标责</w:t>
      </w:r>
      <w:r>
        <w:rPr>
          <w:w w:val="95"/>
          <w:sz w:val="21"/>
        </w:rPr>
        <w:t>任担保。其主要保证投标人在递交投标文件后</w:t>
      </w:r>
      <w:r>
        <w:rPr>
          <w:b/>
          <w:color w:val="C00000"/>
          <w:w w:val="95"/>
          <w:sz w:val="21"/>
        </w:rPr>
        <w:t>不得撤销投标文</w:t>
      </w:r>
      <w:r>
        <w:rPr>
          <w:w w:val="95"/>
          <w:sz w:val="21"/>
        </w:rPr>
        <w:t>件，中标后</w:t>
      </w:r>
      <w:r>
        <w:rPr>
          <w:b/>
          <w:color w:val="C00000"/>
          <w:w w:val="95"/>
          <w:sz w:val="21"/>
        </w:rPr>
        <w:t>不得无正当理由不与招标人订立合同</w:t>
      </w:r>
      <w:r>
        <w:rPr>
          <w:w w:val="95"/>
          <w:sz w:val="21"/>
        </w:rPr>
        <w:t>，</w:t>
      </w:r>
      <w:r>
        <w:rPr>
          <w:spacing w:val="57"/>
          <w:sz w:val="21"/>
        </w:rPr>
        <w:t xml:space="preserve"> </w:t>
      </w:r>
      <w:r>
        <w:rPr>
          <w:spacing w:val="58"/>
          <w:sz w:val="21"/>
        </w:rPr>
        <w:t xml:space="preserve"> </w:t>
      </w:r>
      <w:r>
        <w:rPr>
          <w:sz w:val="21"/>
        </w:rPr>
        <w:t>在签订合同时</w:t>
      </w:r>
      <w:r>
        <w:rPr>
          <w:b/>
          <w:color w:val="C00000"/>
          <w:sz w:val="21"/>
        </w:rPr>
        <w:t>不得向招标人提出附加条件</w:t>
      </w:r>
      <w:r>
        <w:rPr>
          <w:sz w:val="21"/>
        </w:rPr>
        <w:t>或者不按照招标文件要求提交</w:t>
      </w:r>
      <w:r>
        <w:rPr>
          <w:b/>
          <w:color w:val="C00000"/>
          <w:sz w:val="21"/>
        </w:rPr>
        <w:t>履约保证金</w:t>
      </w:r>
      <w:r>
        <w:rPr>
          <w:spacing w:val="-3"/>
          <w:sz w:val="21"/>
        </w:rPr>
        <w:t>，否则， 招标人有权不予返</w:t>
      </w:r>
      <w:r>
        <w:rPr>
          <w:sz w:val="21"/>
        </w:rPr>
        <w:t>还其递交的投标保证金。</w:t>
      </w:r>
    </w:p>
    <w:p>
      <w:pPr>
        <w:pStyle w:val="BodyText"/>
        <w:spacing w:line="285" w:lineRule="auto"/>
        <w:ind w:left="215" w:right="316" w:firstLine="420"/>
      </w:pPr>
      <w:r>
        <w:rPr>
          <w:w w:val="95"/>
        </w:rPr>
        <w:t>招标人</w:t>
      </w:r>
      <w:r>
        <w:rPr>
          <w:b/>
          <w:color w:val="C00000"/>
          <w:w w:val="95"/>
        </w:rPr>
        <w:t>可以</w:t>
      </w:r>
      <w:r>
        <w:rPr>
          <w:w w:val="95"/>
        </w:rPr>
        <w:t>在</w:t>
      </w:r>
      <w:r>
        <w:rPr>
          <w:b/>
          <w:color w:val="C00000"/>
          <w:w w:val="95"/>
        </w:rPr>
        <w:t>招标文件中</w:t>
      </w:r>
      <w:r>
        <w:rPr>
          <w:w w:val="95"/>
        </w:rPr>
        <w:t>要求投标人提交投标保证金。投标人应提交规定金额的投标保证金，并作为其投</w:t>
      </w:r>
      <w:r>
        <w:rPr>
          <w:spacing w:val="93"/>
        </w:rPr>
        <w:t xml:space="preserve"> </w:t>
      </w:r>
      <w:r>
        <w:rPr>
          <w:spacing w:val="94"/>
        </w:rPr>
        <w:t xml:space="preserve"> </w:t>
      </w:r>
      <w:r>
        <w:rPr>
          <w:spacing w:val="-1"/>
        </w:rPr>
        <w:t xml:space="preserve">标书的一部分，数额不得超过招标项目估算价的 </w:t>
      </w:r>
      <w:r>
        <w:rPr>
          <w:b/>
          <w:color w:val="C00000"/>
        </w:rPr>
        <w:t>2%</w:t>
      </w:r>
      <w:r>
        <w:t>。</w:t>
      </w:r>
    </w:p>
    <w:p>
      <w:pPr>
        <w:spacing w:before="0" w:line="285" w:lineRule="auto"/>
        <w:ind w:left="215" w:right="316" w:firstLine="420"/>
        <w:jc w:val="both"/>
        <w:rPr>
          <w:sz w:val="21"/>
        </w:rPr>
      </w:pPr>
      <w:r>
        <w:rPr>
          <w:b/>
          <w:color w:val="C00000"/>
          <w:w w:val="95"/>
          <w:sz w:val="21"/>
        </w:rPr>
        <w:t>投标保证金有效期应当与投标有效期一致</w:t>
      </w:r>
      <w:r>
        <w:rPr>
          <w:w w:val="95"/>
          <w:sz w:val="21"/>
        </w:rPr>
        <w:t>，投标有效期从提交投标文件的</w:t>
      </w:r>
      <w:r>
        <w:rPr>
          <w:b/>
          <w:color w:val="C00000"/>
          <w:w w:val="95"/>
          <w:sz w:val="21"/>
        </w:rPr>
        <w:t>截止之日</w:t>
      </w:r>
      <w:r>
        <w:rPr>
          <w:w w:val="95"/>
          <w:sz w:val="21"/>
        </w:rPr>
        <w:t>起算。截止时间根据招</w:t>
      </w:r>
      <w:r>
        <w:rPr>
          <w:spacing w:val="99"/>
          <w:sz w:val="21"/>
        </w:rPr>
        <w:t xml:space="preserve"> </w:t>
      </w:r>
      <w:r>
        <w:rPr>
          <w:spacing w:val="100"/>
          <w:sz w:val="21"/>
        </w:rPr>
        <w:t xml:space="preserve"> </w:t>
      </w:r>
      <w:r>
        <w:rPr>
          <w:w w:val="95"/>
          <w:sz w:val="21"/>
        </w:rPr>
        <w:t>标项目的情况由招标文件规定。若由于评标时间过长，而使保证到期，招标人应当通知投标人</w:t>
      </w:r>
      <w:r>
        <w:rPr>
          <w:b/>
          <w:color w:val="C00000"/>
          <w:w w:val="95"/>
          <w:sz w:val="21"/>
        </w:rPr>
        <w:t>延长</w:t>
      </w:r>
      <w:r>
        <w:rPr>
          <w:w w:val="95"/>
          <w:sz w:val="21"/>
        </w:rPr>
        <w:t>保函或者保</w:t>
      </w:r>
      <w:r>
        <w:rPr>
          <w:spacing w:val="104"/>
          <w:sz w:val="21"/>
        </w:rPr>
        <w:t xml:space="preserve"> </w:t>
      </w:r>
      <w:r>
        <w:rPr>
          <w:spacing w:val="105"/>
          <w:sz w:val="21"/>
        </w:rPr>
        <w:t xml:space="preserve"> </w:t>
      </w:r>
      <w:r>
        <w:rPr>
          <w:sz w:val="21"/>
        </w:rPr>
        <w:t>证书有效期。</w:t>
      </w:r>
    </w:p>
    <w:p>
      <w:pPr>
        <w:pStyle w:val="BodyText"/>
        <w:spacing w:line="385" w:lineRule="exact"/>
        <w:ind w:left="635"/>
        <w:jc w:val="both"/>
      </w:pPr>
      <w:r>
        <w:rPr>
          <w:w w:val="95"/>
        </w:rPr>
        <w:t>招标人最迟应当在书面合同签订后</w:t>
      </w:r>
      <w:r>
        <w:rPr>
          <w:spacing w:val="62"/>
        </w:rPr>
        <w:t xml:space="preserve">  </w:t>
      </w:r>
      <w:r>
        <w:rPr>
          <w:b/>
          <w:color w:val="C00000"/>
          <w:w w:val="95"/>
        </w:rPr>
        <w:t>5</w:t>
      </w:r>
      <w:r>
        <w:rPr>
          <w:b/>
          <w:color w:val="C00000"/>
          <w:spacing w:val="62"/>
        </w:rPr>
        <w:t xml:space="preserve">  </w:t>
      </w:r>
      <w:r>
        <w:rPr>
          <w:b/>
          <w:color w:val="C00000"/>
          <w:w w:val="95"/>
        </w:rPr>
        <w:t>日内</w:t>
      </w:r>
      <w:r>
        <w:rPr>
          <w:w w:val="95"/>
        </w:rPr>
        <w:t>向中标人和未中标的投标人退还投标保证金及银行同期存款利息。</w:t>
      </w:r>
    </w:p>
    <w:p>
      <w:pPr>
        <w:spacing w:after="0" w:line="385" w:lineRule="exact"/>
        <w:jc w:val="both"/>
        <w:sectPr>
          <w:footerReference w:type="default" r:id="rId10"/>
          <w:pgSz w:w="11910" w:h="8390" w:orient="landscape"/>
          <w:pgMar w:top="220" w:right="580" w:bottom="1180" w:left="680" w:header="0" w:footer="986" w:gutter="0"/>
          <w:pgNumType w:start="6"/>
          <w:cols w:space="708"/>
        </w:sectPr>
      </w:pPr>
    </w:p>
    <w:p>
      <w:pPr>
        <w:pStyle w:val="BodyText"/>
        <w:rPr>
          <w:sz w:val="20"/>
        </w:rPr>
      </w:pPr>
      <w:r>
        <w:pict>
          <v:group id="docshapegroup78" o:spid="_x0000_s1089" style="width:38.9pt;height:74.7pt;margin-top:312pt;margin-left:554.85pt;mso-height-relative:page;mso-position-horizontal-relative:page;mso-position-vertical-relative:page;mso-width-relative:page;position:absolute;z-index:251682816" coordorigin="11097,6240" coordsize="778,1494">
            <v:shape id="docshape79" o:spid="_x0000_s1090" style="width:778;height:1215;left:11097;position:absolute;top:6519" coordorigin="11097,6519" coordsize="778,1215" path="m11875,7734l11309,7292,11289,7292,11289,7276,11097,7126,11875,6519,11875,7734xe" filled="t" fillcolor="#dd9545" stroked="f">
              <v:path arrowok="t"/>
            </v:shape>
            <v:shape id="docshape80" o:spid="_x0000_s1091" style="width:778;height:1215;left:11097;position:absolute;top:6240" coordorigin="11097,6240" coordsize="778,1215" path="m11875,7455l11097,6847,11875,6240,11875,7455xe" filled="t" fillcolor="#c3542f" stroked="f">
              <v:path arrowok="t"/>
            </v:shape>
          </v:group>
        </w:pict>
      </w:r>
      <w:r>
        <w:pict>
          <v:group id="docshapegroup81" o:spid="_x0000_s1092" style="width:36.85pt;height:69.25pt;margin-top:11.9pt;margin-left:0;mso-height-relative:page;mso-position-horizontal-relative:page;mso-position-vertical-relative:page;mso-width-relative:page;position:absolute;z-index:-251632640" coordorigin="0,238" coordsize="737,1385">
            <v:shape id="docshape82" o:spid="_x0000_s1093" style="width:737;height:1206;position:absolute;top:238" coordorigin="0,238" coordsize="737,1206" path="m,1444l,238,737,841,,1444xe" filled="t" fillcolor="#dd9545" stroked="f">
              <v:path arrowok="t"/>
            </v:shape>
            <v:shape id="docshape83" o:spid="_x0000_s1094"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ind w:left="635" w:right="0" w:firstLine="0"/>
        <w:jc w:val="left"/>
        <w:rPr>
          <w:sz w:val="21"/>
        </w:rPr>
      </w:pPr>
      <w:r>
        <w:rPr>
          <w:sz w:val="21"/>
        </w:rPr>
        <w:t>下列</w:t>
      </w:r>
      <w:r>
        <w:rPr>
          <w:b/>
          <w:color w:val="C00000"/>
          <w:sz w:val="21"/>
        </w:rPr>
        <w:t>任何情况发生</w:t>
      </w:r>
      <w:r>
        <w:rPr>
          <w:sz w:val="21"/>
        </w:rPr>
        <w:t>时，投标保证金被</w:t>
      </w:r>
      <w:r>
        <w:rPr>
          <w:b/>
          <w:color w:val="C00000"/>
          <w:sz w:val="21"/>
        </w:rPr>
        <w:t>没收</w:t>
      </w:r>
      <w:r>
        <w:rPr>
          <w:sz w:val="21"/>
        </w:rPr>
        <w:t>：</w:t>
      </w:r>
    </w:p>
    <w:p>
      <w:pPr>
        <w:spacing w:before="71"/>
        <w:ind w:left="635" w:right="0" w:firstLine="0"/>
        <w:jc w:val="left"/>
        <w:rPr>
          <w:sz w:val="21"/>
        </w:rPr>
      </w:pPr>
      <w:r>
        <w:rPr>
          <w:sz w:val="21"/>
        </w:rPr>
        <w:t>一是投标人在投标函格式中</w:t>
      </w:r>
      <w:r>
        <w:rPr>
          <w:b/>
          <w:color w:val="C00000"/>
          <w:sz w:val="21"/>
        </w:rPr>
        <w:t>规定的投标有效期内撤回其投标</w:t>
      </w:r>
      <w:r>
        <w:rPr>
          <w:sz w:val="21"/>
        </w:rPr>
        <w:t>；</w:t>
      </w:r>
    </w:p>
    <w:p>
      <w:pPr>
        <w:spacing w:before="74" w:line="285" w:lineRule="auto"/>
        <w:ind w:left="635" w:right="1398" w:firstLine="0"/>
        <w:jc w:val="left"/>
        <w:rPr>
          <w:sz w:val="21"/>
        </w:rPr>
      </w:pPr>
      <w:r>
        <w:rPr>
          <w:w w:val="95"/>
          <w:sz w:val="21"/>
        </w:rPr>
        <w:t>二是中标人在</w:t>
      </w:r>
      <w:r>
        <w:rPr>
          <w:b/>
          <w:color w:val="C00000"/>
          <w:w w:val="95"/>
          <w:sz w:val="21"/>
        </w:rPr>
        <w:t>规定期限内无正当理由未能根据规定签订合同</w:t>
      </w:r>
      <w:r>
        <w:rPr>
          <w:w w:val="95"/>
          <w:sz w:val="21"/>
        </w:rPr>
        <w:t>，或根据规定接受对错误的修正；</w:t>
      </w:r>
      <w:r>
        <w:rPr>
          <w:spacing w:val="166"/>
          <w:sz w:val="21"/>
        </w:rPr>
        <w:t xml:space="preserve"> </w:t>
      </w:r>
      <w:r>
        <w:rPr>
          <w:sz w:val="21"/>
        </w:rPr>
        <w:t>三是中标人根据规定</w:t>
      </w:r>
      <w:r>
        <w:rPr>
          <w:b/>
          <w:color w:val="C00000"/>
          <w:sz w:val="21"/>
        </w:rPr>
        <w:t>未能提交履约保证金</w:t>
      </w:r>
      <w:r>
        <w:rPr>
          <w:sz w:val="21"/>
        </w:rPr>
        <w:t>；</w:t>
      </w:r>
    </w:p>
    <w:p>
      <w:pPr>
        <w:spacing w:before="0" w:line="385" w:lineRule="exact"/>
        <w:ind w:left="635" w:right="0" w:firstLine="0"/>
        <w:jc w:val="left"/>
        <w:rPr>
          <w:sz w:val="21"/>
        </w:rPr>
      </w:pPr>
      <w:r>
        <w:rPr>
          <w:sz w:val="21"/>
        </w:rPr>
        <w:t>四是投标人</w:t>
      </w:r>
      <w:r>
        <w:rPr>
          <w:b/>
          <w:color w:val="C00000"/>
          <w:sz w:val="21"/>
        </w:rPr>
        <w:t>采用不正当的手段骗取中标</w:t>
      </w:r>
      <w:r>
        <w:rPr>
          <w:sz w:val="21"/>
        </w:rPr>
        <w:t>。</w:t>
      </w:r>
    </w:p>
    <w:p>
      <w:pPr>
        <w:pStyle w:val="Heading1"/>
        <w:spacing w:before="32"/>
      </w:pPr>
      <w:bookmarkStart w:id="6" w:name="强训点4：建筑工程一切险（及第三者责任险）"/>
      <w:bookmarkEnd w:id="6"/>
      <w:bookmarkStart w:id="7" w:name="_bookmark3"/>
      <w:bookmarkEnd w:id="7"/>
      <w:r>
        <w:rPr>
          <w:color w:val="FFFFFF"/>
          <w:spacing w:val="-3"/>
          <w:shd w:val="clear" w:color="auto" w:fill="C55811"/>
        </w:rPr>
        <w:t xml:space="preserve">强训点 </w:t>
      </w:r>
      <w:r>
        <w:rPr>
          <w:color w:val="FFFFFF"/>
          <w:shd w:val="clear" w:color="auto" w:fill="C55811"/>
        </w:rPr>
        <w:t>4：建筑工程一切险（及第三者责任险）</w:t>
      </w:r>
    </w:p>
    <w:p>
      <w:pPr>
        <w:pStyle w:val="Heading2"/>
        <w:spacing w:before="60"/>
      </w:pPr>
      <w:r>
        <w:t>考频：常考</w:t>
      </w:r>
    </w:p>
    <w:p>
      <w:pPr>
        <w:spacing w:before="72"/>
        <w:ind w:left="215" w:right="0" w:firstLine="0"/>
        <w:jc w:val="left"/>
        <w:rPr>
          <w:b/>
          <w:sz w:val="21"/>
        </w:rPr>
      </w:pPr>
      <w:r>
        <w:rPr>
          <w:b/>
          <w:sz w:val="21"/>
        </w:rPr>
        <w:t>关键词：建造过程中的自然灾害或意外事故</w:t>
      </w:r>
    </w:p>
    <w:p>
      <w:pPr>
        <w:pStyle w:val="BodyText"/>
        <w:spacing w:before="73"/>
        <w:ind w:left="215"/>
      </w:pPr>
      <w:r>
        <w:t>1、定义</w:t>
      </w:r>
    </w:p>
    <w:p>
      <w:pPr>
        <w:spacing w:before="74" w:line="283" w:lineRule="auto"/>
        <w:ind w:left="215" w:right="315" w:firstLine="420"/>
        <w:jc w:val="left"/>
        <w:rPr>
          <w:sz w:val="21"/>
        </w:rPr>
      </w:pPr>
      <w:r>
        <w:rPr>
          <w:w w:val="95"/>
          <w:sz w:val="21"/>
        </w:rPr>
        <w:t>建筑工程一切险是承包各类民用、工业和公用事业</w:t>
      </w:r>
      <w:r>
        <w:rPr>
          <w:b/>
          <w:color w:val="C00000"/>
          <w:w w:val="95"/>
          <w:sz w:val="21"/>
        </w:rPr>
        <w:t>建筑工程项目</w:t>
      </w:r>
      <w:r>
        <w:rPr>
          <w:w w:val="95"/>
          <w:sz w:val="21"/>
        </w:rPr>
        <w:t>，包括道路、桥梁、水坝、港口等，在</w:t>
      </w:r>
      <w:r>
        <w:rPr>
          <w:b/>
          <w:color w:val="C00000"/>
          <w:w w:val="95"/>
          <w:sz w:val="21"/>
        </w:rPr>
        <w:t>建</w:t>
      </w:r>
      <w:r>
        <w:rPr>
          <w:b/>
          <w:color w:val="C00000"/>
          <w:spacing w:val="93"/>
          <w:sz w:val="21"/>
        </w:rPr>
        <w:t xml:space="preserve"> </w:t>
      </w:r>
      <w:r>
        <w:rPr>
          <w:b/>
          <w:color w:val="C00000"/>
          <w:spacing w:val="94"/>
          <w:sz w:val="21"/>
        </w:rPr>
        <w:t xml:space="preserve"> </w:t>
      </w:r>
      <w:r>
        <w:rPr>
          <w:b/>
          <w:color w:val="C00000"/>
          <w:sz w:val="21"/>
        </w:rPr>
        <w:t>造过程中</w:t>
      </w:r>
      <w:r>
        <w:rPr>
          <w:sz w:val="21"/>
        </w:rPr>
        <w:t>因</w:t>
      </w:r>
      <w:r>
        <w:rPr>
          <w:b/>
          <w:color w:val="C00000"/>
          <w:sz w:val="21"/>
        </w:rPr>
        <w:t>自然灾害</w:t>
      </w:r>
      <w:r>
        <w:rPr>
          <w:sz w:val="21"/>
        </w:rPr>
        <w:t>或</w:t>
      </w:r>
      <w:r>
        <w:rPr>
          <w:b/>
          <w:color w:val="C00000"/>
          <w:sz w:val="21"/>
        </w:rPr>
        <w:t>意外事故</w:t>
      </w:r>
      <w:r>
        <w:rPr>
          <w:sz w:val="21"/>
        </w:rPr>
        <w:t>而引起的一切损失的险种。</w:t>
      </w:r>
    </w:p>
    <w:p>
      <w:pPr>
        <w:pStyle w:val="BodyText"/>
        <w:spacing w:before="6"/>
        <w:ind w:left="215"/>
      </w:pPr>
      <w:r>
        <w:t>2、责任范围</w:t>
      </w:r>
    </w:p>
    <w:p>
      <w:pPr>
        <w:pStyle w:val="Heading2"/>
        <w:numPr>
          <w:ilvl w:val="0"/>
          <w:numId w:val="8"/>
        </w:numPr>
        <w:tabs>
          <w:tab w:val="left" w:pos="760"/>
        </w:tabs>
        <w:spacing w:before="73" w:after="0" w:line="240" w:lineRule="auto"/>
        <w:ind w:left="760" w:right="0" w:hanging="545"/>
        <w:jc w:val="left"/>
      </w:pPr>
      <w:r>
        <w:rPr>
          <w:color w:val="C00000"/>
        </w:rPr>
        <w:t>自然灾害</w:t>
      </w:r>
    </w:p>
    <w:p>
      <w:pPr>
        <w:spacing w:after="0" w:line="240" w:lineRule="auto"/>
        <w:jc w:val="left"/>
        <w:sectPr>
          <w:footerReference w:type="default" r:id="rId11"/>
          <w:pgSz w:w="11910" w:h="8390" w:orient="landscape"/>
          <w:pgMar w:top="220" w:right="580" w:bottom="1180" w:left="680" w:header="0" w:footer="986" w:gutter="0"/>
          <w:pgNumType w:start="7"/>
          <w:cols w:space="708"/>
        </w:sectPr>
      </w:pPr>
    </w:p>
    <w:p>
      <w:pPr>
        <w:pStyle w:val="BodyText"/>
        <w:rPr>
          <w:b/>
          <w:sz w:val="20"/>
        </w:rPr>
      </w:pPr>
      <w:r>
        <w:pict>
          <v:group id="docshapegroup84" o:spid="_x0000_s1095" style="width:38.9pt;height:74.7pt;margin-top:312pt;margin-left:554.85pt;mso-height-relative:page;mso-position-horizontal-relative:page;mso-position-vertical-relative:page;mso-width-relative:page;position:absolute;z-index:251684864" coordorigin="11097,6240" coordsize="778,1494">
            <v:shape id="docshape85" o:spid="_x0000_s1096" style="width:778;height:1215;left:11097;position:absolute;top:6519" coordorigin="11097,6519" coordsize="778,1215" path="m11875,7734l11309,7292,11289,7292,11289,7276,11097,7126,11875,6519,11875,7734xe" filled="t" fillcolor="#dd9545" stroked="f">
              <v:path arrowok="t"/>
            </v:shape>
            <v:shape id="docshape86" o:spid="_x0000_s1097" style="width:778;height:1215;left:11097;position:absolute;top:6240" coordorigin="11097,6240" coordsize="778,1215" path="m11875,7455l11097,6847,11875,6240,11875,7455xe" filled="t" fillcolor="#c3542f" stroked="f">
              <v:path arrowok="t"/>
            </v:shape>
          </v:group>
        </w:pict>
      </w:r>
      <w:r>
        <w:pict>
          <v:group id="docshapegroup87" o:spid="_x0000_s1098" style="width:36.85pt;height:69.25pt;margin-top:11.9pt;margin-left:0;mso-height-relative:page;mso-position-horizontal-relative:page;mso-position-vertical-relative:page;mso-width-relative:page;position:absolute;z-index:-251630592" coordorigin="0,238" coordsize="737,1385">
            <v:shape id="docshape88" o:spid="_x0000_s1099" style="width:737;height:1206;position:absolute;top:238" coordorigin="0,238" coordsize="737,1206" path="m,1444l,238,737,841,,1444xe" filled="t" fillcolor="#dd9545" stroked="f">
              <v:path arrowok="t"/>
            </v:shape>
            <v:shape id="docshape89" o:spid="_x0000_s1100"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pStyle w:val="BodyText"/>
        <w:spacing w:before="44" w:line="283" w:lineRule="auto"/>
        <w:ind w:left="215" w:right="198" w:firstLine="420"/>
      </w:pPr>
      <w:r>
        <w:rPr>
          <w:w w:val="95"/>
        </w:rPr>
        <w:t>指地震、海啸、雷电、飓风、台风、龙卷风、风暴、暴雨、洪水、水灾、冻灾、冰雹、地崩、山崩、雪崩、</w:t>
      </w:r>
      <w:r>
        <w:rPr>
          <w:spacing w:val="169"/>
        </w:rPr>
        <w:t xml:space="preserve"> </w:t>
      </w:r>
      <w:r>
        <w:t>火山爆发、地面</w:t>
      </w:r>
      <w:r>
        <w:rPr>
          <w:b/>
          <w:color w:val="C00000"/>
        </w:rPr>
        <w:t>下陷下沉</w:t>
      </w:r>
      <w:r>
        <w:t>及其他人力</w:t>
      </w:r>
      <w:r>
        <w:rPr>
          <w:b/>
          <w:color w:val="C00000"/>
        </w:rPr>
        <w:t>不可抗拒</w:t>
      </w:r>
      <w:r>
        <w:t>的破坏力强大的自然现象。</w:t>
      </w:r>
    </w:p>
    <w:p>
      <w:pPr>
        <w:pStyle w:val="Heading2"/>
        <w:numPr>
          <w:ilvl w:val="0"/>
          <w:numId w:val="8"/>
        </w:numPr>
        <w:tabs>
          <w:tab w:val="left" w:pos="760"/>
        </w:tabs>
        <w:spacing w:before="6" w:after="0" w:line="240" w:lineRule="auto"/>
        <w:ind w:left="760" w:right="0" w:hanging="545"/>
        <w:jc w:val="left"/>
      </w:pPr>
      <w:r>
        <w:rPr>
          <w:color w:val="C00000"/>
        </w:rPr>
        <w:t>意外事故</w:t>
      </w:r>
    </w:p>
    <w:p>
      <w:pPr>
        <w:pStyle w:val="BodyText"/>
        <w:spacing w:before="74" w:line="283" w:lineRule="auto"/>
        <w:ind w:left="215" w:right="873" w:firstLine="525"/>
      </w:pPr>
      <w:r>
        <w:rPr>
          <w:w w:val="95"/>
        </w:rPr>
        <w:t>指不可预料的以及被保险人无法控制并造成物质损失或人身伤亡的突发性事件，包括</w:t>
      </w:r>
      <w:r>
        <w:rPr>
          <w:b/>
          <w:color w:val="C00000"/>
          <w:w w:val="95"/>
        </w:rPr>
        <w:t>火灾</w:t>
      </w:r>
      <w:r>
        <w:rPr>
          <w:w w:val="95"/>
        </w:rPr>
        <w:t>和</w:t>
      </w:r>
      <w:r>
        <w:rPr>
          <w:b/>
          <w:color w:val="C00000"/>
          <w:w w:val="95"/>
        </w:rPr>
        <w:t>爆炸。</w:t>
      </w:r>
      <w:r>
        <w:rPr>
          <w:b/>
          <w:color w:val="C00000"/>
          <w:spacing w:val="105"/>
        </w:rPr>
        <w:t xml:space="preserve"> </w:t>
      </w:r>
      <w:r>
        <w:rPr>
          <w:b/>
          <w:color w:val="C00000"/>
          <w:spacing w:val="106"/>
        </w:rPr>
        <w:t xml:space="preserve"> </w:t>
      </w:r>
      <w:r>
        <w:t>3、除外责任</w:t>
      </w:r>
    </w:p>
    <w:p>
      <w:pPr>
        <w:tabs>
          <w:tab w:val="left" w:pos="1055"/>
        </w:tabs>
        <w:spacing w:before="5"/>
        <w:ind w:left="215" w:right="0" w:firstLine="0"/>
        <w:jc w:val="left"/>
        <w:rPr>
          <w:b/>
          <w:sz w:val="21"/>
        </w:rPr>
      </w:pPr>
      <w:r>
        <w:rPr>
          <w:sz w:val="21"/>
        </w:rPr>
        <w:t>第一类</w:t>
      </w:r>
      <w:r>
        <w:rPr>
          <w:sz w:val="21"/>
        </w:rPr>
        <w:tab/>
      </w:r>
      <w:r>
        <w:rPr>
          <w:b/>
          <w:color w:val="C00000"/>
          <w:sz w:val="21"/>
        </w:rPr>
        <w:t>必然的、正常的损失</w:t>
      </w:r>
    </w:p>
    <w:p>
      <w:pPr>
        <w:pStyle w:val="BodyText"/>
        <w:spacing w:before="74" w:line="283" w:lineRule="auto"/>
        <w:ind w:left="215" w:right="316" w:firstLine="420"/>
      </w:pPr>
      <w:r>
        <w:rPr>
          <w:w w:val="95"/>
        </w:rPr>
        <w:t>②自然磨损、内在或潜在缺陷、物质本身变化、自燃、自热、氧化、锈蚀、渗漏、鼠咬、虫蛀、大气（气</w:t>
      </w:r>
      <w:r>
        <w:rPr>
          <w:spacing w:val="93"/>
        </w:rPr>
        <w:t xml:space="preserve"> </w:t>
      </w:r>
      <w:r>
        <w:rPr>
          <w:spacing w:val="94"/>
        </w:rPr>
        <w:t xml:space="preserve"> </w:t>
      </w:r>
      <w:r>
        <w:t>候或气温）变化、正常水位变化或其他渐变原因造成的保险财产自身的损失和费用；</w:t>
      </w:r>
    </w:p>
    <w:p>
      <w:pPr>
        <w:pStyle w:val="BodyText"/>
        <w:spacing w:before="6"/>
        <w:ind w:left="635"/>
      </w:pPr>
      <w:r>
        <w:t>⑤维修保养或正常检修的费用；</w:t>
      </w:r>
    </w:p>
    <w:p>
      <w:pPr>
        <w:pStyle w:val="Heading2"/>
        <w:spacing w:before="73"/>
      </w:pPr>
      <w:r>
        <w:rPr>
          <w:b w:val="0"/>
          <w:spacing w:val="9"/>
        </w:rPr>
        <w:t xml:space="preserve">第二类 </w:t>
      </w:r>
      <w:r>
        <w:rPr>
          <w:color w:val="C00000"/>
        </w:rPr>
        <w:t>责任事故</w:t>
      </w:r>
      <w:r>
        <w:rPr>
          <w:color w:val="2D75B5"/>
        </w:rPr>
        <w:t>（能够找到责任人的保险不赔）</w:t>
      </w:r>
    </w:p>
    <w:p>
      <w:pPr>
        <w:pStyle w:val="BodyText"/>
        <w:spacing w:before="72"/>
        <w:ind w:left="635"/>
      </w:pPr>
      <w:r>
        <w:t>①设计错误引起的损失和费用；</w:t>
      </w:r>
    </w:p>
    <w:p>
      <w:pPr>
        <w:pStyle w:val="BodyText"/>
        <w:spacing w:before="73"/>
        <w:ind w:left="635"/>
      </w:pPr>
      <w:r>
        <w:t>③因原材料缺陷或工艺不善引起的保险财产本身的损失以及为换置、修理或矫正这些缺点错误所支付的费</w:t>
      </w:r>
    </w:p>
    <w:p>
      <w:pPr>
        <w:pStyle w:val="BodyText"/>
        <w:spacing w:before="74"/>
        <w:ind w:left="215"/>
      </w:pPr>
      <w:r>
        <w:t>用；</w:t>
      </w:r>
    </w:p>
    <w:p>
      <w:pPr>
        <w:spacing w:after="0"/>
        <w:sectPr>
          <w:footerReference w:type="default" r:id="rId12"/>
          <w:pgSz w:w="11910" w:h="8390" w:orient="landscape"/>
          <w:pgMar w:top="220" w:right="580" w:bottom="1180" w:left="680" w:header="0" w:footer="986" w:gutter="0"/>
          <w:pgNumType w:start="8"/>
          <w:cols w:space="708"/>
        </w:sectPr>
      </w:pPr>
    </w:p>
    <w:p>
      <w:pPr>
        <w:pStyle w:val="BodyText"/>
        <w:rPr>
          <w:sz w:val="20"/>
        </w:rPr>
      </w:pPr>
      <w:r>
        <w:pict>
          <v:group id="docshapegroup90" o:spid="_x0000_s1101" style="width:38.9pt;height:74.7pt;margin-top:312pt;margin-left:554.85pt;mso-height-relative:page;mso-position-horizontal-relative:page;mso-position-vertical-relative:page;mso-width-relative:page;position:absolute;z-index:251686912" coordorigin="11097,6240" coordsize="778,1494">
            <v:shape id="docshape91" o:spid="_x0000_s1102" style="width:778;height:1215;left:11097;position:absolute;top:6519" coordorigin="11097,6519" coordsize="778,1215" path="m11875,7734l11309,7292,11289,7292,11289,7276,11097,7126,11875,6519,11875,7734xe" filled="t" fillcolor="#dd9545" stroked="f">
              <v:path arrowok="t"/>
            </v:shape>
            <v:shape id="docshape92" o:spid="_x0000_s1103" style="width:778;height:1215;left:11097;position:absolute;top:6240" coordorigin="11097,6240" coordsize="778,1215" path="m11875,7455l11097,6847,11875,6240,11875,7455xe" filled="t" fillcolor="#c3542f" stroked="f">
              <v:path arrowok="t"/>
            </v:shape>
          </v:group>
        </w:pict>
      </w:r>
      <w:r>
        <w:pict>
          <v:group id="docshapegroup93" o:spid="_x0000_s1104" style="width:36.85pt;height:69.25pt;margin-top:11.9pt;margin-left:0;mso-height-relative:page;mso-position-horizontal-relative:page;mso-position-vertical-relative:page;mso-width-relative:page;position:absolute;z-index:-251628544" coordorigin="0,238" coordsize="737,1385">
            <v:shape id="docshape94" o:spid="_x0000_s1105" style="width:737;height:1206;position:absolute;top:238" coordorigin="0,238" coordsize="737,1206" path="m,1444l,238,737,841,,1444xe" filled="t" fillcolor="#dd9545" stroked="f">
              <v:path arrowok="t"/>
            </v:shape>
            <v:shape id="docshape95" o:spid="_x0000_s1106"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BodyText"/>
        <w:tabs>
          <w:tab w:val="left" w:pos="1055"/>
        </w:tabs>
        <w:spacing w:before="44" w:line="283" w:lineRule="auto"/>
        <w:ind w:left="215" w:right="767" w:firstLine="420"/>
        <w:rPr>
          <w:b/>
        </w:rPr>
      </w:pPr>
      <w:r>
        <w:rPr>
          <w:w w:val="95"/>
        </w:rPr>
        <w:t>④非外力引起的机械或电气装置的本身损失，或施工用机具、设备、机械装置失灵造成的本身损失；</w:t>
      </w:r>
      <w:r>
        <w:rPr>
          <w:spacing w:val="67"/>
        </w:rPr>
        <w:t xml:space="preserve"> </w:t>
      </w:r>
      <w:r>
        <w:rPr>
          <w:spacing w:val="68"/>
        </w:rPr>
        <w:t xml:space="preserve"> </w:t>
      </w:r>
      <w:r>
        <w:t>第三类</w:t>
      </w:r>
      <w:r>
        <w:tab/>
      </w:r>
      <w:r>
        <w:rPr>
          <w:b/>
          <w:color w:val="C00000"/>
        </w:rPr>
        <w:t>保险范围外期限外的损失</w:t>
      </w:r>
    </w:p>
    <w:p>
      <w:pPr>
        <w:pStyle w:val="BodyText"/>
        <w:spacing w:before="6"/>
        <w:ind w:left="635"/>
      </w:pPr>
      <w:r>
        <w:t>⑥档案、文件、账簿、票据、现金、各种有价证券、图表资料及包装物料的损失；</w:t>
      </w:r>
    </w:p>
    <w:p>
      <w:pPr>
        <w:pStyle w:val="BodyText"/>
        <w:spacing w:before="74"/>
        <w:ind w:left="635"/>
      </w:pPr>
      <w:r>
        <w:t>⑦盘点时发现的短缺；</w:t>
      </w:r>
    </w:p>
    <w:p>
      <w:pPr>
        <w:pStyle w:val="BodyText"/>
        <w:spacing w:before="71" w:line="285" w:lineRule="auto"/>
        <w:ind w:left="215" w:right="316" w:firstLine="420"/>
      </w:pPr>
      <w:r>
        <w:rPr>
          <w:w w:val="95"/>
        </w:rPr>
        <w:t>⑨除非另有约定，在保险工程开始以前已经存在或形成的位于工地范围内或其周围的属于被保险人的财产</w:t>
      </w:r>
      <w:r>
        <w:rPr>
          <w:spacing w:val="93"/>
        </w:rPr>
        <w:t xml:space="preserve"> </w:t>
      </w:r>
      <w:r>
        <w:rPr>
          <w:spacing w:val="94"/>
        </w:rPr>
        <w:t xml:space="preserve"> </w:t>
      </w:r>
      <w:r>
        <w:t>的损失；</w:t>
      </w:r>
    </w:p>
    <w:p>
      <w:pPr>
        <w:pStyle w:val="BodyText"/>
        <w:spacing w:line="283" w:lineRule="auto"/>
        <w:ind w:left="215" w:right="316" w:firstLine="420"/>
      </w:pPr>
      <w:r>
        <w:rPr>
          <w:w w:val="95"/>
        </w:rPr>
        <w:t>⑩除非另有约定，在本保险单保险期限终止以前，保险财产中已由工程所有人签发完工验收证书或验收合</w:t>
      </w:r>
      <w:r>
        <w:rPr>
          <w:spacing w:val="93"/>
        </w:rPr>
        <w:t xml:space="preserve"> </w:t>
      </w:r>
      <w:r>
        <w:rPr>
          <w:spacing w:val="94"/>
        </w:rPr>
        <w:t xml:space="preserve"> </w:t>
      </w:r>
      <w:r>
        <w:t>格或实际占有或使用或接受的部分。</w:t>
      </w:r>
    </w:p>
    <w:p>
      <w:pPr>
        <w:tabs>
          <w:tab w:val="left" w:pos="1055"/>
        </w:tabs>
        <w:spacing w:before="6"/>
        <w:ind w:left="215" w:right="0" w:firstLine="0"/>
        <w:jc w:val="left"/>
        <w:rPr>
          <w:b/>
          <w:sz w:val="21"/>
        </w:rPr>
      </w:pPr>
      <w:r>
        <w:rPr>
          <w:sz w:val="21"/>
        </w:rPr>
        <w:t>第四类</w:t>
      </w:r>
      <w:r>
        <w:rPr>
          <w:sz w:val="21"/>
        </w:rPr>
        <w:tab/>
      </w:r>
      <w:r>
        <w:rPr>
          <w:b/>
          <w:color w:val="C00000"/>
          <w:sz w:val="21"/>
        </w:rPr>
        <w:t>已有其他保障</w:t>
      </w:r>
    </w:p>
    <w:p>
      <w:pPr>
        <w:pStyle w:val="BodyText"/>
        <w:spacing w:before="74"/>
        <w:ind w:left="635"/>
      </w:pPr>
      <w:r>
        <w:t>⑧领有公共运输行驶执照的，或已由其他保险予以保障的车辆、船舶和飞机的损失；</w:t>
      </w:r>
    </w:p>
    <w:p>
      <w:pPr>
        <w:spacing w:before="71"/>
        <w:ind w:left="215" w:right="0" w:firstLine="0"/>
        <w:jc w:val="left"/>
        <w:rPr>
          <w:b/>
          <w:sz w:val="21"/>
        </w:rPr>
      </w:pPr>
      <w:r>
        <w:rPr>
          <w:rFonts w:ascii="Calibri" w:eastAsia="Calibri"/>
          <w:sz w:val="21"/>
        </w:rPr>
        <w:t>3</w:t>
      </w:r>
      <w:r>
        <w:rPr>
          <w:rFonts w:ascii="宋体" w:eastAsia="宋体" w:hint="eastAsia"/>
          <w:sz w:val="21"/>
        </w:rPr>
        <w:t>、</w:t>
      </w:r>
      <w:r>
        <w:rPr>
          <w:sz w:val="21"/>
        </w:rPr>
        <w:t>保险期限</w:t>
      </w:r>
      <w:r>
        <w:rPr>
          <w:b/>
          <w:color w:val="C00000"/>
          <w:sz w:val="21"/>
        </w:rPr>
        <w:t>（以先发生者为准）</w:t>
      </w:r>
    </w:p>
    <w:p>
      <w:pPr>
        <w:spacing w:after="0"/>
        <w:jc w:val="left"/>
        <w:rPr>
          <w:sz w:val="21"/>
        </w:rPr>
        <w:sectPr>
          <w:footerReference w:type="default" r:id="rId13"/>
          <w:pgSz w:w="11910" w:h="8390" w:orient="landscape"/>
          <w:pgMar w:top="220" w:right="580" w:bottom="2100" w:left="680" w:header="0" w:footer="986" w:gutter="0"/>
          <w:pgNumType w:start="9"/>
          <w:cols w:space="708"/>
        </w:sectPr>
      </w:pPr>
    </w:p>
    <w:p>
      <w:pPr>
        <w:tabs>
          <w:tab w:val="left" w:pos="868"/>
        </w:tabs>
        <w:spacing w:line="240" w:lineRule="auto"/>
        <w:ind w:left="-680" w:right="0" w:firstLine="0"/>
        <w:rPr>
          <w:sz w:val="20"/>
        </w:rPr>
      </w:pPr>
      <w:r>
        <w:pict>
          <v:group id="docshapegroup100" o:spid="_x0000_s1107" style="width:38.9pt;height:74.7pt;margin-top:312pt;margin-left:554.85pt;mso-height-relative:page;mso-position-horizontal-relative:page;mso-position-vertical-relative:page;mso-width-relative:page;position:absolute;z-index:-251627520" coordorigin="11097,6240" coordsize="778,1494">
            <v:shape id="docshape101" o:spid="_x0000_s1108" style="width:778;height:1215;left:11097;position:absolute;top:6519" coordorigin="11097,6519" coordsize="778,1215" path="m11875,7734l11309,7292,11289,7292,11289,7276,11097,7126,11875,6519,11875,7734xe" filled="t" fillcolor="#dd9545" stroked="f">
              <v:path arrowok="t"/>
            </v:shape>
            <v:shape id="docshape102" o:spid="_x0000_s1109" style="width:778;height:1215;left:11097;position:absolute;top:6240" coordorigin="11097,6240" coordsize="778,1215" path="m11875,7455l11097,6847,11875,6240,11875,7455xe" filled="t" fillcolor="#c3542f" stroked="f">
              <v:path arrowok="t"/>
            </v:shape>
          </v:group>
        </w:pict>
      </w:r>
      <w:r>
        <w:rPr>
          <w:position w:val="237"/>
          <w:sz w:val="20"/>
        </w:rPr>
        <w:pict>
          <v:group id="docshapegroup103" o:spid="_x0000_i1110" style="width:36.85pt;height:69.25pt" coordsize="737,1385">
            <v:shape id="docshape104" o:spid="_x0000_s1111" style="width:737;height:1206;position:absolute" coordsize="737,1206" path="m,1206l,,737,603,,1206xe" filled="t" fillcolor="#dd9545" stroked="f">
              <v:path arrowok="t"/>
            </v:shape>
            <v:shape id="docshape105" o:spid="_x0000_s1112" style="width:737;height:1209;position:absolute;top:176" coordorigin="0,176" coordsize="737,1209" path="m,1385l,176,737,781,,1385xe" filled="t" fillcolor="#c3542f" stroked="f">
              <v:path arrowok="t"/>
            </v:shape>
            <w10:anchorlock/>
          </v:group>
        </w:pict>
      </w:r>
      <w:r>
        <w:rPr>
          <w:position w:val="237"/>
          <w:sz w:val="20"/>
        </w:rPr>
        <w:tab/>
      </w:r>
      <w:r>
        <w:rPr>
          <w:sz w:val="20"/>
        </w:rPr>
        <w:pict>
          <v:shapetype id="_x0000_t202" coordsize="21600,21600" o:spt="202" path="m,l,21600r21600,l21600,xe">
            <v:stroke joinstyle="miter"/>
            <v:path gradientshapeok="t" o:connecttype="rect"/>
          </v:shapetype>
          <v:shape id="docshape106" o:spid="_x0000_i1113" type="#_x0000_t202" style="width:440.7pt;height:140.5pt" coordsize="21600,21600" filled="f" stroked="f">
            <v:stroke joinstyle="miter"/>
            <v:textbox inset="0,0,0,0">
              <w:txbxContent>
                <w:tbl>
                  <w:tblPr>
                    <w:tblStyle w:val="TableNormal"/>
                    <w:tblW w:w="0" w:type="auto"/>
                    <w:tblInd w:w="7" w:type="dxa"/>
                    <w:tblBorders>
                      <w:top w:val="single" w:sz="4" w:space="0" w:color="D3AAAA"/>
                      <w:left w:val="single" w:sz="4" w:space="0" w:color="D3AAAA"/>
                      <w:bottom w:val="single" w:sz="4" w:space="0" w:color="D3AAAA"/>
                      <w:right w:val="single" w:sz="4" w:space="0" w:color="D3AAAA"/>
                      <w:insideH w:val="single" w:sz="4" w:space="0" w:color="D3AAAA"/>
                      <w:insideV w:val="single" w:sz="4" w:space="0" w:color="D3AAAA"/>
                    </w:tblBorders>
                    <w:tblLayout w:type="fixed"/>
                    <w:tblCellMar>
                      <w:top w:w="0" w:type="dxa"/>
                      <w:left w:w="0" w:type="dxa"/>
                      <w:bottom w:w="0" w:type="dxa"/>
                      <w:right w:w="0" w:type="dxa"/>
                    </w:tblCellMar>
                  </w:tblPr>
                  <w:tblGrid>
                    <w:gridCol w:w="2694"/>
                    <w:gridCol w:w="6105"/>
                  </w:tblGrid>
                  <w:tr>
                    <w:tblPrEx>
                      <w:tblW w:w="0" w:type="auto"/>
                      <w:tblInd w:w="7" w:type="dxa"/>
                      <w:tblBorders>
                        <w:top w:val="single" w:sz="4" w:space="0" w:color="D3AAAA"/>
                        <w:left w:val="single" w:sz="4" w:space="0" w:color="D3AAAA"/>
                        <w:bottom w:val="single" w:sz="4" w:space="0" w:color="D3AAAA"/>
                        <w:right w:val="single" w:sz="4" w:space="0" w:color="D3AAAA"/>
                        <w:insideH w:val="single" w:sz="4" w:space="0" w:color="D3AAAA"/>
                        <w:insideV w:val="single" w:sz="4" w:space="0" w:color="D3AAAA"/>
                      </w:tblBorders>
                      <w:tblLayout w:type="fixed"/>
                      <w:tblCellMar>
                        <w:top w:w="0" w:type="dxa"/>
                        <w:left w:w="0" w:type="dxa"/>
                        <w:bottom w:w="0" w:type="dxa"/>
                        <w:right w:w="0" w:type="dxa"/>
                      </w:tblCellMar>
                    </w:tblPrEx>
                    <w:trPr>
                      <w:trHeight w:val="478"/>
                    </w:trPr>
                    <w:tc>
                      <w:tcPr>
                        <w:tcW w:w="2694" w:type="dxa"/>
                        <w:tcBorders>
                          <w:top w:val="nil"/>
                          <w:left w:val="nil"/>
                          <w:bottom w:val="nil"/>
                          <w:right w:val="nil"/>
                        </w:tcBorders>
                        <w:shd w:val="clear" w:color="auto" w:fill="D3AAAA"/>
                      </w:tcPr>
                      <w:p>
                        <w:pPr>
                          <w:pStyle w:val="TableParagraph"/>
                          <w:spacing w:before="102" w:line="356" w:lineRule="exact"/>
                          <w:ind w:left="1131" w:right="1123"/>
                          <w:rPr>
                            <w:b/>
                            <w:sz w:val="21"/>
                          </w:rPr>
                        </w:pPr>
                        <w:bookmarkStart w:id="8" w:name="项目"/>
                        <w:bookmarkEnd w:id="8"/>
                        <w:r>
                          <w:rPr>
                            <w:b/>
                            <w:w w:val="95"/>
                            <w:sz w:val="21"/>
                          </w:rPr>
                          <w:t>项目</w:t>
                        </w:r>
                      </w:p>
                    </w:tc>
                    <w:tc>
                      <w:tcPr>
                        <w:tcW w:w="6105" w:type="dxa"/>
                        <w:tcBorders>
                          <w:top w:val="nil"/>
                          <w:left w:val="nil"/>
                          <w:bottom w:val="nil"/>
                          <w:right w:val="nil"/>
                        </w:tcBorders>
                        <w:shd w:val="clear" w:color="auto" w:fill="D3AAAA"/>
                      </w:tcPr>
                      <w:p>
                        <w:pPr>
                          <w:pStyle w:val="TableParagraph"/>
                          <w:spacing w:before="102" w:line="356" w:lineRule="exact"/>
                          <w:ind w:left="2836" w:right="2829"/>
                          <w:rPr>
                            <w:b/>
                            <w:sz w:val="21"/>
                          </w:rPr>
                        </w:pPr>
                        <w:bookmarkStart w:id="9" w:name="内容"/>
                        <w:bookmarkEnd w:id="9"/>
                        <w:r>
                          <w:rPr>
                            <w:b/>
                            <w:w w:val="95"/>
                            <w:sz w:val="21"/>
                          </w:rPr>
                          <w:t>内容</w:t>
                        </w:r>
                      </w:p>
                    </w:tc>
                  </w:tr>
                  <w:tr>
                    <w:tblPrEx>
                      <w:tblW w:w="0" w:type="auto"/>
                      <w:tblInd w:w="7" w:type="dxa"/>
                      <w:tblLayout w:type="fixed"/>
                      <w:tblCellMar>
                        <w:top w:w="0" w:type="dxa"/>
                        <w:left w:w="0" w:type="dxa"/>
                        <w:bottom w:w="0" w:type="dxa"/>
                        <w:right w:w="0" w:type="dxa"/>
                      </w:tblCellMar>
                    </w:tblPrEx>
                    <w:trPr>
                      <w:trHeight w:val="921"/>
                    </w:trPr>
                    <w:tc>
                      <w:tcPr>
                        <w:tcW w:w="2694" w:type="dxa"/>
                        <w:tcBorders>
                          <w:top w:val="nil"/>
                        </w:tcBorders>
                      </w:tcPr>
                      <w:p>
                        <w:pPr>
                          <w:pStyle w:val="TableParagraph"/>
                          <w:spacing w:before="9" w:line="240" w:lineRule="auto"/>
                          <w:jc w:val="left"/>
                          <w:rPr>
                            <w:b/>
                            <w:sz w:val="17"/>
                          </w:rPr>
                        </w:pPr>
                      </w:p>
                      <w:p>
                        <w:pPr>
                          <w:pStyle w:val="TableParagraph"/>
                          <w:spacing w:line="240" w:lineRule="auto"/>
                          <w:ind w:left="925" w:right="920"/>
                          <w:rPr>
                            <w:sz w:val="21"/>
                          </w:rPr>
                        </w:pPr>
                        <w:bookmarkStart w:id="10" w:name="期限开始"/>
                        <w:bookmarkEnd w:id="10"/>
                        <w:r>
                          <w:rPr>
                            <w:w w:val="95"/>
                            <w:sz w:val="21"/>
                          </w:rPr>
                          <w:t>期限开始</w:t>
                        </w:r>
                      </w:p>
                    </w:tc>
                    <w:tc>
                      <w:tcPr>
                        <w:tcW w:w="6105" w:type="dxa"/>
                        <w:tcBorders>
                          <w:top w:val="nil"/>
                        </w:tcBorders>
                        <w:shd w:val="clear" w:color="auto" w:fill="F0E6E3"/>
                      </w:tcPr>
                      <w:p>
                        <w:pPr>
                          <w:pStyle w:val="TableParagraph"/>
                          <w:spacing w:before="95" w:line="240" w:lineRule="auto"/>
                          <w:ind w:left="108"/>
                          <w:jc w:val="left"/>
                          <w:rPr>
                            <w:b/>
                            <w:sz w:val="21"/>
                          </w:rPr>
                        </w:pPr>
                        <w:bookmarkStart w:id="11" w:name="①自保险工程在工地动工"/>
                        <w:bookmarkEnd w:id="11"/>
                        <w:r>
                          <w:rPr>
                            <w:w w:val="95"/>
                            <w:sz w:val="21"/>
                          </w:rPr>
                          <w:t>①自保险工程在工地</w:t>
                        </w:r>
                        <w:r>
                          <w:rPr>
                            <w:b/>
                            <w:color w:val="C00000"/>
                            <w:w w:val="95"/>
                            <w:sz w:val="21"/>
                          </w:rPr>
                          <w:t>动工</w:t>
                        </w:r>
                      </w:p>
                      <w:p>
                        <w:pPr>
                          <w:pStyle w:val="TableParagraph"/>
                          <w:spacing w:before="71" w:line="349" w:lineRule="exact"/>
                          <w:ind w:left="108"/>
                          <w:jc w:val="left"/>
                          <w:rPr>
                            <w:sz w:val="21"/>
                          </w:rPr>
                        </w:pPr>
                        <w:r>
                          <w:rPr>
                            <w:sz w:val="21"/>
                          </w:rPr>
                          <w:t>②用于保险工程的材料、设备</w:t>
                        </w:r>
                        <w:r>
                          <w:rPr>
                            <w:b/>
                            <w:color w:val="C00000"/>
                            <w:sz w:val="21"/>
                          </w:rPr>
                          <w:t>运抵工地</w:t>
                        </w:r>
                        <w:r>
                          <w:rPr>
                            <w:sz w:val="21"/>
                          </w:rPr>
                          <w:t>之时</w:t>
                        </w:r>
                      </w:p>
                    </w:tc>
                  </w:tr>
                  <w:tr>
                    <w:tblPrEx>
                      <w:tblW w:w="0" w:type="auto"/>
                      <w:tblInd w:w="7" w:type="dxa"/>
                      <w:tblLayout w:type="fixed"/>
                      <w:tblCellMar>
                        <w:top w:w="0" w:type="dxa"/>
                        <w:left w:w="0" w:type="dxa"/>
                        <w:bottom w:w="0" w:type="dxa"/>
                        <w:right w:w="0" w:type="dxa"/>
                      </w:tblCellMar>
                    </w:tblPrEx>
                    <w:trPr>
                      <w:trHeight w:val="920"/>
                    </w:trPr>
                    <w:tc>
                      <w:tcPr>
                        <w:tcW w:w="2694" w:type="dxa"/>
                      </w:tcPr>
                      <w:p>
                        <w:pPr>
                          <w:pStyle w:val="TableParagraph"/>
                          <w:spacing w:before="8" w:line="240" w:lineRule="auto"/>
                          <w:jc w:val="left"/>
                          <w:rPr>
                            <w:b/>
                            <w:sz w:val="17"/>
                          </w:rPr>
                        </w:pPr>
                      </w:p>
                      <w:p>
                        <w:pPr>
                          <w:pStyle w:val="TableParagraph"/>
                          <w:spacing w:before="1" w:line="240" w:lineRule="auto"/>
                          <w:ind w:left="925" w:right="920"/>
                          <w:rPr>
                            <w:sz w:val="21"/>
                          </w:rPr>
                        </w:pPr>
                        <w:bookmarkStart w:id="12" w:name="期限结束"/>
                        <w:bookmarkEnd w:id="12"/>
                        <w:r>
                          <w:rPr>
                            <w:w w:val="95"/>
                            <w:sz w:val="21"/>
                          </w:rPr>
                          <w:t>期限结束</w:t>
                        </w:r>
                      </w:p>
                    </w:tc>
                    <w:tc>
                      <w:tcPr>
                        <w:tcW w:w="6105" w:type="dxa"/>
                        <w:shd w:val="clear" w:color="auto" w:fill="F0E6E3"/>
                      </w:tcPr>
                      <w:p>
                        <w:pPr>
                          <w:pStyle w:val="TableParagraph"/>
                          <w:spacing w:before="92" w:line="240" w:lineRule="auto"/>
                          <w:ind w:left="108"/>
                          <w:jc w:val="left"/>
                          <w:rPr>
                            <w:sz w:val="21"/>
                          </w:rPr>
                        </w:pPr>
                        <w:bookmarkStart w:id="13" w:name="①工程所有人对部分或全部工程签发完工验收证书或验收合格"/>
                        <w:bookmarkEnd w:id="13"/>
                        <w:r>
                          <w:rPr>
                            <w:w w:val="95"/>
                            <w:sz w:val="21"/>
                          </w:rPr>
                          <w:t>①工程所有人对部分或全部工程签发</w:t>
                        </w:r>
                        <w:r>
                          <w:rPr>
                            <w:b/>
                            <w:color w:val="C00000"/>
                            <w:w w:val="95"/>
                            <w:sz w:val="21"/>
                          </w:rPr>
                          <w:t>完工验收证书</w:t>
                        </w:r>
                        <w:r>
                          <w:rPr>
                            <w:w w:val="95"/>
                            <w:sz w:val="21"/>
                          </w:rPr>
                          <w:t>或验收合格</w:t>
                        </w:r>
                      </w:p>
                      <w:p>
                        <w:pPr>
                          <w:pStyle w:val="TableParagraph"/>
                          <w:spacing w:before="73" w:line="347" w:lineRule="exact"/>
                          <w:ind w:left="108"/>
                          <w:jc w:val="left"/>
                          <w:rPr>
                            <w:sz w:val="21"/>
                          </w:rPr>
                        </w:pPr>
                        <w:r>
                          <w:rPr>
                            <w:sz w:val="21"/>
                          </w:rPr>
                          <w:t>②工程所有人</w:t>
                        </w:r>
                        <w:r>
                          <w:rPr>
                            <w:b/>
                            <w:color w:val="C00000"/>
                            <w:sz w:val="21"/>
                          </w:rPr>
                          <w:t>实际占用</w:t>
                        </w:r>
                        <w:r>
                          <w:rPr>
                            <w:sz w:val="21"/>
                          </w:rPr>
                          <w:t>或使用或接受该部分或全部过程之时</w:t>
                        </w:r>
                      </w:p>
                    </w:tc>
                  </w:tr>
                  <w:tr>
                    <w:tblPrEx>
                      <w:tblW w:w="0" w:type="auto"/>
                      <w:tblInd w:w="7" w:type="dxa"/>
                      <w:tblLayout w:type="fixed"/>
                      <w:tblCellMar>
                        <w:top w:w="0" w:type="dxa"/>
                        <w:left w:w="0" w:type="dxa"/>
                        <w:bottom w:w="0" w:type="dxa"/>
                        <w:right w:w="0" w:type="dxa"/>
                      </w:tblCellMar>
                    </w:tblPrEx>
                    <w:trPr>
                      <w:trHeight w:val="460"/>
                    </w:trPr>
                    <w:tc>
                      <w:tcPr>
                        <w:tcW w:w="8799" w:type="dxa"/>
                        <w:gridSpan w:val="2"/>
                      </w:tcPr>
                      <w:p>
                        <w:pPr>
                          <w:pStyle w:val="TableParagraph"/>
                          <w:spacing w:before="93" w:line="347" w:lineRule="exact"/>
                          <w:ind w:left="198"/>
                          <w:jc w:val="left"/>
                          <w:rPr>
                            <w:b/>
                            <w:sz w:val="21"/>
                          </w:rPr>
                        </w:pPr>
                        <w:bookmarkStart w:id="14" w:name="在任何情况下，保险期限的起始或终止不得超出保险单明细表中列明的保险生效日或终止日"/>
                        <w:bookmarkEnd w:id="14"/>
                        <w:r>
                          <w:rPr>
                            <w:w w:val="95"/>
                            <w:sz w:val="21"/>
                          </w:rPr>
                          <w:t>在任何情况下，保险期限的起始或终止</w:t>
                        </w:r>
                        <w:r>
                          <w:rPr>
                            <w:b/>
                            <w:color w:val="C00000"/>
                            <w:w w:val="95"/>
                            <w:sz w:val="21"/>
                          </w:rPr>
                          <w:t>不得超出保险单明细表中列明的保险生效日或终止日</w:t>
                        </w:r>
                      </w:p>
                    </w:tc>
                  </w:tr>
                </w:tbl>
                <w:p>
                  <w:pPr>
                    <w:pStyle w:val="BodyText"/>
                  </w:pPr>
                </w:p>
              </w:txbxContent>
            </v:textbox>
            <w10:anchorlock/>
          </v:shape>
        </w:pict>
      </w:r>
    </w:p>
    <w:p>
      <w:pPr>
        <w:spacing w:before="20" w:line="278" w:lineRule="auto"/>
        <w:ind w:left="215" w:right="6140" w:firstLine="0"/>
        <w:jc w:val="both"/>
        <w:rPr>
          <w:b/>
          <w:sz w:val="21"/>
        </w:rPr>
      </w:pPr>
      <w:bookmarkStart w:id="15" w:name="强训点5：工程勘察设计招标方式的分类"/>
      <w:bookmarkEnd w:id="15"/>
      <w:bookmarkStart w:id="16" w:name="_bookmark4"/>
      <w:bookmarkEnd w:id="16"/>
      <w:r>
        <w:rPr>
          <w:b/>
          <w:color w:val="FFFFFF"/>
          <w:spacing w:val="-5"/>
          <w:sz w:val="24"/>
          <w:shd w:val="clear" w:color="auto" w:fill="C55811"/>
        </w:rPr>
        <w:t xml:space="preserve">强训点 </w:t>
      </w:r>
      <w:r>
        <w:rPr>
          <w:b/>
          <w:color w:val="FFFFFF"/>
          <w:spacing w:val="-1"/>
          <w:sz w:val="24"/>
          <w:shd w:val="clear" w:color="auto" w:fill="C55811"/>
        </w:rPr>
        <w:t>5：工程勘察设计招标方式的分类</w:t>
      </w:r>
      <w:r>
        <w:rPr>
          <w:b/>
          <w:color w:val="000000"/>
          <w:sz w:val="21"/>
        </w:rPr>
        <w:t>易混易错点：公开招标与邀请招标优缺点相反关键词：100</w:t>
      </w:r>
      <w:r>
        <w:rPr>
          <w:b/>
          <w:color w:val="000000"/>
          <w:spacing w:val="-3"/>
          <w:sz w:val="21"/>
        </w:rPr>
        <w:t xml:space="preserve"> 万元以上必须招标、</w:t>
      </w:r>
      <w:r>
        <w:rPr>
          <w:b/>
          <w:color w:val="000000"/>
          <w:sz w:val="21"/>
        </w:rPr>
        <w:t>3</w:t>
      </w:r>
      <w:r>
        <w:rPr>
          <w:b/>
          <w:color w:val="000000"/>
          <w:spacing w:val="-4"/>
          <w:sz w:val="21"/>
        </w:rPr>
        <w:t xml:space="preserve"> 个以上</w:t>
      </w:r>
    </w:p>
    <w:p>
      <w:pPr>
        <w:pStyle w:val="BodyText"/>
        <w:spacing w:before="8"/>
        <w:ind w:left="215"/>
      </w:pPr>
      <w:r>
        <w:t>1、公开招标和邀请招标</w:t>
      </w:r>
    </w:p>
    <w:p>
      <w:pPr>
        <w:spacing w:before="69" w:line="285" w:lineRule="auto"/>
        <w:ind w:left="215" w:right="316" w:firstLine="420"/>
        <w:jc w:val="left"/>
        <w:rPr>
          <w:sz w:val="21"/>
        </w:rPr>
      </w:pPr>
      <w:r>
        <w:rPr>
          <w:b/>
          <w:color w:val="C00000"/>
          <w:w w:val="95"/>
          <w:sz w:val="21"/>
        </w:rPr>
        <w:t>公开招标</w:t>
      </w:r>
      <w:r>
        <w:rPr>
          <w:w w:val="95"/>
          <w:sz w:val="21"/>
        </w:rPr>
        <w:t>是招标人通过国家指定的报刊、信息网络或者其他媒体发布</w:t>
      </w:r>
      <w:r>
        <w:rPr>
          <w:b/>
          <w:color w:val="C00000"/>
          <w:w w:val="95"/>
          <w:sz w:val="21"/>
        </w:rPr>
        <w:t>招标公告</w:t>
      </w:r>
      <w:r>
        <w:rPr>
          <w:w w:val="95"/>
          <w:sz w:val="21"/>
        </w:rPr>
        <w:t>，邀请</w:t>
      </w:r>
      <w:r>
        <w:rPr>
          <w:b/>
          <w:color w:val="C00000"/>
          <w:w w:val="95"/>
          <w:sz w:val="21"/>
        </w:rPr>
        <w:t>不特定的法人或者组</w:t>
      </w:r>
      <w:r>
        <w:rPr>
          <w:b/>
          <w:color w:val="C00000"/>
          <w:spacing w:val="93"/>
          <w:sz w:val="21"/>
        </w:rPr>
        <w:t xml:space="preserve"> </w:t>
      </w:r>
      <w:r>
        <w:rPr>
          <w:b/>
          <w:color w:val="C00000"/>
          <w:spacing w:val="94"/>
          <w:sz w:val="21"/>
        </w:rPr>
        <w:t xml:space="preserve"> </w:t>
      </w:r>
      <w:r>
        <w:rPr>
          <w:b/>
          <w:color w:val="C00000"/>
          <w:sz w:val="21"/>
        </w:rPr>
        <w:t>织</w:t>
      </w:r>
      <w:r>
        <w:rPr>
          <w:sz w:val="21"/>
        </w:rPr>
        <w:t>投标。</w:t>
      </w:r>
    </w:p>
    <w:p>
      <w:pPr>
        <w:spacing w:after="0" w:line="285" w:lineRule="auto"/>
        <w:jc w:val="left"/>
        <w:rPr>
          <w:sz w:val="21"/>
        </w:rPr>
        <w:sectPr>
          <w:footerReference w:type="default" r:id="rId14"/>
          <w:pgSz w:w="11910" w:h="8390" w:orient="landscape"/>
          <w:pgMar w:top="220" w:right="580" w:bottom="1580" w:left="680" w:header="0" w:footer="1397" w:gutter="0"/>
          <w:pgNumType w:start="10"/>
          <w:cols w:space="708"/>
        </w:sectPr>
      </w:pPr>
    </w:p>
    <w:p>
      <w:pPr>
        <w:pStyle w:val="BodyText"/>
        <w:rPr>
          <w:sz w:val="20"/>
        </w:rPr>
      </w:pPr>
      <w:r>
        <w:pict>
          <v:group id="docshapegroup111" o:spid="_x0000_s1114" style="width:38.9pt;height:74.7pt;margin-top:312pt;margin-left:554.85pt;mso-height-relative:page;mso-position-horizontal-relative:page;mso-position-vertical-relative:page;mso-width-relative:page;position:absolute;z-index:-251626496" coordorigin="11097,6240" coordsize="778,1494">
            <v:shape id="docshape112" o:spid="_x0000_s1115" style="width:778;height:1215;left:11097;position:absolute;top:6519" coordorigin="11097,6519" coordsize="778,1215" path="m11875,7734l11309,7292,11289,7292,11289,7276,11097,7126,11875,6519,11875,7734xe" filled="t" fillcolor="#dd9545" stroked="f">
              <v:path arrowok="t"/>
            </v:shape>
            <v:shape id="docshape113" o:spid="_x0000_s1116" style="width:778;height:1215;left:11097;position:absolute;top:6240" coordorigin="11097,6240" coordsize="778,1215" path="m11875,7455l11097,6847,11875,6240,11875,7455xe" filled="t" fillcolor="#c3542f" stroked="f">
              <v:path arrowok="t"/>
            </v:shape>
          </v:group>
        </w:pict>
      </w:r>
      <w:r>
        <w:pict>
          <v:group id="docshapegroup114" o:spid="_x0000_s1117" style="width:36.85pt;height:69.25pt;margin-top:11.9pt;margin-left:0;mso-height-relative:page;mso-position-horizontal-relative:page;mso-position-vertical-relative:page;mso-width-relative:page;position:absolute;z-index:-251625472" coordorigin="0,238" coordsize="737,1385">
            <v:shape id="docshape115" o:spid="_x0000_s1118" style="width:737;height:1206;position:absolute;top:238" coordorigin="0,238" coordsize="737,1206" path="m,1444l,238,737,841,,1444xe" filled="t" fillcolor="#dd9545" stroked="f">
              <v:path arrowok="t"/>
            </v:shape>
            <v:shape id="docshape116" o:spid="_x0000_s1119"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line="283" w:lineRule="auto"/>
        <w:ind w:left="215" w:right="208" w:firstLine="420"/>
        <w:jc w:val="left"/>
        <w:rPr>
          <w:sz w:val="21"/>
        </w:rPr>
      </w:pPr>
      <w:r>
        <w:rPr>
          <w:b/>
          <w:color w:val="C00000"/>
          <w:w w:val="95"/>
          <w:sz w:val="21"/>
        </w:rPr>
        <w:t>邀请招标</w:t>
      </w:r>
      <w:r>
        <w:rPr>
          <w:w w:val="95"/>
          <w:sz w:val="21"/>
        </w:rPr>
        <w:t>是招标人以</w:t>
      </w:r>
      <w:r>
        <w:rPr>
          <w:b/>
          <w:color w:val="C00000"/>
          <w:w w:val="95"/>
          <w:sz w:val="21"/>
        </w:rPr>
        <w:t>投标邀请书</w:t>
      </w:r>
      <w:r>
        <w:rPr>
          <w:w w:val="95"/>
          <w:sz w:val="21"/>
        </w:rPr>
        <w:t>的方式，邀请</w:t>
      </w:r>
      <w:r>
        <w:rPr>
          <w:spacing w:val="76"/>
          <w:sz w:val="21"/>
        </w:rPr>
        <w:t xml:space="preserve"> </w:t>
      </w:r>
      <w:r>
        <w:rPr>
          <w:b/>
          <w:color w:val="C00000"/>
          <w:w w:val="95"/>
          <w:sz w:val="21"/>
        </w:rPr>
        <w:t>3</w:t>
      </w:r>
      <w:r>
        <w:rPr>
          <w:b/>
          <w:color w:val="C00000"/>
          <w:spacing w:val="134"/>
          <w:sz w:val="21"/>
        </w:rPr>
        <w:t xml:space="preserve"> </w:t>
      </w:r>
      <w:r>
        <w:rPr>
          <w:b/>
          <w:color w:val="C00000"/>
          <w:w w:val="95"/>
          <w:sz w:val="21"/>
        </w:rPr>
        <w:t>个以上</w:t>
      </w:r>
      <w:r>
        <w:rPr>
          <w:w w:val="95"/>
          <w:sz w:val="21"/>
        </w:rPr>
        <w:t>具有相应资质、具备承担招标项目勘察设计能力的、</w:t>
      </w:r>
      <w:r>
        <w:rPr>
          <w:sz w:val="21"/>
        </w:rPr>
        <w:t>资信良好的</w:t>
      </w:r>
      <w:r>
        <w:rPr>
          <w:b/>
          <w:color w:val="C00000"/>
          <w:sz w:val="21"/>
        </w:rPr>
        <w:t>特定法人或组织</w:t>
      </w:r>
      <w:r>
        <w:rPr>
          <w:sz w:val="21"/>
        </w:rPr>
        <w:t>投标。</w:t>
      </w:r>
    </w:p>
    <w:p>
      <w:pPr>
        <w:spacing w:before="6" w:line="285" w:lineRule="auto"/>
        <w:ind w:left="215" w:right="316" w:firstLine="420"/>
        <w:jc w:val="left"/>
        <w:rPr>
          <w:sz w:val="21"/>
        </w:rPr>
      </w:pPr>
      <w:r>
        <w:rPr>
          <w:w w:val="95"/>
          <w:sz w:val="21"/>
        </w:rPr>
        <w:t>招标公告或投标邀请书应当载明</w:t>
      </w:r>
      <w:r>
        <w:rPr>
          <w:b/>
          <w:color w:val="C00000"/>
          <w:w w:val="95"/>
          <w:sz w:val="21"/>
        </w:rPr>
        <w:t>招标人名称和地址、招标项目的基本要求、投标人的资质要求以及获取招</w:t>
      </w:r>
      <w:r>
        <w:rPr>
          <w:b/>
          <w:color w:val="C00000"/>
          <w:spacing w:val="93"/>
          <w:sz w:val="21"/>
        </w:rPr>
        <w:t xml:space="preserve"> </w:t>
      </w:r>
      <w:r>
        <w:rPr>
          <w:b/>
          <w:color w:val="C00000"/>
          <w:spacing w:val="94"/>
          <w:sz w:val="21"/>
        </w:rPr>
        <w:t xml:space="preserve"> </w:t>
      </w:r>
      <w:r>
        <w:rPr>
          <w:b/>
          <w:color w:val="C00000"/>
          <w:sz w:val="21"/>
        </w:rPr>
        <w:t>标文件的办法</w:t>
      </w:r>
      <w:r>
        <w:rPr>
          <w:sz w:val="21"/>
        </w:rPr>
        <w:t>等。</w:t>
      </w:r>
    </w:p>
    <w:p>
      <w:pPr>
        <w:pStyle w:val="BodyText"/>
        <w:spacing w:line="385" w:lineRule="exact"/>
        <w:ind w:left="215"/>
      </w:pPr>
      <w:r>
        <w:t>2、公开招标</w:t>
      </w:r>
    </w:p>
    <w:p>
      <w:pPr>
        <w:pStyle w:val="ListParagraph"/>
        <w:numPr>
          <w:ilvl w:val="1"/>
          <w:numId w:val="34"/>
        </w:numPr>
        <w:tabs>
          <w:tab w:val="left" w:pos="1179"/>
        </w:tabs>
        <w:spacing w:before="74" w:after="0" w:line="285" w:lineRule="auto"/>
        <w:ind w:left="215" w:right="309" w:firstLine="420"/>
        <w:jc w:val="left"/>
        <w:rPr>
          <w:b/>
          <w:sz w:val="21"/>
        </w:rPr>
      </w:pPr>
      <w:r>
        <w:rPr>
          <w:w w:val="95"/>
          <w:sz w:val="21"/>
        </w:rPr>
        <w:t>优点：</w:t>
      </w:r>
      <w:r>
        <w:rPr>
          <w:b/>
          <w:color w:val="C00000"/>
          <w:w w:val="95"/>
          <w:sz w:val="21"/>
        </w:rPr>
        <w:t>所有符合条件</w:t>
      </w:r>
      <w:r>
        <w:rPr>
          <w:w w:val="95"/>
          <w:sz w:val="21"/>
        </w:rPr>
        <w:t>的有兴趣的单位</w:t>
      </w:r>
      <w:r>
        <w:rPr>
          <w:b/>
          <w:color w:val="C00000"/>
          <w:w w:val="95"/>
          <w:sz w:val="21"/>
        </w:rPr>
        <w:t>均可以参加投标</w:t>
      </w:r>
      <w:r>
        <w:rPr>
          <w:w w:val="95"/>
          <w:sz w:val="21"/>
        </w:rPr>
        <w:t>，能体现出公开、公平、公正的招标原则，</w:t>
      </w:r>
      <w:r>
        <w:rPr>
          <w:b/>
          <w:color w:val="C00000"/>
          <w:w w:val="95"/>
          <w:sz w:val="21"/>
        </w:rPr>
        <w:t>有利</w:t>
      </w:r>
      <w:r>
        <w:rPr>
          <w:b/>
          <w:color w:val="C00000"/>
          <w:spacing w:val="113"/>
          <w:sz w:val="21"/>
        </w:rPr>
        <w:t xml:space="preserve"> </w:t>
      </w:r>
      <w:r>
        <w:rPr>
          <w:b/>
          <w:color w:val="C00000"/>
          <w:sz w:val="21"/>
        </w:rPr>
        <w:t>于实现充分竞争；</w:t>
      </w:r>
    </w:p>
    <w:p>
      <w:pPr>
        <w:pStyle w:val="ListParagraph"/>
        <w:numPr>
          <w:ilvl w:val="1"/>
          <w:numId w:val="34"/>
        </w:numPr>
        <w:tabs>
          <w:tab w:val="left" w:pos="1179"/>
        </w:tabs>
        <w:spacing w:before="0" w:after="0" w:line="285" w:lineRule="auto"/>
        <w:ind w:left="215" w:right="309" w:firstLine="420"/>
        <w:jc w:val="left"/>
        <w:rPr>
          <w:sz w:val="21"/>
        </w:rPr>
      </w:pPr>
      <w:r>
        <w:rPr>
          <w:w w:val="95"/>
          <w:sz w:val="21"/>
        </w:rPr>
        <w:t>缺点：招标人事先</w:t>
      </w:r>
      <w:r>
        <w:rPr>
          <w:b/>
          <w:color w:val="C00000"/>
          <w:w w:val="95"/>
          <w:sz w:val="21"/>
        </w:rPr>
        <w:t>难以预计</w:t>
      </w:r>
      <w:r>
        <w:rPr>
          <w:w w:val="95"/>
          <w:sz w:val="21"/>
        </w:rPr>
        <w:t>有哪些投标人，数量有多少；招标人</w:t>
      </w:r>
      <w:r>
        <w:rPr>
          <w:b/>
          <w:color w:val="C00000"/>
          <w:w w:val="95"/>
          <w:sz w:val="21"/>
        </w:rPr>
        <w:t>可能不熟悉</w:t>
      </w:r>
      <w:r>
        <w:rPr>
          <w:w w:val="95"/>
          <w:sz w:val="21"/>
        </w:rPr>
        <w:t>某些投标人的情况；招标</w:t>
      </w:r>
      <w:r>
        <w:rPr>
          <w:spacing w:val="113"/>
          <w:sz w:val="21"/>
        </w:rPr>
        <w:t xml:space="preserve"> </w:t>
      </w:r>
      <w:r>
        <w:rPr>
          <w:sz w:val="21"/>
        </w:rPr>
        <w:t>人所期待的投标人可能并未参加投标等。</w:t>
      </w:r>
    </w:p>
    <w:p>
      <w:pPr>
        <w:pStyle w:val="BodyText"/>
        <w:ind w:left="215"/>
      </w:pPr>
      <w:r>
        <w:t>3、邀请招标</w:t>
      </w:r>
    </w:p>
    <w:p>
      <w:pPr>
        <w:pStyle w:val="ListParagraph"/>
        <w:numPr>
          <w:ilvl w:val="0"/>
          <w:numId w:val="9"/>
        </w:numPr>
        <w:tabs>
          <w:tab w:val="left" w:pos="1179"/>
        </w:tabs>
        <w:spacing w:before="69" w:after="0" w:line="285" w:lineRule="auto"/>
        <w:ind w:left="215" w:right="314" w:firstLine="420"/>
        <w:jc w:val="left"/>
        <w:rPr>
          <w:b/>
          <w:sz w:val="21"/>
        </w:rPr>
      </w:pPr>
      <w:r>
        <w:rPr>
          <w:sz w:val="21"/>
        </w:rPr>
        <w:t>优点：招标人对所有发出投标邀请书的投标单位的信用和能力均予信任；投标人及投标人</w:t>
      </w:r>
      <w:r>
        <w:rPr>
          <w:b/>
          <w:color w:val="C00000"/>
          <w:sz w:val="21"/>
        </w:rPr>
        <w:t>的数量事先可以确定；缩短了招投标周期；评标工作量小；</w:t>
      </w:r>
    </w:p>
    <w:p>
      <w:pPr>
        <w:pStyle w:val="ListParagraph"/>
        <w:numPr>
          <w:ilvl w:val="0"/>
          <w:numId w:val="9"/>
        </w:numPr>
        <w:tabs>
          <w:tab w:val="left" w:pos="1179"/>
        </w:tabs>
        <w:spacing w:before="0" w:after="0" w:line="240" w:lineRule="auto"/>
        <w:ind w:left="1178" w:right="0" w:hanging="544"/>
        <w:jc w:val="left"/>
        <w:rPr>
          <w:sz w:val="21"/>
        </w:rPr>
      </w:pPr>
      <w:r>
        <w:rPr>
          <w:spacing w:val="-1"/>
          <w:sz w:val="21"/>
        </w:rPr>
        <w:t>缺点：由于邀请参加投标的单位数量有限，一些符合条件的潜在竞争者可能未能在邀请之列，而漏掉</w:t>
      </w:r>
    </w:p>
    <w:p>
      <w:pPr>
        <w:spacing w:after="0" w:line="240" w:lineRule="auto"/>
        <w:jc w:val="left"/>
        <w:rPr>
          <w:sz w:val="21"/>
        </w:rPr>
        <w:sectPr>
          <w:footerReference w:type="default" r:id="rId15"/>
          <w:pgSz w:w="11910" w:h="8390" w:orient="landscape"/>
          <w:pgMar w:top="220" w:right="580" w:bottom="1080" w:left="680" w:header="0" w:footer="886" w:gutter="0"/>
          <w:pgNumType w:start="11"/>
          <w:cols w:space="708"/>
        </w:sectPr>
      </w:pPr>
    </w:p>
    <w:p>
      <w:pPr>
        <w:pStyle w:val="BodyText"/>
        <w:rPr>
          <w:sz w:val="20"/>
        </w:rPr>
      </w:pPr>
      <w:r>
        <w:pict>
          <v:group id="docshapegroup117" o:spid="_x0000_s1120" style="width:38.9pt;height:74.7pt;margin-top:312pt;margin-left:554.85pt;mso-height-relative:page;mso-position-horizontal-relative:page;mso-position-vertical-relative:page;mso-width-relative:page;position:absolute;z-index:251692032" coordorigin="11097,6240" coordsize="778,1494">
            <v:shape id="docshape118" o:spid="_x0000_s1121" style="width:778;height:1215;left:11097;position:absolute;top:6519" coordorigin="11097,6519" coordsize="778,1215" path="m11875,7734l11309,7292,11289,7292,11289,7276,11097,7126,11875,6519,11875,7734xe" filled="t" fillcolor="#dd9545" stroked="f">
              <v:path arrowok="t"/>
            </v:shape>
            <v:shape id="docshape119" o:spid="_x0000_s1122" style="width:778;height:1215;left:11097;position:absolute;top:6240" coordorigin="11097,6240" coordsize="778,1215" path="m11875,7455l11097,6847,11875,6240,11875,7455xe" filled="t" fillcolor="#c3542f" stroked="f">
              <v:path arrowok="t"/>
            </v:shape>
          </v:group>
        </w:pict>
      </w:r>
      <w:r>
        <w:pict>
          <v:group id="docshapegroup120" o:spid="_x0000_s1123" style="width:36.85pt;height:69.25pt;margin-top:11.9pt;margin-left:0;mso-height-relative:page;mso-position-horizontal-relative:page;mso-position-vertical-relative:page;mso-width-relative:page;position:absolute;z-index:-251623424" coordorigin="0,238" coordsize="737,1385">
            <v:shape id="docshape121" o:spid="_x0000_s1124" style="width:737;height:1206;position:absolute;top:238" coordorigin="0,238" coordsize="737,1206" path="m,1444l,238,737,841,,1444xe" filled="t" fillcolor="#dd9545" stroked="f">
              <v:path arrowok="t"/>
            </v:shape>
            <v:shape id="docshape122" o:spid="_x0000_s1125"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BodyText"/>
        <w:spacing w:before="44"/>
        <w:ind w:left="215"/>
      </w:pPr>
      <w:r>
        <w:t>更具优势的单位；不能充分体现公开竞争、机会均等的原则。</w:t>
      </w:r>
    </w:p>
    <w:p>
      <w:pPr>
        <w:pStyle w:val="BodyText"/>
        <w:spacing w:before="71"/>
        <w:ind w:left="635"/>
      </w:pPr>
      <w:r>
        <w:rPr>
          <w:w w:val="95"/>
        </w:rPr>
        <w:t>根据国家发展和改革委员会</w:t>
      </w:r>
      <w:r>
        <w:rPr>
          <w:spacing w:val="95"/>
        </w:rPr>
        <w:t xml:space="preserve">  </w:t>
      </w:r>
      <w:r>
        <w:rPr>
          <w:w w:val="95"/>
        </w:rPr>
        <w:t>2018</w:t>
      </w:r>
      <w:r>
        <w:rPr>
          <w:spacing w:val="95"/>
        </w:rPr>
        <w:t xml:space="preserve">  </w:t>
      </w:r>
      <w:r>
        <w:rPr>
          <w:w w:val="95"/>
        </w:rPr>
        <w:t>年发布的《必须招标的工程项目规定》和《必须招标的基础设施和公用</w:t>
      </w:r>
    </w:p>
    <w:p>
      <w:pPr>
        <w:pStyle w:val="BodyText"/>
        <w:spacing w:before="74" w:line="285" w:lineRule="auto"/>
        <w:ind w:left="215" w:right="311"/>
      </w:pPr>
      <w:r>
        <w:rPr>
          <w:w w:val="95"/>
        </w:rPr>
        <w:t>事业项目范围规定》，对纳入所规定范围的项目勘察、设计等服务的采购，单项合同估算价在</w:t>
      </w:r>
      <w:r>
        <w:rPr>
          <w:spacing w:val="101"/>
        </w:rPr>
        <w:t xml:space="preserve"> </w:t>
      </w:r>
      <w:r>
        <w:rPr>
          <w:b/>
          <w:color w:val="C00000"/>
          <w:w w:val="95"/>
        </w:rPr>
        <w:t>100</w:t>
      </w:r>
      <w:r>
        <w:rPr>
          <w:b/>
          <w:color w:val="C00000"/>
          <w:spacing w:val="160"/>
        </w:rPr>
        <w:t xml:space="preserve"> </w:t>
      </w:r>
      <w:r>
        <w:rPr>
          <w:b/>
          <w:color w:val="C00000"/>
          <w:w w:val="95"/>
        </w:rPr>
        <w:t>万元</w:t>
      </w:r>
      <w:r>
        <w:rPr>
          <w:w w:val="95"/>
        </w:rPr>
        <w:t>人民币</w:t>
      </w:r>
      <w:r>
        <w:rPr>
          <w:b/>
          <w:color w:val="C00000"/>
        </w:rPr>
        <w:t>以上</w:t>
      </w:r>
      <w:r>
        <w:t>的，</w:t>
      </w:r>
      <w:r>
        <w:rPr>
          <w:b/>
          <w:color w:val="C00000"/>
        </w:rPr>
        <w:t>必须</w:t>
      </w:r>
      <w:r>
        <w:t>进行</w:t>
      </w:r>
      <w:r>
        <w:rPr>
          <w:b/>
          <w:color w:val="C00000"/>
        </w:rPr>
        <w:t>招标</w:t>
      </w:r>
      <w:r>
        <w:t>。</w:t>
      </w:r>
    </w:p>
    <w:p>
      <w:pPr>
        <w:pStyle w:val="BodyText"/>
        <w:spacing w:line="285" w:lineRule="auto"/>
        <w:ind w:left="215" w:right="316" w:firstLine="420"/>
      </w:pPr>
      <w:r>
        <w:rPr>
          <w:w w:val="95"/>
        </w:rPr>
        <w:t>根据《招投标法实施条例》，国有资金占控股或者主导地位的依法必须进行招标的项目，应当公开招标；</w:t>
      </w:r>
      <w:r>
        <w:rPr>
          <w:spacing w:val="93"/>
        </w:rPr>
        <w:t xml:space="preserve"> </w:t>
      </w:r>
      <w:r>
        <w:rPr>
          <w:spacing w:val="94"/>
        </w:rPr>
        <w:t xml:space="preserve"> </w:t>
      </w:r>
      <w:r>
        <w:t>但有下列情形之一的，可以邀请招标：</w:t>
      </w:r>
    </w:p>
    <w:p>
      <w:pPr>
        <w:pStyle w:val="ListParagraph"/>
        <w:numPr>
          <w:ilvl w:val="0"/>
          <w:numId w:val="10"/>
        </w:numPr>
        <w:tabs>
          <w:tab w:val="left" w:pos="1180"/>
        </w:tabs>
        <w:spacing w:before="0" w:after="0" w:line="240" w:lineRule="auto"/>
        <w:ind w:left="1180" w:right="0" w:hanging="545"/>
        <w:jc w:val="left"/>
        <w:rPr>
          <w:sz w:val="21"/>
        </w:rPr>
      </w:pPr>
      <w:r>
        <w:rPr>
          <w:b/>
          <w:color w:val="C00000"/>
          <w:sz w:val="21"/>
        </w:rPr>
        <w:t>技术复杂、有特殊要求或者受自然环境限制，只有少量潜在投标人可供选择</w:t>
      </w:r>
      <w:r>
        <w:rPr>
          <w:sz w:val="21"/>
        </w:rPr>
        <w:t>；</w:t>
      </w:r>
    </w:p>
    <w:p>
      <w:pPr>
        <w:pStyle w:val="ListParagraph"/>
        <w:numPr>
          <w:ilvl w:val="0"/>
          <w:numId w:val="10"/>
        </w:numPr>
        <w:tabs>
          <w:tab w:val="left" w:pos="1180"/>
        </w:tabs>
        <w:spacing w:before="70" w:after="0" w:line="240" w:lineRule="auto"/>
        <w:ind w:left="1180" w:right="0" w:hanging="545"/>
        <w:jc w:val="left"/>
        <w:rPr>
          <w:b/>
          <w:sz w:val="21"/>
        </w:rPr>
      </w:pPr>
      <w:r>
        <w:rPr>
          <w:b/>
          <w:color w:val="C00000"/>
          <w:sz w:val="21"/>
        </w:rPr>
        <w:t>采用公开招标方式的费用占项目合同金额的比例过大。</w:t>
      </w:r>
    </w:p>
    <w:p>
      <w:pPr>
        <w:pStyle w:val="Heading1"/>
        <w:spacing w:before="32"/>
      </w:pPr>
      <w:bookmarkStart w:id="17" w:name="_bookmark5"/>
      <w:bookmarkEnd w:id="17"/>
      <w:bookmarkStart w:id="18" w:name="强训点6：工程勘察设计评标"/>
      <w:bookmarkEnd w:id="18"/>
      <w:r>
        <w:rPr>
          <w:color w:val="FFFFFF"/>
          <w:spacing w:val="-3"/>
          <w:shd w:val="clear" w:color="auto" w:fill="C55811"/>
        </w:rPr>
        <w:t xml:space="preserve">强训点 </w:t>
      </w:r>
      <w:r>
        <w:rPr>
          <w:color w:val="FFFFFF"/>
          <w:shd w:val="clear" w:color="auto" w:fill="C55811"/>
        </w:rPr>
        <w:t>6：工程勘察设计评标</w:t>
      </w:r>
    </w:p>
    <w:p>
      <w:pPr>
        <w:pStyle w:val="Heading2"/>
        <w:spacing w:before="60"/>
      </w:pPr>
      <w:r>
        <w:t>关键词：2/3、单数、评审</w:t>
      </w:r>
    </w:p>
    <w:p>
      <w:pPr>
        <w:pStyle w:val="BodyText"/>
        <w:spacing w:before="71"/>
        <w:ind w:left="215"/>
      </w:pPr>
      <w:r>
        <w:t>（一）评标委员会的组成</w:t>
      </w:r>
    </w:p>
    <w:p>
      <w:pPr>
        <w:pStyle w:val="BodyText"/>
        <w:spacing w:before="74"/>
        <w:ind w:left="740"/>
      </w:pPr>
      <w:r>
        <w:t>1、由招标人代表和有关专家组成。</w:t>
      </w:r>
    </w:p>
    <w:p>
      <w:pPr>
        <w:spacing w:before="74"/>
        <w:ind w:left="740" w:right="0" w:firstLine="0"/>
        <w:jc w:val="left"/>
        <w:rPr>
          <w:sz w:val="21"/>
        </w:rPr>
      </w:pPr>
      <w:r>
        <w:rPr>
          <w:w w:val="95"/>
          <w:sz w:val="21"/>
        </w:rPr>
        <w:t>2、人数为</w:t>
      </w:r>
      <w:r>
        <w:rPr>
          <w:spacing w:val="114"/>
          <w:sz w:val="21"/>
        </w:rPr>
        <w:t xml:space="preserve"> </w:t>
      </w:r>
      <w:r>
        <w:rPr>
          <w:b/>
          <w:color w:val="C00000"/>
          <w:w w:val="95"/>
          <w:sz w:val="21"/>
        </w:rPr>
        <w:t>5</w:t>
      </w:r>
      <w:r>
        <w:rPr>
          <w:b/>
          <w:color w:val="C00000"/>
          <w:spacing w:val="116"/>
          <w:sz w:val="21"/>
        </w:rPr>
        <w:t xml:space="preserve"> </w:t>
      </w:r>
      <w:r>
        <w:rPr>
          <w:b/>
          <w:color w:val="C00000"/>
          <w:w w:val="95"/>
          <w:sz w:val="21"/>
        </w:rPr>
        <w:t>人</w:t>
      </w:r>
      <w:r>
        <w:rPr>
          <w:w w:val="95"/>
          <w:sz w:val="21"/>
        </w:rPr>
        <w:t>以上</w:t>
      </w:r>
      <w:r>
        <w:rPr>
          <w:b/>
          <w:color w:val="C00000"/>
          <w:w w:val="95"/>
          <w:sz w:val="21"/>
        </w:rPr>
        <w:t>单数</w:t>
      </w:r>
      <w:r>
        <w:rPr>
          <w:w w:val="95"/>
          <w:sz w:val="21"/>
        </w:rPr>
        <w:t>，其中</w:t>
      </w:r>
      <w:r>
        <w:rPr>
          <w:b/>
          <w:color w:val="C00000"/>
          <w:w w:val="95"/>
          <w:sz w:val="21"/>
        </w:rPr>
        <w:t>技术和经济</w:t>
      </w:r>
      <w:r>
        <w:rPr>
          <w:w w:val="95"/>
          <w:sz w:val="21"/>
        </w:rPr>
        <w:t>方面的专家不得少于成员总数的</w:t>
      </w:r>
      <w:r>
        <w:rPr>
          <w:spacing w:val="120"/>
          <w:sz w:val="21"/>
        </w:rPr>
        <w:t xml:space="preserve"> </w:t>
      </w:r>
      <w:r>
        <w:rPr>
          <w:b/>
          <w:color w:val="C00000"/>
          <w:w w:val="95"/>
          <w:sz w:val="21"/>
        </w:rPr>
        <w:t>2/3</w:t>
      </w:r>
      <w:r>
        <w:rPr>
          <w:w w:val="95"/>
          <w:sz w:val="21"/>
        </w:rPr>
        <w:t>。建筑工程设计方案评标</w:t>
      </w:r>
    </w:p>
    <w:p>
      <w:pPr>
        <w:spacing w:after="0"/>
        <w:jc w:val="left"/>
        <w:rPr>
          <w:sz w:val="21"/>
        </w:rPr>
        <w:sectPr>
          <w:footerReference w:type="default" r:id="rId16"/>
          <w:pgSz w:w="11910" w:h="8390" w:orient="landscape"/>
          <w:pgMar w:top="220" w:right="580" w:bottom="1180" w:left="680" w:header="0" w:footer="886" w:gutter="0"/>
          <w:pgNumType w:start="12"/>
          <w:cols w:space="708"/>
        </w:sectPr>
      </w:pPr>
    </w:p>
    <w:p>
      <w:pPr>
        <w:pStyle w:val="BodyText"/>
        <w:rPr>
          <w:sz w:val="20"/>
        </w:rPr>
      </w:pPr>
      <w:r>
        <w:pict>
          <v:group id="docshapegroup123" o:spid="_x0000_s1126" style="width:38.9pt;height:74.7pt;margin-top:312pt;margin-left:554.85pt;mso-height-relative:page;mso-position-horizontal-relative:page;mso-position-vertical-relative:page;mso-width-relative:page;position:absolute;z-index:251694080" coordorigin="11097,6240" coordsize="778,1494">
            <v:shape id="docshape124" o:spid="_x0000_s1127" style="width:778;height:1215;left:11097;position:absolute;top:6519" coordorigin="11097,6519" coordsize="778,1215" path="m11875,7734l11309,7292,11289,7292,11289,7276,11097,7126,11875,6519,11875,7734xe" filled="t" fillcolor="#dd9545" stroked="f">
              <v:path arrowok="t"/>
            </v:shape>
            <v:shape id="docshape125" o:spid="_x0000_s1128" style="width:778;height:1215;left:11097;position:absolute;top:6240" coordorigin="11097,6240" coordsize="778,1215" path="m11875,7455l11097,6847,11875,6240,11875,7455xe" filled="t" fillcolor="#c3542f" stroked="f">
              <v:path arrowok="t"/>
            </v:shape>
          </v:group>
        </w:pict>
      </w:r>
      <w:r>
        <w:pict>
          <v:group id="docshapegroup126" o:spid="_x0000_s1129" style="width:36.85pt;height:69.25pt;margin-top:11.9pt;margin-left:0;mso-height-relative:page;mso-position-horizontal-relative:page;mso-position-vertical-relative:page;mso-width-relative:page;position:absolute;z-index:-251621376" coordorigin="0,238" coordsize="737,1385">
            <v:shape id="docshape127" o:spid="_x0000_s1130" style="width:737;height:1206;position:absolute;top:238" coordorigin="0,238" coordsize="737,1206" path="m,1444l,238,737,841,,1444xe" filled="t" fillcolor="#dd9545" stroked="f">
              <v:path arrowok="t"/>
            </v:shape>
            <v:shape id="docshape128" o:spid="_x0000_s1131"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ind w:left="0" w:right="3713" w:firstLine="0"/>
        <w:jc w:val="center"/>
        <w:rPr>
          <w:b/>
          <w:sz w:val="21"/>
        </w:rPr>
      </w:pPr>
      <w:r>
        <w:rPr>
          <w:w w:val="95"/>
          <w:sz w:val="21"/>
        </w:rPr>
        <w:t>时，</w:t>
      </w:r>
      <w:r>
        <w:rPr>
          <w:b/>
          <w:color w:val="C00000"/>
          <w:w w:val="95"/>
          <w:sz w:val="21"/>
        </w:rPr>
        <w:t>建筑专业</w:t>
      </w:r>
      <w:r>
        <w:rPr>
          <w:w w:val="95"/>
          <w:sz w:val="21"/>
        </w:rPr>
        <w:t>专家不得少于</w:t>
      </w:r>
      <w:r>
        <w:rPr>
          <w:b/>
          <w:color w:val="C00000"/>
          <w:w w:val="95"/>
          <w:sz w:val="21"/>
        </w:rPr>
        <w:t>技术和经济</w:t>
      </w:r>
      <w:r>
        <w:rPr>
          <w:w w:val="95"/>
          <w:sz w:val="21"/>
        </w:rPr>
        <w:t>方面专家总数的</w:t>
      </w:r>
      <w:r>
        <w:rPr>
          <w:spacing w:val="81"/>
          <w:sz w:val="21"/>
        </w:rPr>
        <w:t xml:space="preserve">  </w:t>
      </w:r>
      <w:r>
        <w:rPr>
          <w:b/>
          <w:color w:val="C00000"/>
          <w:w w:val="95"/>
          <w:sz w:val="21"/>
        </w:rPr>
        <w:t>2/3</w:t>
      </w:r>
      <w:r>
        <w:rPr>
          <w:w w:val="95"/>
          <w:sz w:val="21"/>
        </w:rPr>
        <w:t>。</w:t>
      </w:r>
      <w:r>
        <w:rPr>
          <w:b/>
          <w:color w:val="2D75B5"/>
          <w:w w:val="95"/>
          <w:sz w:val="21"/>
        </w:rPr>
        <w:t>（常考）</w:t>
      </w:r>
    </w:p>
    <w:p>
      <w:pPr>
        <w:pStyle w:val="BodyText"/>
        <w:spacing w:before="71"/>
        <w:ind w:right="3790"/>
        <w:jc w:val="center"/>
      </w:pPr>
      <w:r>
        <w:t>3、应当按照招标文件确定的评标标准和方法，进行评审。</w:t>
      </w:r>
    </w:p>
    <w:p>
      <w:pPr>
        <w:pStyle w:val="BodyText"/>
        <w:spacing w:before="74" w:line="285" w:lineRule="auto"/>
        <w:ind w:left="215" w:right="316" w:firstLine="525"/>
      </w:pPr>
      <w:r>
        <w:rPr>
          <w:w w:val="95"/>
        </w:rPr>
        <w:t>4、完成评标后，应当向招标人提出书面评标报告，推荐能够最大限度地满足招标文件中规定的各项综合</w:t>
      </w:r>
      <w:r>
        <w:rPr>
          <w:spacing w:val="82"/>
        </w:rPr>
        <w:t xml:space="preserve"> </w:t>
      </w:r>
      <w:r>
        <w:rPr>
          <w:spacing w:val="83"/>
        </w:rPr>
        <w:t xml:space="preserve"> </w:t>
      </w:r>
      <w:r>
        <w:t>评价标准的投标人为中标候选人。</w:t>
      </w:r>
    </w:p>
    <w:p>
      <w:pPr>
        <w:pStyle w:val="BodyText"/>
        <w:spacing w:line="285" w:lineRule="auto"/>
        <w:ind w:left="426" w:right="8330" w:hanging="212"/>
      </w:pPr>
      <w:r>
        <w:rPr>
          <w:spacing w:val="-1"/>
        </w:rPr>
        <w:t>（二）</w:t>
      </w:r>
      <w:r>
        <w:t>评标程序及方法1、初步评审</w:t>
      </w:r>
    </w:p>
    <w:p>
      <w:pPr>
        <w:spacing w:before="0"/>
        <w:ind w:left="635" w:right="0" w:firstLine="0"/>
        <w:jc w:val="left"/>
        <w:rPr>
          <w:sz w:val="21"/>
        </w:rPr>
      </w:pPr>
      <w:r>
        <w:rPr>
          <w:sz w:val="21"/>
        </w:rPr>
        <w:t>在初步评审阶段，应进行</w:t>
      </w:r>
      <w:r>
        <w:rPr>
          <w:b/>
          <w:color w:val="C00000"/>
          <w:sz w:val="21"/>
        </w:rPr>
        <w:t>形式评审</w:t>
      </w:r>
      <w:r>
        <w:rPr>
          <w:sz w:val="21"/>
        </w:rPr>
        <w:t>、</w:t>
      </w:r>
      <w:r>
        <w:rPr>
          <w:b/>
          <w:color w:val="C00000"/>
          <w:sz w:val="21"/>
        </w:rPr>
        <w:t>资格评审</w:t>
      </w:r>
      <w:r>
        <w:rPr>
          <w:sz w:val="21"/>
        </w:rPr>
        <w:t>和</w:t>
      </w:r>
      <w:r>
        <w:rPr>
          <w:b/>
          <w:color w:val="C00000"/>
          <w:sz w:val="21"/>
        </w:rPr>
        <w:t>响应性评审</w:t>
      </w:r>
      <w:r>
        <w:rPr>
          <w:sz w:val="21"/>
        </w:rPr>
        <w:t>。</w:t>
      </w:r>
    </w:p>
    <w:p>
      <w:pPr>
        <w:pStyle w:val="ListParagraph"/>
        <w:numPr>
          <w:ilvl w:val="0"/>
          <w:numId w:val="11"/>
        </w:numPr>
        <w:tabs>
          <w:tab w:val="left" w:pos="1180"/>
        </w:tabs>
        <w:spacing w:before="70" w:after="0" w:line="285" w:lineRule="auto"/>
        <w:ind w:left="215" w:right="314" w:firstLine="420"/>
        <w:jc w:val="both"/>
        <w:rPr>
          <w:sz w:val="21"/>
        </w:rPr>
      </w:pPr>
      <w:r>
        <w:rPr>
          <w:b/>
          <w:color w:val="C00000"/>
          <w:w w:val="95"/>
          <w:sz w:val="21"/>
        </w:rPr>
        <w:t>形式评审</w:t>
      </w:r>
      <w:r>
        <w:rPr>
          <w:w w:val="95"/>
          <w:sz w:val="21"/>
        </w:rPr>
        <w:t>：审查投标人名称是否与营业执照、资质证书</w:t>
      </w:r>
      <w:r>
        <w:rPr>
          <w:b/>
          <w:color w:val="C00000"/>
          <w:w w:val="95"/>
          <w:sz w:val="21"/>
        </w:rPr>
        <w:t>一致</w:t>
      </w:r>
      <w:r>
        <w:rPr>
          <w:w w:val="95"/>
          <w:sz w:val="21"/>
        </w:rPr>
        <w:t>；投标函及投标函附录是否有法人代表或</w:t>
      </w:r>
      <w:r>
        <w:rPr>
          <w:spacing w:val="117"/>
          <w:sz w:val="21"/>
        </w:rPr>
        <w:t xml:space="preserve"> </w:t>
      </w:r>
      <w:r>
        <w:rPr>
          <w:w w:val="95"/>
          <w:sz w:val="21"/>
        </w:rPr>
        <w:t>其委托代理人的</w:t>
      </w:r>
      <w:r>
        <w:rPr>
          <w:b/>
          <w:color w:val="C00000"/>
          <w:w w:val="95"/>
          <w:sz w:val="21"/>
        </w:rPr>
        <w:t>签字</w:t>
      </w:r>
      <w:r>
        <w:rPr>
          <w:w w:val="95"/>
          <w:sz w:val="21"/>
        </w:rPr>
        <w:t>或</w:t>
      </w:r>
      <w:r>
        <w:rPr>
          <w:b/>
          <w:color w:val="C00000"/>
          <w:w w:val="95"/>
          <w:sz w:val="21"/>
        </w:rPr>
        <w:t>加盖单位章</w:t>
      </w:r>
      <w:r>
        <w:rPr>
          <w:w w:val="95"/>
          <w:sz w:val="21"/>
        </w:rPr>
        <w:t>；投标文件格式是否</w:t>
      </w:r>
      <w:r>
        <w:rPr>
          <w:b/>
          <w:color w:val="C00000"/>
          <w:w w:val="95"/>
          <w:sz w:val="21"/>
        </w:rPr>
        <w:t>符合规定</w:t>
      </w:r>
      <w:r>
        <w:rPr>
          <w:w w:val="95"/>
          <w:sz w:val="21"/>
        </w:rPr>
        <w:t>；联合体投标人是否提交了</w:t>
      </w:r>
      <w:r>
        <w:rPr>
          <w:b/>
          <w:color w:val="C00000"/>
          <w:w w:val="95"/>
          <w:sz w:val="21"/>
        </w:rPr>
        <w:t>联合体协议书</w:t>
      </w:r>
      <w:r>
        <w:rPr>
          <w:w w:val="95"/>
          <w:sz w:val="21"/>
        </w:rPr>
        <w:t>、明</w:t>
      </w:r>
      <w:r>
        <w:rPr>
          <w:spacing w:val="110"/>
          <w:sz w:val="21"/>
        </w:rPr>
        <w:t xml:space="preserve"> </w:t>
      </w:r>
      <w:r>
        <w:rPr>
          <w:spacing w:val="111"/>
          <w:sz w:val="21"/>
        </w:rPr>
        <w:t xml:space="preserve"> </w:t>
      </w:r>
      <w:r>
        <w:rPr>
          <w:w w:val="95"/>
          <w:sz w:val="21"/>
        </w:rPr>
        <w:t>确了联合体牵头人和各方承担的连带责任；是否遵守了除招标文件明确允许提交备选投标方案外，投标人</w:t>
      </w:r>
      <w:r>
        <w:rPr>
          <w:b/>
          <w:color w:val="C00000"/>
          <w:w w:val="95"/>
          <w:sz w:val="21"/>
        </w:rPr>
        <w:t>不得</w:t>
      </w:r>
      <w:r>
        <w:rPr>
          <w:b/>
          <w:color w:val="C00000"/>
          <w:spacing w:val="104"/>
          <w:sz w:val="21"/>
        </w:rPr>
        <w:t xml:space="preserve"> </w:t>
      </w:r>
      <w:r>
        <w:rPr>
          <w:b/>
          <w:color w:val="C00000"/>
          <w:spacing w:val="105"/>
          <w:sz w:val="21"/>
        </w:rPr>
        <w:t xml:space="preserve"> </w:t>
      </w:r>
      <w:r>
        <w:rPr>
          <w:b/>
          <w:color w:val="C00000"/>
          <w:sz w:val="21"/>
        </w:rPr>
        <w:t>提交备选投标方案</w:t>
      </w:r>
      <w:r>
        <w:rPr>
          <w:sz w:val="21"/>
        </w:rPr>
        <w:t>的规定。</w:t>
      </w:r>
    </w:p>
    <w:p>
      <w:pPr>
        <w:pStyle w:val="ListParagraph"/>
        <w:numPr>
          <w:ilvl w:val="0"/>
          <w:numId w:val="11"/>
        </w:numPr>
        <w:tabs>
          <w:tab w:val="left" w:pos="1180"/>
        </w:tabs>
        <w:spacing w:before="0" w:after="0" w:line="285" w:lineRule="auto"/>
        <w:ind w:left="215" w:right="315" w:firstLine="420"/>
        <w:jc w:val="left"/>
        <w:rPr>
          <w:sz w:val="21"/>
        </w:rPr>
      </w:pPr>
      <w:r>
        <w:rPr>
          <w:b/>
          <w:color w:val="C00000"/>
          <w:w w:val="95"/>
          <w:sz w:val="21"/>
        </w:rPr>
        <w:t>资格评审</w:t>
      </w:r>
      <w:r>
        <w:rPr>
          <w:w w:val="95"/>
          <w:sz w:val="21"/>
        </w:rPr>
        <w:t>：审查投标人营业执照和组织机构代码证；资质要求；财务要求；业绩要求；信誉要求；</w:t>
      </w:r>
      <w:r>
        <w:rPr>
          <w:b/>
          <w:color w:val="C00000"/>
          <w:w w:val="95"/>
          <w:sz w:val="21"/>
        </w:rPr>
        <w:t>项</w:t>
      </w:r>
      <w:r>
        <w:rPr>
          <w:b/>
          <w:color w:val="C00000"/>
          <w:spacing w:val="115"/>
          <w:sz w:val="21"/>
        </w:rPr>
        <w:t xml:space="preserve"> </w:t>
      </w:r>
      <w:r>
        <w:rPr>
          <w:b/>
          <w:color w:val="C00000"/>
          <w:w w:val="95"/>
          <w:sz w:val="21"/>
        </w:rPr>
        <w:t>目负责人</w:t>
      </w:r>
      <w:r>
        <w:rPr>
          <w:w w:val="95"/>
          <w:sz w:val="21"/>
        </w:rPr>
        <w:t>；其他主要人员；其他要求；联合体投标人；不存在禁止投标的情形等各项内容是否符合投标人须知</w:t>
      </w:r>
    </w:p>
    <w:p>
      <w:pPr>
        <w:spacing w:after="0" w:line="285" w:lineRule="auto"/>
        <w:jc w:val="left"/>
        <w:rPr>
          <w:sz w:val="21"/>
        </w:rPr>
        <w:sectPr>
          <w:footerReference w:type="default" r:id="rId17"/>
          <w:pgSz w:w="11910" w:h="8390" w:orient="landscape"/>
          <w:pgMar w:top="220" w:right="580" w:bottom="1180" w:left="680" w:header="0" w:footer="886" w:gutter="0"/>
          <w:pgNumType w:start="13"/>
          <w:cols w:space="708"/>
        </w:sectPr>
      </w:pPr>
    </w:p>
    <w:p>
      <w:pPr>
        <w:pStyle w:val="BodyText"/>
        <w:rPr>
          <w:sz w:val="20"/>
        </w:rPr>
      </w:pPr>
      <w:r>
        <w:pict>
          <v:group id="docshapegroup129" o:spid="_x0000_s1132" style="width:38.9pt;height:74.7pt;margin-top:312pt;margin-left:554.85pt;mso-height-relative:page;mso-position-horizontal-relative:page;mso-position-vertical-relative:page;mso-width-relative:page;position:absolute;z-index:251696128" coordorigin="11097,6240" coordsize="778,1494">
            <v:shape id="docshape130" o:spid="_x0000_s1133" style="width:778;height:1215;left:11097;position:absolute;top:6519" coordorigin="11097,6519" coordsize="778,1215" path="m11875,7734l11309,7292,11289,7292,11289,7276,11097,7126,11875,6519,11875,7734xe" filled="t" fillcolor="#dd9545" stroked="f">
              <v:path arrowok="t"/>
            </v:shape>
            <v:shape id="docshape131" o:spid="_x0000_s1134" style="width:778;height:1215;left:11097;position:absolute;top:6240" coordorigin="11097,6240" coordsize="778,1215" path="m11875,7455l11097,6847,11875,6240,11875,7455xe" filled="t" fillcolor="#c3542f" stroked="f">
              <v:path arrowok="t"/>
            </v:shape>
          </v:group>
        </w:pict>
      </w:r>
      <w:r>
        <w:pict>
          <v:group id="docshapegroup132" o:spid="_x0000_s1135" style="width:36.85pt;height:69.25pt;margin-top:11.9pt;margin-left:0;mso-height-relative:page;mso-position-horizontal-relative:page;mso-position-vertical-relative:page;mso-width-relative:page;position:absolute;z-index:-251619328" coordorigin="0,238" coordsize="737,1385">
            <v:shape id="docshape133" o:spid="_x0000_s1136" style="width:737;height:1206;position:absolute;top:238" coordorigin="0,238" coordsize="737,1206" path="m,1444l,238,737,841,,1444xe" filled="t" fillcolor="#dd9545" stroked="f">
              <v:path arrowok="t"/>
            </v:shape>
            <v:shape id="docshape134" o:spid="_x0000_s1137"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BodyText"/>
        <w:spacing w:before="44"/>
        <w:ind w:left="215"/>
      </w:pPr>
      <w:r>
        <w:t>的规定。</w:t>
      </w:r>
    </w:p>
    <w:p>
      <w:pPr>
        <w:pStyle w:val="ListParagraph"/>
        <w:numPr>
          <w:ilvl w:val="0"/>
          <w:numId w:val="35"/>
        </w:numPr>
        <w:tabs>
          <w:tab w:val="left" w:pos="1179"/>
        </w:tabs>
        <w:spacing w:before="71" w:after="0" w:line="285" w:lineRule="auto"/>
        <w:ind w:left="215" w:right="208" w:firstLine="419"/>
        <w:jc w:val="left"/>
        <w:rPr>
          <w:sz w:val="21"/>
        </w:rPr>
      </w:pPr>
      <w:r>
        <w:rPr>
          <w:b/>
          <w:color w:val="C00000"/>
          <w:w w:val="95"/>
          <w:sz w:val="21"/>
        </w:rPr>
        <w:t>响应性评审</w:t>
      </w:r>
      <w:r>
        <w:rPr>
          <w:w w:val="95"/>
          <w:sz w:val="21"/>
        </w:rPr>
        <w:t>：审查投标报价；投标内容；勘察或设计服务期限；质量标准；</w:t>
      </w:r>
      <w:r>
        <w:rPr>
          <w:b/>
          <w:color w:val="C00000"/>
          <w:w w:val="95"/>
          <w:sz w:val="21"/>
        </w:rPr>
        <w:t>投标有效期</w:t>
      </w:r>
      <w:r>
        <w:rPr>
          <w:w w:val="95"/>
          <w:sz w:val="21"/>
        </w:rPr>
        <w:t>；</w:t>
      </w:r>
      <w:r>
        <w:rPr>
          <w:b/>
          <w:color w:val="C00000"/>
          <w:w w:val="95"/>
          <w:sz w:val="21"/>
        </w:rPr>
        <w:t>投标保证金</w:t>
      </w:r>
      <w:r>
        <w:rPr>
          <w:w w:val="95"/>
          <w:sz w:val="21"/>
        </w:rPr>
        <w:t>；</w:t>
      </w:r>
      <w:r>
        <w:rPr>
          <w:spacing w:val="18"/>
          <w:w w:val="95"/>
          <w:sz w:val="21"/>
        </w:rPr>
        <w:t xml:space="preserve"> </w:t>
      </w:r>
      <w:r>
        <w:rPr>
          <w:sz w:val="21"/>
        </w:rPr>
        <w:t>权利义务等是否符合投标人须知的规定；勘察纲要或设计方案是否符合发包人要求中的实质性要求和条件。</w:t>
      </w:r>
    </w:p>
    <w:p>
      <w:pPr>
        <w:pStyle w:val="BodyText"/>
        <w:spacing w:before="1"/>
        <w:ind w:left="426"/>
      </w:pPr>
      <w:r>
        <w:t>2、详细评审</w:t>
      </w:r>
    </w:p>
    <w:p>
      <w:pPr>
        <w:pStyle w:val="BodyText"/>
        <w:spacing w:before="71" w:line="285" w:lineRule="auto"/>
        <w:ind w:left="215" w:right="309" w:firstLine="420"/>
        <w:jc w:val="both"/>
      </w:pPr>
      <w:r>
        <w:rPr>
          <w:w w:val="95"/>
        </w:rPr>
        <w:t>投标人得分=A+B+C+D</w:t>
      </w:r>
      <w:r>
        <w:rPr>
          <w:spacing w:val="76"/>
        </w:rPr>
        <w:t xml:space="preserve">   </w:t>
      </w:r>
      <w:r>
        <w:rPr>
          <w:w w:val="95"/>
        </w:rPr>
        <w:t>应按得分</w:t>
      </w:r>
      <w:r>
        <w:rPr>
          <w:b/>
          <w:color w:val="C00000"/>
          <w:w w:val="95"/>
        </w:rPr>
        <w:t>由高到低</w:t>
      </w:r>
      <w:r>
        <w:rPr>
          <w:w w:val="95"/>
        </w:rPr>
        <w:t>的顺序推荐中标候选人，或根据招标人授权直接确定中标人，</w:t>
      </w:r>
      <w:r>
        <w:rPr>
          <w:spacing w:val="1"/>
          <w:w w:val="95"/>
        </w:rPr>
        <w:t xml:space="preserve"> </w:t>
      </w:r>
      <w:r>
        <w:rPr>
          <w:w w:val="95"/>
        </w:rPr>
        <w:t>如综合评分</w:t>
      </w:r>
      <w:r>
        <w:rPr>
          <w:b/>
          <w:color w:val="C00000"/>
          <w:w w:val="95"/>
        </w:rPr>
        <w:t>相等</w:t>
      </w:r>
      <w:r>
        <w:rPr>
          <w:w w:val="95"/>
        </w:rPr>
        <w:t>，以</w:t>
      </w:r>
      <w:r>
        <w:rPr>
          <w:b/>
          <w:color w:val="C00000"/>
          <w:w w:val="95"/>
        </w:rPr>
        <w:t>投标报价低</w:t>
      </w:r>
      <w:r>
        <w:rPr>
          <w:w w:val="95"/>
        </w:rPr>
        <w:t>的优先；投标报价也相等的，以勘察纲要或设计方案得分高的优先；如果也相</w:t>
      </w:r>
      <w:r>
        <w:rPr>
          <w:spacing w:val="107"/>
        </w:rPr>
        <w:t xml:space="preserve"> </w:t>
      </w:r>
      <w:r>
        <w:rPr>
          <w:spacing w:val="108"/>
        </w:rPr>
        <w:t xml:space="preserve"> </w:t>
      </w:r>
      <w:r>
        <w:t>等，则按照评标办法前附表的规定确定中标候选人顺序。</w:t>
      </w:r>
    </w:p>
    <w:p>
      <w:pPr>
        <w:pStyle w:val="Heading1"/>
        <w:spacing w:before="0" w:line="401" w:lineRule="exact"/>
      </w:pPr>
      <w:bookmarkStart w:id="19" w:name="强训点7：工程施工招标程序"/>
      <w:bookmarkEnd w:id="19"/>
      <w:bookmarkStart w:id="20" w:name="_bookmark6"/>
      <w:bookmarkEnd w:id="20"/>
      <w:r>
        <w:rPr>
          <w:color w:val="FFFFFF"/>
          <w:spacing w:val="-3"/>
          <w:shd w:val="clear" w:color="auto" w:fill="C55811"/>
        </w:rPr>
        <w:t xml:space="preserve">强训点 </w:t>
      </w:r>
      <w:r>
        <w:rPr>
          <w:color w:val="FFFFFF"/>
          <w:shd w:val="clear" w:color="auto" w:fill="C55811"/>
        </w:rPr>
        <w:t>7：工程施工招标程序</w:t>
      </w:r>
    </w:p>
    <w:p>
      <w:pPr>
        <w:pStyle w:val="Heading2"/>
      </w:pPr>
      <w:r>
        <w:t>记忆口诀：招投标合格</w:t>
      </w:r>
    </w:p>
    <w:p>
      <w:pPr>
        <w:spacing w:before="74"/>
        <w:ind w:left="215" w:right="0" w:firstLine="0"/>
        <w:jc w:val="left"/>
        <w:rPr>
          <w:b/>
          <w:sz w:val="21"/>
        </w:rPr>
      </w:pPr>
      <w:r>
        <w:rPr>
          <w:b/>
          <w:spacing w:val="-2"/>
          <w:sz w:val="21"/>
        </w:rPr>
        <w:t xml:space="preserve">关键词：截止日期 </w:t>
      </w:r>
      <w:r>
        <w:rPr>
          <w:b/>
          <w:sz w:val="21"/>
        </w:rPr>
        <w:t>15</w:t>
      </w:r>
      <w:r>
        <w:rPr>
          <w:b/>
          <w:spacing w:val="-4"/>
          <w:sz w:val="21"/>
        </w:rPr>
        <w:t xml:space="preserve"> 日前、预审、后审</w:t>
      </w:r>
    </w:p>
    <w:p>
      <w:pPr>
        <w:pStyle w:val="BodyText"/>
        <w:spacing w:before="71" w:line="285" w:lineRule="auto"/>
        <w:ind w:left="215" w:right="6650"/>
      </w:pPr>
      <w:r>
        <w:rPr>
          <w:w w:val="95"/>
        </w:rPr>
        <w:t>（一）标准施工招标文件组成及适用范围</w:t>
      </w:r>
      <w:r>
        <w:t>简明标准施工招标文件适用范围：</w:t>
      </w:r>
    </w:p>
    <w:p>
      <w:pPr>
        <w:spacing w:before="1"/>
        <w:ind w:left="635" w:right="0" w:firstLine="0"/>
        <w:jc w:val="left"/>
        <w:rPr>
          <w:b/>
          <w:sz w:val="21"/>
        </w:rPr>
      </w:pPr>
      <w:r>
        <w:rPr>
          <w:w w:val="95"/>
          <w:sz w:val="21"/>
        </w:rPr>
        <w:t>适用于依法必须进行招标的工程建设项目，工期不超过</w:t>
      </w:r>
      <w:r>
        <w:rPr>
          <w:spacing w:val="83"/>
          <w:sz w:val="21"/>
        </w:rPr>
        <w:t xml:space="preserve">  </w:t>
      </w:r>
      <w:r>
        <w:rPr>
          <w:b/>
          <w:color w:val="C00000"/>
          <w:w w:val="95"/>
          <w:sz w:val="21"/>
        </w:rPr>
        <w:t>12</w:t>
      </w:r>
      <w:r>
        <w:rPr>
          <w:b/>
          <w:color w:val="C00000"/>
          <w:spacing w:val="83"/>
          <w:sz w:val="21"/>
        </w:rPr>
        <w:t xml:space="preserve">  </w:t>
      </w:r>
      <w:r>
        <w:rPr>
          <w:b/>
          <w:color w:val="C00000"/>
          <w:w w:val="95"/>
          <w:sz w:val="21"/>
        </w:rPr>
        <w:t>个月</w:t>
      </w:r>
      <w:r>
        <w:rPr>
          <w:w w:val="95"/>
          <w:sz w:val="21"/>
        </w:rPr>
        <w:t>、技术相对</w:t>
      </w:r>
      <w:r>
        <w:rPr>
          <w:b/>
          <w:color w:val="C00000"/>
          <w:w w:val="95"/>
          <w:sz w:val="21"/>
        </w:rPr>
        <w:t>简单</w:t>
      </w:r>
      <w:r>
        <w:rPr>
          <w:w w:val="95"/>
          <w:sz w:val="21"/>
        </w:rPr>
        <w:t>且设计和施工</w:t>
      </w:r>
      <w:r>
        <w:rPr>
          <w:b/>
          <w:color w:val="C00000"/>
          <w:w w:val="95"/>
          <w:sz w:val="21"/>
        </w:rPr>
        <w:t>不是由同一</w:t>
      </w:r>
    </w:p>
    <w:p>
      <w:pPr>
        <w:spacing w:after="0"/>
        <w:jc w:val="left"/>
        <w:rPr>
          <w:sz w:val="21"/>
        </w:rPr>
        <w:sectPr>
          <w:footerReference w:type="default" r:id="rId18"/>
          <w:pgSz w:w="11910" w:h="8390" w:orient="landscape"/>
          <w:pgMar w:top="220" w:right="580" w:bottom="1180" w:left="680" w:header="0" w:footer="886" w:gutter="0"/>
          <w:pgNumType w:start="14"/>
          <w:cols w:space="708"/>
        </w:sectPr>
      </w:pPr>
    </w:p>
    <w:p>
      <w:pPr>
        <w:pStyle w:val="BodyText"/>
        <w:rPr>
          <w:b/>
          <w:sz w:val="20"/>
        </w:rPr>
      </w:pPr>
      <w:r>
        <w:pict>
          <v:group id="docshapegroup135" o:spid="_x0000_s1138" style="width:38.9pt;height:74.7pt;margin-top:312pt;margin-left:554.85pt;mso-height-relative:page;mso-position-horizontal-relative:page;mso-position-vertical-relative:page;mso-width-relative:page;position:absolute;z-index:251698176" coordorigin="11097,6240" coordsize="778,1494">
            <v:shape id="docshape136" o:spid="_x0000_s1139" style="width:778;height:1215;left:11097;position:absolute;top:6519" coordorigin="11097,6519" coordsize="778,1215" path="m11875,7734l11309,7292,11289,7292,11289,7276,11097,7126,11875,6519,11875,7734xe" filled="t" fillcolor="#dd9545" stroked="f">
              <v:path arrowok="t"/>
            </v:shape>
            <v:shape id="docshape137" o:spid="_x0000_s1140" style="width:778;height:1215;left:11097;position:absolute;top:6240" coordorigin="11097,6240" coordsize="778,1215" path="m11875,7455l11097,6847,11875,6240,11875,7455xe" filled="t" fillcolor="#c3542f" stroked="f">
              <v:path arrowok="t"/>
            </v:shape>
          </v:group>
        </w:pict>
      </w:r>
      <w:r>
        <w:pict>
          <v:group id="docshapegroup138" o:spid="_x0000_s1141" style="width:36.85pt;height:69.25pt;margin-top:11.9pt;margin-left:0;mso-height-relative:page;mso-position-horizontal-relative:page;mso-position-vertical-relative:page;mso-width-relative:page;position:absolute;z-index:-251617280" coordorigin="0,238" coordsize="737,1385">
            <v:shape id="docshape139" o:spid="_x0000_s1142" style="width:737;height:1206;position:absolute;top:238" coordorigin="0,238" coordsize="737,1206" path="m,1444l,238,737,841,,1444xe" filled="t" fillcolor="#dd9545" stroked="f">
              <v:path arrowok="t"/>
            </v:shape>
            <v:shape id="docshape140" o:spid="_x0000_s1143"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pStyle w:val="Heading2"/>
        <w:spacing w:before="44"/>
        <w:rPr>
          <w:b w:val="0"/>
        </w:rPr>
      </w:pPr>
      <w:r>
        <w:rPr>
          <w:color w:val="C00000"/>
        </w:rPr>
        <w:t>承包人承担</w:t>
      </w:r>
      <w:r>
        <w:rPr>
          <w:b w:val="0"/>
        </w:rPr>
        <w:t>的</w:t>
      </w:r>
      <w:r>
        <w:rPr>
          <w:color w:val="C00000"/>
        </w:rPr>
        <w:t>小型项目</w:t>
      </w:r>
      <w:r>
        <w:rPr>
          <w:b w:val="0"/>
        </w:rPr>
        <w:t>。</w:t>
      </w:r>
    </w:p>
    <w:p>
      <w:pPr>
        <w:pStyle w:val="BodyText"/>
        <w:spacing w:before="71"/>
        <w:ind w:left="215"/>
      </w:pPr>
      <w:r>
        <w:t>（二）施工招标准备</w:t>
      </w:r>
    </w:p>
    <w:p>
      <w:pPr>
        <w:pStyle w:val="BodyText"/>
        <w:spacing w:before="74"/>
        <w:ind w:left="215"/>
      </w:pPr>
      <w:r>
        <w:t>1、成立招标机构及备案</w:t>
      </w:r>
    </w:p>
    <w:p>
      <w:pPr>
        <w:pStyle w:val="ListParagraph"/>
        <w:numPr>
          <w:ilvl w:val="0"/>
          <w:numId w:val="12"/>
        </w:numPr>
        <w:tabs>
          <w:tab w:val="left" w:pos="759"/>
        </w:tabs>
        <w:spacing w:before="74" w:after="0" w:line="240" w:lineRule="auto"/>
        <w:ind w:left="758" w:right="0" w:hanging="544"/>
        <w:jc w:val="left"/>
        <w:rPr>
          <w:sz w:val="21"/>
        </w:rPr>
      </w:pPr>
      <w:r>
        <w:rPr>
          <w:sz w:val="21"/>
        </w:rPr>
        <w:t>招标备案</w:t>
      </w:r>
    </w:p>
    <w:p>
      <w:pPr>
        <w:spacing w:before="71" w:line="285" w:lineRule="auto"/>
        <w:ind w:left="215" w:right="314" w:firstLine="420"/>
        <w:jc w:val="both"/>
        <w:rPr>
          <w:b/>
          <w:sz w:val="21"/>
        </w:rPr>
      </w:pPr>
      <w:r>
        <w:rPr>
          <w:w w:val="95"/>
          <w:sz w:val="21"/>
        </w:rPr>
        <w:t>招标人向建设行政主管部门办理申请招标手续。招标备案文件应说明：招标</w:t>
      </w:r>
      <w:r>
        <w:rPr>
          <w:b/>
          <w:color w:val="C00000"/>
          <w:w w:val="95"/>
          <w:sz w:val="21"/>
        </w:rPr>
        <w:t>工作范围</w:t>
      </w:r>
      <w:r>
        <w:rPr>
          <w:w w:val="95"/>
          <w:sz w:val="21"/>
        </w:rPr>
        <w:t>；招标</w:t>
      </w:r>
      <w:r>
        <w:rPr>
          <w:b/>
          <w:color w:val="C00000"/>
          <w:w w:val="95"/>
          <w:sz w:val="21"/>
        </w:rPr>
        <w:t>方式</w:t>
      </w:r>
      <w:r>
        <w:rPr>
          <w:w w:val="95"/>
          <w:sz w:val="21"/>
        </w:rPr>
        <w:t>；计划</w:t>
      </w:r>
      <w:r>
        <w:rPr>
          <w:b/>
          <w:color w:val="C00000"/>
          <w:w w:val="95"/>
          <w:sz w:val="21"/>
        </w:rPr>
        <w:t>工</w:t>
      </w:r>
      <w:r>
        <w:rPr>
          <w:b/>
          <w:color w:val="C00000"/>
          <w:spacing w:val="99"/>
          <w:sz w:val="21"/>
        </w:rPr>
        <w:t xml:space="preserve"> </w:t>
      </w:r>
      <w:r>
        <w:rPr>
          <w:b/>
          <w:color w:val="C00000"/>
          <w:spacing w:val="100"/>
          <w:sz w:val="21"/>
        </w:rPr>
        <w:t xml:space="preserve"> </w:t>
      </w:r>
      <w:r>
        <w:rPr>
          <w:b/>
          <w:color w:val="C00000"/>
          <w:w w:val="95"/>
          <w:sz w:val="21"/>
        </w:rPr>
        <w:t>期</w:t>
      </w:r>
      <w:r>
        <w:rPr>
          <w:w w:val="95"/>
          <w:sz w:val="21"/>
        </w:rPr>
        <w:t>；对投标人的</w:t>
      </w:r>
      <w:r>
        <w:rPr>
          <w:b/>
          <w:color w:val="C00000"/>
          <w:w w:val="95"/>
          <w:sz w:val="21"/>
        </w:rPr>
        <w:t>资质要求</w:t>
      </w:r>
      <w:r>
        <w:rPr>
          <w:w w:val="95"/>
          <w:sz w:val="21"/>
        </w:rPr>
        <w:t>；招标项目的</w:t>
      </w:r>
      <w:r>
        <w:rPr>
          <w:b/>
          <w:color w:val="C00000"/>
          <w:w w:val="95"/>
          <w:sz w:val="21"/>
        </w:rPr>
        <w:t>前期准备</w:t>
      </w:r>
      <w:r>
        <w:rPr>
          <w:w w:val="95"/>
          <w:sz w:val="21"/>
        </w:rPr>
        <w:t>工作的</w:t>
      </w:r>
      <w:r>
        <w:rPr>
          <w:b/>
          <w:color w:val="C00000"/>
          <w:w w:val="95"/>
          <w:sz w:val="21"/>
        </w:rPr>
        <w:t>完成情况</w:t>
      </w:r>
      <w:r>
        <w:rPr>
          <w:w w:val="95"/>
          <w:sz w:val="21"/>
        </w:rPr>
        <w:t>；</w:t>
      </w:r>
      <w:r>
        <w:rPr>
          <w:b/>
          <w:color w:val="C00000"/>
          <w:w w:val="95"/>
          <w:sz w:val="21"/>
        </w:rPr>
        <w:t>自行</w:t>
      </w:r>
      <w:r>
        <w:rPr>
          <w:w w:val="95"/>
          <w:sz w:val="21"/>
        </w:rPr>
        <w:t>招标还是</w:t>
      </w:r>
      <w:r>
        <w:rPr>
          <w:b/>
          <w:color w:val="C00000"/>
          <w:w w:val="95"/>
          <w:sz w:val="21"/>
        </w:rPr>
        <w:t>委托</w:t>
      </w:r>
      <w:r>
        <w:rPr>
          <w:w w:val="95"/>
          <w:sz w:val="21"/>
        </w:rPr>
        <w:t>代理招标等内容。</w:t>
      </w:r>
      <w:r>
        <w:rPr>
          <w:b/>
          <w:color w:val="2D75B5"/>
          <w:w w:val="95"/>
          <w:sz w:val="21"/>
        </w:rPr>
        <w:t>（考频</w:t>
      </w:r>
      <w:r>
        <w:rPr>
          <w:b/>
          <w:color w:val="2D75B5"/>
          <w:spacing w:val="104"/>
          <w:sz w:val="21"/>
        </w:rPr>
        <w:t xml:space="preserve"> </w:t>
      </w:r>
      <w:r>
        <w:rPr>
          <w:b/>
          <w:color w:val="2D75B5"/>
          <w:spacing w:val="105"/>
          <w:sz w:val="21"/>
        </w:rPr>
        <w:t xml:space="preserve"> </w:t>
      </w:r>
      <w:r>
        <w:rPr>
          <w:b/>
          <w:color w:val="2D75B5"/>
          <w:sz w:val="21"/>
        </w:rPr>
        <w:t>高）</w:t>
      </w:r>
    </w:p>
    <w:p>
      <w:pPr>
        <w:pStyle w:val="BodyText"/>
        <w:spacing w:line="385" w:lineRule="exact"/>
        <w:ind w:left="215"/>
      </w:pPr>
      <w:r>
        <w:t>2、编制招标文件</w:t>
      </w:r>
    </w:p>
    <w:p>
      <w:pPr>
        <w:pStyle w:val="ListParagraph"/>
        <w:numPr>
          <w:ilvl w:val="1"/>
          <w:numId w:val="12"/>
        </w:numPr>
        <w:tabs>
          <w:tab w:val="left" w:pos="1183"/>
        </w:tabs>
        <w:spacing w:before="74" w:after="0" w:line="285" w:lineRule="auto"/>
        <w:ind w:left="215" w:right="314" w:firstLine="420"/>
        <w:jc w:val="left"/>
        <w:rPr>
          <w:sz w:val="21"/>
        </w:rPr>
      </w:pPr>
      <w:r>
        <w:rPr>
          <w:b/>
          <w:color w:val="2D75B5"/>
          <w:w w:val="95"/>
          <w:sz w:val="21"/>
        </w:rPr>
        <w:t>招</w:t>
      </w:r>
      <w:r>
        <w:rPr>
          <w:b/>
          <w:color w:val="C00000"/>
          <w:w w:val="95"/>
          <w:sz w:val="21"/>
        </w:rPr>
        <w:t>标公告或投标邀请书</w:t>
      </w:r>
      <w:r>
        <w:rPr>
          <w:w w:val="95"/>
          <w:sz w:val="21"/>
        </w:rPr>
        <w:t>；（2）</w:t>
      </w:r>
      <w:r>
        <w:rPr>
          <w:b/>
          <w:color w:val="2D75B5"/>
          <w:w w:val="95"/>
          <w:sz w:val="21"/>
        </w:rPr>
        <w:t>投</w:t>
      </w:r>
      <w:r>
        <w:rPr>
          <w:b/>
          <w:color w:val="C00000"/>
          <w:w w:val="95"/>
          <w:sz w:val="21"/>
        </w:rPr>
        <w:t>标人须知</w:t>
      </w:r>
      <w:r>
        <w:rPr>
          <w:w w:val="95"/>
          <w:sz w:val="21"/>
        </w:rPr>
        <w:t>；（3）</w:t>
      </w:r>
      <w:r>
        <w:rPr>
          <w:b/>
          <w:color w:val="C00000"/>
          <w:w w:val="95"/>
          <w:sz w:val="21"/>
        </w:rPr>
        <w:t>评</w:t>
      </w:r>
      <w:r>
        <w:rPr>
          <w:b/>
          <w:color w:val="2D75B5"/>
          <w:w w:val="95"/>
          <w:sz w:val="21"/>
        </w:rPr>
        <w:t>标</w:t>
      </w:r>
      <w:r>
        <w:rPr>
          <w:b/>
          <w:color w:val="C00000"/>
          <w:w w:val="95"/>
          <w:sz w:val="21"/>
        </w:rPr>
        <w:t>办法</w:t>
      </w:r>
      <w:r>
        <w:rPr>
          <w:w w:val="95"/>
          <w:sz w:val="21"/>
        </w:rPr>
        <w:t>；（4）</w:t>
      </w:r>
      <w:r>
        <w:rPr>
          <w:b/>
          <w:color w:val="2D75B5"/>
          <w:w w:val="95"/>
          <w:sz w:val="21"/>
        </w:rPr>
        <w:t>合</w:t>
      </w:r>
      <w:r>
        <w:rPr>
          <w:b/>
          <w:color w:val="C00000"/>
          <w:w w:val="95"/>
          <w:sz w:val="21"/>
        </w:rPr>
        <w:t>同条款及格式</w:t>
      </w:r>
      <w:r>
        <w:rPr>
          <w:w w:val="95"/>
          <w:sz w:val="21"/>
        </w:rPr>
        <w:t>；（5）</w:t>
      </w:r>
      <w:r>
        <w:rPr>
          <w:b/>
          <w:color w:val="C00000"/>
          <w:w w:val="95"/>
          <w:sz w:val="21"/>
        </w:rPr>
        <w:t>工程量</w:t>
      </w:r>
      <w:r>
        <w:rPr>
          <w:b/>
          <w:color w:val="C00000"/>
          <w:spacing w:val="85"/>
          <w:sz w:val="21"/>
        </w:rPr>
        <w:t xml:space="preserve"> </w:t>
      </w:r>
      <w:r>
        <w:rPr>
          <w:b/>
          <w:color w:val="C00000"/>
          <w:spacing w:val="86"/>
          <w:sz w:val="21"/>
        </w:rPr>
        <w:t xml:space="preserve"> </w:t>
      </w:r>
      <w:r>
        <w:rPr>
          <w:b/>
          <w:color w:val="C00000"/>
          <w:sz w:val="21"/>
        </w:rPr>
        <w:t>清单</w:t>
      </w:r>
      <w:r>
        <w:rPr>
          <w:sz w:val="21"/>
        </w:rPr>
        <w:t>；（6）</w:t>
      </w:r>
      <w:r>
        <w:rPr>
          <w:b/>
          <w:color w:val="C00000"/>
          <w:sz w:val="21"/>
        </w:rPr>
        <w:t>图纸</w:t>
      </w:r>
      <w:r>
        <w:rPr>
          <w:sz w:val="21"/>
        </w:rPr>
        <w:t>；（7）</w:t>
      </w:r>
      <w:r>
        <w:rPr>
          <w:b/>
          <w:color w:val="C00000"/>
          <w:sz w:val="21"/>
        </w:rPr>
        <w:t>技术标准和要求</w:t>
      </w:r>
      <w:r>
        <w:rPr>
          <w:sz w:val="21"/>
        </w:rPr>
        <w:t>；（8）</w:t>
      </w:r>
      <w:r>
        <w:rPr>
          <w:b/>
          <w:color w:val="C00000"/>
          <w:sz w:val="21"/>
        </w:rPr>
        <w:t>投标文件</w:t>
      </w:r>
      <w:r>
        <w:rPr>
          <w:b/>
          <w:color w:val="2D75B5"/>
          <w:sz w:val="21"/>
        </w:rPr>
        <w:t>格</w:t>
      </w:r>
      <w:r>
        <w:rPr>
          <w:b/>
          <w:color w:val="C00000"/>
          <w:sz w:val="21"/>
        </w:rPr>
        <w:t>式</w:t>
      </w:r>
      <w:r>
        <w:rPr>
          <w:sz w:val="21"/>
        </w:rPr>
        <w:t>；（9）投标人须知前附表规定的</w:t>
      </w:r>
      <w:r>
        <w:rPr>
          <w:b/>
          <w:color w:val="C00000"/>
          <w:sz w:val="21"/>
        </w:rPr>
        <w:t>其他</w:t>
      </w:r>
      <w:r>
        <w:rPr>
          <w:sz w:val="21"/>
        </w:rPr>
        <w:t>材料。</w:t>
      </w:r>
    </w:p>
    <w:p>
      <w:pPr>
        <w:pStyle w:val="BodyText"/>
        <w:spacing w:line="385" w:lineRule="exact"/>
        <w:ind w:left="635"/>
      </w:pPr>
      <w:r>
        <w:t>此外，招标人对招标文件的澄清、修改，也构成招标文件的组成部分。</w:t>
      </w:r>
    </w:p>
    <w:p>
      <w:pPr>
        <w:spacing w:before="69" w:line="285" w:lineRule="auto"/>
        <w:ind w:left="215" w:right="7070" w:firstLine="0"/>
        <w:jc w:val="left"/>
        <w:rPr>
          <w:b/>
          <w:sz w:val="21"/>
        </w:rPr>
      </w:pPr>
      <w:r>
        <w:rPr>
          <w:spacing w:val="-1"/>
          <w:sz w:val="21"/>
        </w:rPr>
        <w:t>（三）发售招标文件及组织现场踏勘</w:t>
      </w:r>
      <w:r>
        <w:rPr>
          <w:sz w:val="21"/>
        </w:rPr>
        <w:t>1、</w:t>
      </w:r>
      <w:r>
        <w:rPr>
          <w:b/>
          <w:color w:val="C00000"/>
          <w:sz w:val="21"/>
        </w:rPr>
        <w:t>组织现场踏勘</w:t>
      </w:r>
    </w:p>
    <w:p>
      <w:pPr>
        <w:spacing w:after="0" w:line="285" w:lineRule="auto"/>
        <w:jc w:val="left"/>
        <w:rPr>
          <w:sz w:val="21"/>
        </w:rPr>
        <w:sectPr>
          <w:footerReference w:type="default" r:id="rId19"/>
          <w:pgSz w:w="11910" w:h="8390" w:orient="landscape"/>
          <w:pgMar w:top="220" w:right="580" w:bottom="1180" w:left="680" w:header="0" w:footer="886" w:gutter="0"/>
          <w:pgNumType w:start="15"/>
          <w:cols w:space="708"/>
        </w:sectPr>
      </w:pPr>
    </w:p>
    <w:p>
      <w:pPr>
        <w:pStyle w:val="BodyText"/>
        <w:rPr>
          <w:b/>
          <w:sz w:val="20"/>
        </w:rPr>
      </w:pPr>
      <w:r>
        <w:pict>
          <v:group id="docshapegroup141" o:spid="_x0000_s1144" style="width:38.9pt;height:74.7pt;margin-top:312pt;margin-left:554.85pt;mso-height-relative:page;mso-position-horizontal-relative:page;mso-position-vertical-relative:page;mso-width-relative:page;position:absolute;z-index:251700224" coordorigin="11097,6240" coordsize="778,1494">
            <v:shape id="docshape142" o:spid="_x0000_s1145" style="width:778;height:1215;left:11097;position:absolute;top:6519" coordorigin="11097,6519" coordsize="778,1215" path="m11875,7734l11309,7292,11289,7292,11289,7276,11097,7126,11875,6519,11875,7734xe" filled="t" fillcolor="#dd9545" stroked="f">
              <v:path arrowok="t"/>
            </v:shape>
            <v:shape id="docshape143" o:spid="_x0000_s1146" style="width:778;height:1215;left:11097;position:absolute;top:6240" coordorigin="11097,6240" coordsize="778,1215" path="m11875,7455l11097,6847,11875,6240,11875,7455xe" filled="t" fillcolor="#c3542f" stroked="f">
              <v:path arrowok="t"/>
            </v:shape>
          </v:group>
        </w:pict>
      </w:r>
      <w:r>
        <w:pict>
          <v:group id="docshapegroup144" o:spid="_x0000_s1147" style="width:36.85pt;height:69.25pt;margin-top:11.9pt;margin-left:0;mso-height-relative:page;mso-position-horizontal-relative:page;mso-position-vertical-relative:page;mso-width-relative:page;position:absolute;z-index:-251615232" coordorigin="0,238" coordsize="737,1385">
            <v:shape id="docshape145" o:spid="_x0000_s1148" style="width:737;height:1206;position:absolute;top:238" coordorigin="0,238" coordsize="737,1206" path="m,1444l,238,737,841,,1444xe" filled="t" fillcolor="#dd9545" stroked="f">
              <v:path arrowok="t"/>
            </v:shape>
            <v:shape id="docshape146" o:spid="_x0000_s1149" style="width:737;height:1209;position:absolute;top:414" coordorigin="0,414" coordsize="737,1209" path="m,1623l,414,737,1019,,1623xe" filled="t" fillcolor="#c3542f" stroked="f">
              <v:path arrowok="t"/>
            </v:shape>
          </v:group>
        </w:pict>
      </w:r>
    </w:p>
    <w:p>
      <w:pPr>
        <w:pStyle w:val="BodyText"/>
        <w:rPr>
          <w:b/>
          <w:sz w:val="20"/>
        </w:rPr>
      </w:pPr>
    </w:p>
    <w:p>
      <w:pPr>
        <w:pStyle w:val="BodyText"/>
        <w:spacing w:before="2"/>
        <w:rPr>
          <w:b/>
          <w:sz w:val="14"/>
        </w:rPr>
      </w:pPr>
    </w:p>
    <w:p>
      <w:pPr>
        <w:pStyle w:val="ListParagraph"/>
        <w:numPr>
          <w:ilvl w:val="2"/>
          <w:numId w:val="36"/>
        </w:numPr>
        <w:tabs>
          <w:tab w:val="left" w:pos="1285"/>
        </w:tabs>
        <w:spacing w:before="44" w:after="0" w:line="240" w:lineRule="auto"/>
        <w:ind w:left="1284" w:right="0" w:hanging="545"/>
        <w:jc w:val="left"/>
        <w:rPr>
          <w:sz w:val="21"/>
        </w:rPr>
      </w:pPr>
      <w:r>
        <w:rPr>
          <w:sz w:val="21"/>
        </w:rPr>
        <w:t>按招标公告</w:t>
      </w:r>
      <w:r>
        <w:rPr>
          <w:b/>
          <w:color w:val="C00000"/>
          <w:sz w:val="21"/>
        </w:rPr>
        <w:t>规定</w:t>
      </w:r>
      <w:r>
        <w:rPr>
          <w:sz w:val="21"/>
        </w:rPr>
        <w:t>的时间、地点组织投标人踏勘项目现场。</w:t>
      </w:r>
    </w:p>
    <w:p>
      <w:pPr>
        <w:pStyle w:val="ListParagraph"/>
        <w:numPr>
          <w:ilvl w:val="2"/>
          <w:numId w:val="36"/>
        </w:numPr>
        <w:tabs>
          <w:tab w:val="left" w:pos="1285"/>
        </w:tabs>
        <w:spacing w:before="71" w:after="0" w:line="240" w:lineRule="auto"/>
        <w:ind w:left="1284" w:right="0" w:hanging="545"/>
        <w:jc w:val="left"/>
        <w:rPr>
          <w:sz w:val="21"/>
        </w:rPr>
      </w:pPr>
      <w:r>
        <w:rPr>
          <w:b/>
          <w:color w:val="C00000"/>
          <w:sz w:val="21"/>
        </w:rPr>
        <w:t>投标人承担</w:t>
      </w:r>
      <w:r>
        <w:rPr>
          <w:sz w:val="21"/>
        </w:rPr>
        <w:t>自己踏勘现场发生的费用。</w:t>
      </w:r>
    </w:p>
    <w:p>
      <w:pPr>
        <w:pStyle w:val="ListParagraph"/>
        <w:numPr>
          <w:ilvl w:val="2"/>
          <w:numId w:val="36"/>
        </w:numPr>
        <w:tabs>
          <w:tab w:val="left" w:pos="1285"/>
        </w:tabs>
        <w:spacing w:before="74" w:after="0" w:line="240" w:lineRule="auto"/>
        <w:ind w:left="1284" w:right="0" w:hanging="545"/>
        <w:jc w:val="left"/>
        <w:rPr>
          <w:sz w:val="21"/>
        </w:rPr>
      </w:pPr>
      <w:r>
        <w:rPr>
          <w:sz w:val="21"/>
        </w:rPr>
        <w:t>除招标人的原因外，投标人</w:t>
      </w:r>
      <w:r>
        <w:rPr>
          <w:b/>
          <w:color w:val="C00000"/>
          <w:sz w:val="21"/>
        </w:rPr>
        <w:t>自行负责</w:t>
      </w:r>
      <w:r>
        <w:rPr>
          <w:sz w:val="21"/>
        </w:rPr>
        <w:t>在踏勘现场中所发生的人员伤亡和财产损失。</w:t>
      </w:r>
    </w:p>
    <w:p>
      <w:pPr>
        <w:pStyle w:val="ListParagraph"/>
        <w:numPr>
          <w:ilvl w:val="2"/>
          <w:numId w:val="36"/>
        </w:numPr>
        <w:tabs>
          <w:tab w:val="left" w:pos="1286"/>
        </w:tabs>
        <w:spacing w:before="74" w:after="0" w:line="283" w:lineRule="auto"/>
        <w:ind w:left="215" w:right="316" w:firstLine="525"/>
        <w:jc w:val="left"/>
        <w:rPr>
          <w:sz w:val="21"/>
        </w:rPr>
      </w:pPr>
      <w:r>
        <w:rPr>
          <w:w w:val="95"/>
          <w:sz w:val="21"/>
        </w:rPr>
        <w:t>招标人在踏勘现场中介绍的工程场地和相关的周边环境情况，供投标人在编制投标文件时参考，招</w:t>
      </w:r>
      <w:r>
        <w:rPr>
          <w:spacing w:val="68"/>
          <w:sz w:val="21"/>
        </w:rPr>
        <w:t xml:space="preserve"> </w:t>
      </w:r>
      <w:r>
        <w:rPr>
          <w:spacing w:val="69"/>
          <w:sz w:val="21"/>
        </w:rPr>
        <w:t xml:space="preserve"> </w:t>
      </w:r>
      <w:r>
        <w:rPr>
          <w:sz w:val="21"/>
        </w:rPr>
        <w:t>标人</w:t>
      </w:r>
      <w:r>
        <w:rPr>
          <w:b/>
          <w:color w:val="C00000"/>
          <w:sz w:val="21"/>
        </w:rPr>
        <w:t>不</w:t>
      </w:r>
      <w:r>
        <w:rPr>
          <w:sz w:val="21"/>
        </w:rPr>
        <w:t>对投标人据此做出的判断和决策</w:t>
      </w:r>
      <w:r>
        <w:rPr>
          <w:b/>
          <w:color w:val="C00000"/>
          <w:sz w:val="21"/>
        </w:rPr>
        <w:t>负责</w:t>
      </w:r>
      <w:r>
        <w:rPr>
          <w:sz w:val="21"/>
        </w:rPr>
        <w:t>。</w:t>
      </w:r>
    </w:p>
    <w:p>
      <w:pPr>
        <w:pStyle w:val="BodyText"/>
        <w:spacing w:before="6" w:line="285" w:lineRule="auto"/>
        <w:ind w:left="215" w:right="316" w:firstLine="420"/>
      </w:pPr>
      <w:r>
        <w:rPr>
          <w:w w:val="95"/>
        </w:rPr>
        <w:t>踏勘现场后涉及对招标文件进行澄清修改的，招标人应当在提交投标文件的截止时间至少</w:t>
      </w:r>
      <w:r>
        <w:rPr>
          <w:spacing w:val="169"/>
        </w:rPr>
        <w:t xml:space="preserve"> </w:t>
      </w:r>
      <w:r>
        <w:rPr>
          <w:b/>
          <w:color w:val="C00000"/>
          <w:w w:val="95"/>
        </w:rPr>
        <w:t>15</w:t>
      </w:r>
      <w:r>
        <w:rPr>
          <w:b/>
          <w:color w:val="C00000"/>
          <w:spacing w:val="70"/>
        </w:rPr>
        <w:t xml:space="preserve">  </w:t>
      </w:r>
      <w:r>
        <w:rPr>
          <w:b/>
          <w:color w:val="C00000"/>
          <w:w w:val="95"/>
        </w:rPr>
        <w:t>日</w:t>
      </w:r>
      <w:r>
        <w:rPr>
          <w:w w:val="95"/>
        </w:rPr>
        <w:t>前以</w:t>
      </w:r>
      <w:r>
        <w:rPr>
          <w:b/>
          <w:color w:val="C00000"/>
          <w:w w:val="95"/>
        </w:rPr>
        <w:t>书面</w:t>
      </w:r>
      <w:r>
        <w:rPr>
          <w:b/>
          <w:color w:val="C00000"/>
        </w:rPr>
        <w:t>形式</w:t>
      </w:r>
      <w:r>
        <w:t>通知所有招标文件收受人。</w:t>
      </w:r>
    </w:p>
    <w:p>
      <w:pPr>
        <w:pStyle w:val="BodyText"/>
        <w:spacing w:line="285" w:lineRule="auto"/>
        <w:ind w:left="215" w:right="316" w:firstLine="420"/>
      </w:pPr>
      <w:r>
        <w:rPr>
          <w:w w:val="95"/>
        </w:rPr>
        <w:t>考虑到在踏勘现场后投标人有可能对招标文件部分条款进行质疑，组织踏勘现场的时间一般应在投标截止</w:t>
      </w:r>
      <w:r>
        <w:rPr>
          <w:spacing w:val="93"/>
        </w:rPr>
        <w:t xml:space="preserve"> </w:t>
      </w:r>
      <w:r>
        <w:rPr>
          <w:spacing w:val="94"/>
        </w:rPr>
        <w:t xml:space="preserve"> </w:t>
      </w:r>
      <w:r>
        <w:rPr>
          <w:spacing w:val="-4"/>
        </w:rPr>
        <w:t xml:space="preserve">时间 </w:t>
      </w:r>
      <w:r>
        <w:rPr>
          <w:b/>
          <w:color w:val="C00000"/>
        </w:rPr>
        <w:t>15</w:t>
      </w:r>
      <w:r>
        <w:rPr>
          <w:b/>
          <w:color w:val="C00000"/>
          <w:spacing w:val="-5"/>
        </w:rPr>
        <w:t xml:space="preserve"> 日</w:t>
      </w:r>
      <w:r>
        <w:t>前及投标预备会召开前。</w:t>
      </w:r>
    </w:p>
    <w:p>
      <w:pPr>
        <w:spacing w:before="0"/>
        <w:ind w:left="215" w:right="0" w:firstLine="0"/>
        <w:jc w:val="left"/>
        <w:rPr>
          <w:b/>
          <w:sz w:val="21"/>
        </w:rPr>
      </w:pPr>
      <w:r>
        <w:rPr>
          <w:sz w:val="21"/>
        </w:rPr>
        <w:t>2、</w:t>
      </w:r>
      <w:r>
        <w:rPr>
          <w:b/>
          <w:color w:val="C00000"/>
          <w:sz w:val="21"/>
        </w:rPr>
        <w:t>投标预备会</w:t>
      </w:r>
    </w:p>
    <w:p>
      <w:pPr>
        <w:pStyle w:val="BodyText"/>
        <w:spacing w:before="69" w:line="285" w:lineRule="auto"/>
        <w:ind w:left="215" w:right="316" w:firstLine="420"/>
      </w:pPr>
      <w:r>
        <w:rPr>
          <w:w w:val="95"/>
        </w:rPr>
        <w:t>投标预备会是招标人组织召开的，目的在于澄清招标文件中疑问，解答投标人对招标文件和勘察现场中所</w:t>
      </w:r>
      <w:r>
        <w:rPr>
          <w:spacing w:val="93"/>
        </w:rPr>
        <w:t xml:space="preserve"> </w:t>
      </w:r>
      <w:r>
        <w:rPr>
          <w:spacing w:val="94"/>
        </w:rPr>
        <w:t xml:space="preserve"> </w:t>
      </w:r>
      <w:r>
        <w:t>提出的疑问或问题的会议。</w:t>
      </w:r>
    </w:p>
    <w:p>
      <w:pPr>
        <w:pStyle w:val="BodyText"/>
        <w:spacing w:before="1"/>
        <w:ind w:left="635"/>
      </w:pPr>
      <w:r>
        <w:rPr>
          <w:w w:val="95"/>
        </w:rPr>
        <w:t>组织投标预备会的时间一般应在投标截止时间</w:t>
      </w:r>
      <w:r>
        <w:rPr>
          <w:spacing w:val="93"/>
        </w:rPr>
        <w:t xml:space="preserve"> </w:t>
      </w:r>
      <w:r>
        <w:rPr>
          <w:b/>
          <w:color w:val="C00000"/>
          <w:w w:val="95"/>
        </w:rPr>
        <w:t>15</w:t>
      </w:r>
      <w:r>
        <w:rPr>
          <w:b/>
          <w:color w:val="C00000"/>
          <w:spacing w:val="87"/>
        </w:rPr>
        <w:t xml:space="preserve"> </w:t>
      </w:r>
      <w:r>
        <w:rPr>
          <w:b/>
          <w:color w:val="C00000"/>
          <w:w w:val="95"/>
        </w:rPr>
        <w:t>日</w:t>
      </w:r>
      <w:r>
        <w:rPr>
          <w:w w:val="95"/>
        </w:rPr>
        <w:t>以前进行。</w:t>
      </w:r>
    </w:p>
    <w:p>
      <w:pPr>
        <w:spacing w:after="0"/>
        <w:sectPr>
          <w:footerReference w:type="default" r:id="rId20"/>
          <w:pgSz w:w="11910" w:h="8390" w:orient="landscape"/>
          <w:pgMar w:top="220" w:right="580" w:bottom="1180" w:left="680" w:header="0" w:footer="886" w:gutter="0"/>
          <w:pgNumType w:start="16"/>
          <w:cols w:space="708"/>
        </w:sectPr>
      </w:pPr>
    </w:p>
    <w:p>
      <w:pPr>
        <w:pStyle w:val="BodyText"/>
        <w:rPr>
          <w:sz w:val="20"/>
        </w:rPr>
      </w:pPr>
      <w:r>
        <w:pict>
          <v:group id="docshapegroup147" o:spid="_x0000_s1150" style="width:38.9pt;height:74.7pt;margin-top:312pt;margin-left:554.85pt;mso-height-relative:page;mso-position-horizontal-relative:page;mso-position-vertical-relative:page;mso-width-relative:page;position:absolute;z-index:251702272" coordorigin="11097,6240" coordsize="778,1494">
            <v:shape id="docshape148" o:spid="_x0000_s1151" style="width:778;height:1215;left:11097;position:absolute;top:6519" coordorigin="11097,6519" coordsize="778,1215" path="m11875,7734l11309,7292,11289,7292,11289,7276,11097,7126,11875,6519,11875,7734xe" filled="t" fillcolor="#dd9545" stroked="f">
              <v:path arrowok="t"/>
            </v:shape>
            <v:shape id="docshape149" o:spid="_x0000_s1152" style="width:778;height:1215;left:11097;position:absolute;top:6240" coordorigin="11097,6240" coordsize="778,1215" path="m11875,7455l11097,6847,11875,6240,11875,7455xe" filled="t" fillcolor="#c3542f" stroked="f">
              <v:path arrowok="t"/>
            </v:shape>
          </v:group>
        </w:pict>
      </w:r>
      <w:r>
        <w:pict>
          <v:group id="docshapegroup150" o:spid="_x0000_s1153" style="width:36.85pt;height:69.25pt;margin-top:11.9pt;margin-left:0;mso-height-relative:page;mso-position-horizontal-relative:page;mso-position-vertical-relative:page;mso-width-relative:page;position:absolute;z-index:-251613184" coordorigin="0,238" coordsize="737,1385">
            <v:shape id="docshape151" o:spid="_x0000_s1154" style="width:737;height:1206;position:absolute;top:238" coordorigin="0,238" coordsize="737,1206" path="m,1444l,238,737,841,,1444xe" filled="t" fillcolor="#dd9545" stroked="f">
              <v:path arrowok="t"/>
            </v:shape>
            <v:shape id="docshape152" o:spid="_x0000_s1155"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BodyText"/>
        <w:spacing w:before="44"/>
        <w:ind w:left="215"/>
      </w:pPr>
      <w:r>
        <w:t>（四）资格审查方法</w:t>
      </w:r>
    </w:p>
    <w:p>
      <w:pPr>
        <w:spacing w:before="71" w:line="285" w:lineRule="auto"/>
        <w:ind w:left="426" w:right="6230" w:firstLine="0"/>
        <w:jc w:val="left"/>
        <w:rPr>
          <w:sz w:val="21"/>
        </w:rPr>
      </w:pPr>
      <w:r>
        <w:rPr>
          <w:w w:val="95"/>
          <w:sz w:val="21"/>
        </w:rPr>
        <w:t>资格</w:t>
      </w:r>
      <w:r>
        <w:rPr>
          <w:b/>
          <w:color w:val="C00000"/>
          <w:w w:val="95"/>
          <w:sz w:val="21"/>
        </w:rPr>
        <w:t>预审</w:t>
      </w:r>
      <w:r>
        <w:rPr>
          <w:w w:val="95"/>
          <w:sz w:val="21"/>
        </w:rPr>
        <w:t>：多用于</w:t>
      </w:r>
      <w:r>
        <w:rPr>
          <w:b/>
          <w:color w:val="C00000"/>
          <w:w w:val="95"/>
          <w:sz w:val="21"/>
        </w:rPr>
        <w:t>公开</w:t>
      </w:r>
      <w:r>
        <w:rPr>
          <w:w w:val="95"/>
          <w:sz w:val="21"/>
        </w:rPr>
        <w:t>招标；在</w:t>
      </w:r>
      <w:r>
        <w:rPr>
          <w:b/>
          <w:color w:val="C00000"/>
          <w:w w:val="95"/>
          <w:sz w:val="21"/>
        </w:rPr>
        <w:t>投标前</w:t>
      </w:r>
      <w:r>
        <w:rPr>
          <w:w w:val="95"/>
          <w:sz w:val="21"/>
        </w:rPr>
        <w:t>审查</w:t>
      </w:r>
      <w:r>
        <w:rPr>
          <w:spacing w:val="1"/>
          <w:w w:val="95"/>
          <w:sz w:val="21"/>
        </w:rPr>
        <w:t xml:space="preserve"> </w:t>
      </w:r>
      <w:r>
        <w:rPr>
          <w:w w:val="95"/>
          <w:sz w:val="21"/>
        </w:rPr>
        <w:t>资格</w:t>
      </w:r>
      <w:r>
        <w:rPr>
          <w:b/>
          <w:color w:val="C00000"/>
          <w:w w:val="95"/>
          <w:sz w:val="21"/>
        </w:rPr>
        <w:t>后审</w:t>
      </w:r>
      <w:r>
        <w:rPr>
          <w:w w:val="95"/>
          <w:sz w:val="21"/>
        </w:rPr>
        <w:t>：多用于</w:t>
      </w:r>
      <w:r>
        <w:rPr>
          <w:b/>
          <w:color w:val="C00000"/>
          <w:w w:val="95"/>
          <w:sz w:val="21"/>
        </w:rPr>
        <w:t>邀请</w:t>
      </w:r>
      <w:r>
        <w:rPr>
          <w:w w:val="95"/>
          <w:sz w:val="21"/>
        </w:rPr>
        <w:t>招标；在</w:t>
      </w:r>
      <w:r>
        <w:rPr>
          <w:b/>
          <w:color w:val="C00000"/>
          <w:w w:val="95"/>
          <w:sz w:val="21"/>
        </w:rPr>
        <w:t>开标后</w:t>
      </w:r>
      <w:r>
        <w:rPr>
          <w:w w:val="95"/>
          <w:sz w:val="21"/>
        </w:rPr>
        <w:t>审查</w:t>
      </w:r>
    </w:p>
    <w:p>
      <w:pPr>
        <w:spacing w:before="1"/>
        <w:ind w:left="426" w:right="0" w:firstLine="0"/>
        <w:jc w:val="left"/>
        <w:rPr>
          <w:sz w:val="21"/>
        </w:rPr>
      </w:pPr>
      <w:r>
        <w:rPr>
          <w:sz w:val="21"/>
        </w:rPr>
        <w:t>（审查</w:t>
      </w:r>
      <w:r>
        <w:rPr>
          <w:b/>
          <w:color w:val="C00000"/>
          <w:sz w:val="21"/>
        </w:rPr>
        <w:t>时间</w:t>
      </w:r>
      <w:r>
        <w:rPr>
          <w:sz w:val="21"/>
        </w:rPr>
        <w:t>不同，审查</w:t>
      </w:r>
      <w:r>
        <w:rPr>
          <w:b/>
          <w:color w:val="C00000"/>
          <w:sz w:val="21"/>
        </w:rPr>
        <w:t>内容</w:t>
      </w:r>
      <w:r>
        <w:rPr>
          <w:sz w:val="21"/>
        </w:rPr>
        <w:t>一致）</w:t>
      </w:r>
    </w:p>
    <w:p>
      <w:pPr>
        <w:pStyle w:val="Heading1"/>
        <w:spacing w:before="32"/>
      </w:pPr>
      <w:bookmarkStart w:id="21" w:name="强训点8：施工评标办法"/>
      <w:bookmarkEnd w:id="21"/>
      <w:bookmarkStart w:id="22" w:name="_bookmark7"/>
      <w:bookmarkEnd w:id="22"/>
      <w:r>
        <w:rPr>
          <w:color w:val="FFFFFF"/>
          <w:spacing w:val="-3"/>
          <w:shd w:val="clear" w:color="auto" w:fill="C55811"/>
        </w:rPr>
        <w:t xml:space="preserve">强训点 </w:t>
      </w:r>
      <w:r>
        <w:rPr>
          <w:color w:val="FFFFFF"/>
          <w:shd w:val="clear" w:color="auto" w:fill="C55811"/>
        </w:rPr>
        <w:t>8：施工评标办法</w:t>
      </w:r>
    </w:p>
    <w:p>
      <w:pPr>
        <w:pStyle w:val="Heading2"/>
        <w:spacing w:line="285" w:lineRule="auto"/>
        <w:ind w:right="7490"/>
      </w:pPr>
      <w:r>
        <w:t>易混易错点：对性能有无要求</w:t>
      </w:r>
      <w:r>
        <w:rPr>
          <w:spacing w:val="1"/>
        </w:rPr>
        <w:t xml:space="preserve"> </w:t>
      </w:r>
      <w:r>
        <w:rPr>
          <w:spacing w:val="-1"/>
        </w:rPr>
        <w:t>关键词：由低到高、初审、详审</w:t>
      </w:r>
    </w:p>
    <w:p>
      <w:pPr>
        <w:spacing w:before="0" w:line="285" w:lineRule="auto"/>
        <w:ind w:left="215" w:right="1607" w:firstLine="420"/>
        <w:jc w:val="left"/>
        <w:rPr>
          <w:sz w:val="21"/>
        </w:rPr>
      </w:pPr>
      <w:r>
        <w:rPr>
          <w:w w:val="95"/>
          <w:sz w:val="21"/>
        </w:rPr>
        <w:t>常用的评标方法分为</w:t>
      </w:r>
      <w:r>
        <w:rPr>
          <w:b/>
          <w:color w:val="C00000"/>
          <w:w w:val="95"/>
          <w:sz w:val="21"/>
        </w:rPr>
        <w:t>经评审的最低投标价法</w:t>
      </w:r>
      <w:r>
        <w:rPr>
          <w:w w:val="95"/>
          <w:sz w:val="21"/>
        </w:rPr>
        <w:t>（以下简称最低评标价法）和</w:t>
      </w:r>
      <w:r>
        <w:rPr>
          <w:b/>
          <w:color w:val="C00000"/>
          <w:w w:val="95"/>
          <w:sz w:val="21"/>
        </w:rPr>
        <w:t>综合评估法</w:t>
      </w:r>
      <w:r>
        <w:rPr>
          <w:w w:val="95"/>
          <w:sz w:val="21"/>
        </w:rPr>
        <w:t>两种。</w:t>
      </w:r>
      <w:r>
        <w:rPr>
          <w:spacing w:val="156"/>
          <w:sz w:val="21"/>
        </w:rPr>
        <w:t xml:space="preserve"> </w:t>
      </w:r>
      <w:r>
        <w:rPr>
          <w:sz w:val="21"/>
        </w:rPr>
        <w:t>一、最低评标价法</w:t>
      </w:r>
    </w:p>
    <w:p>
      <w:pPr>
        <w:spacing w:before="0"/>
        <w:ind w:left="635" w:right="0" w:firstLine="0"/>
        <w:jc w:val="left"/>
        <w:rPr>
          <w:sz w:val="21"/>
        </w:rPr>
      </w:pPr>
      <w:r>
        <w:rPr>
          <w:w w:val="95"/>
          <w:sz w:val="21"/>
        </w:rPr>
        <w:t>最低评标价法一般适用于</w:t>
      </w:r>
      <w:r>
        <w:rPr>
          <w:b/>
          <w:color w:val="C00000"/>
          <w:w w:val="95"/>
          <w:sz w:val="21"/>
        </w:rPr>
        <w:t>具有通用技术、性能标准或者招标人对其技术、性能标准没有特殊要求</w:t>
      </w:r>
      <w:r>
        <w:rPr>
          <w:w w:val="95"/>
          <w:sz w:val="21"/>
        </w:rPr>
        <w:t>的招标项</w:t>
      </w:r>
    </w:p>
    <w:p>
      <w:pPr>
        <w:pStyle w:val="BodyText"/>
        <w:spacing w:before="69"/>
        <w:ind w:left="215"/>
      </w:pPr>
      <w:r>
        <w:t>目。</w:t>
      </w:r>
    </w:p>
    <w:p>
      <w:pPr>
        <w:pStyle w:val="BodyText"/>
        <w:spacing w:before="74"/>
        <w:ind w:left="215"/>
      </w:pPr>
      <w:r>
        <w:t>（一）评标方法</w:t>
      </w:r>
    </w:p>
    <w:p>
      <w:pPr>
        <w:pStyle w:val="BodyText"/>
        <w:spacing w:before="74"/>
        <w:ind w:left="215"/>
      </w:pPr>
      <w:r>
        <w:t>1、评审比较的原则</w:t>
      </w:r>
    </w:p>
    <w:p>
      <w:pPr>
        <w:spacing w:after="0"/>
        <w:sectPr>
          <w:footerReference w:type="default" r:id="rId21"/>
          <w:pgSz w:w="11910" w:h="8390" w:orient="landscape"/>
          <w:pgMar w:top="220" w:right="580" w:bottom="1180" w:left="680" w:header="0" w:footer="886" w:gutter="0"/>
          <w:pgNumType w:start="17"/>
          <w:cols w:space="708"/>
        </w:sectPr>
      </w:pPr>
    </w:p>
    <w:p>
      <w:pPr>
        <w:pStyle w:val="BodyText"/>
        <w:rPr>
          <w:sz w:val="20"/>
        </w:rPr>
      </w:pPr>
      <w:r>
        <w:pict>
          <v:group id="docshapegroup153" o:spid="_x0000_s1156" style="width:38.9pt;height:74.7pt;margin-top:312pt;margin-left:554.85pt;mso-height-relative:page;mso-position-horizontal-relative:page;mso-position-vertical-relative:page;mso-width-relative:page;position:absolute;z-index:251704320" coordorigin="11097,6240" coordsize="778,1494">
            <v:shape id="docshape154" o:spid="_x0000_s1157" style="width:778;height:1215;left:11097;position:absolute;top:6519" coordorigin="11097,6519" coordsize="778,1215" path="m11875,7734l11309,7292,11289,7292,11289,7276,11097,7126,11875,6519,11875,7734xe" filled="t" fillcolor="#dd9545" stroked="f">
              <v:path arrowok="t"/>
            </v:shape>
            <v:shape id="docshape155" o:spid="_x0000_s1158" style="width:778;height:1215;left:11097;position:absolute;top:6240" coordorigin="11097,6240" coordsize="778,1215" path="m11875,7455l11097,6847,11875,6240,11875,7455xe" filled="t" fillcolor="#c3542f" stroked="f">
              <v:path arrowok="t"/>
            </v:shape>
          </v:group>
        </w:pict>
      </w:r>
      <w:r>
        <w:pict>
          <v:group id="docshapegroup156" o:spid="_x0000_s1159" style="width:36.85pt;height:69.25pt;margin-top:11.9pt;margin-left:0;mso-height-relative:page;mso-position-horizontal-relative:page;mso-position-vertical-relative:page;mso-width-relative:page;position:absolute;z-index:-251611136" coordorigin="0,238" coordsize="737,1385">
            <v:shape id="docshape157" o:spid="_x0000_s1160" style="width:737;height:1206;position:absolute;top:238" coordorigin="0,238" coordsize="737,1206" path="m,1444l,238,737,841,,1444xe" filled="t" fillcolor="#dd9545" stroked="f">
              <v:path arrowok="t"/>
            </v:shape>
            <v:shape id="docshape158" o:spid="_x0000_s1161"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ind w:left="635" w:right="0" w:firstLine="0"/>
        <w:jc w:val="left"/>
        <w:rPr>
          <w:sz w:val="21"/>
        </w:rPr>
      </w:pPr>
      <w:r>
        <w:rPr>
          <w:w w:val="95"/>
          <w:sz w:val="21"/>
        </w:rPr>
        <w:t>①最低评标价法是</w:t>
      </w:r>
      <w:r>
        <w:rPr>
          <w:b/>
          <w:color w:val="C00000"/>
          <w:w w:val="95"/>
          <w:sz w:val="21"/>
        </w:rPr>
        <w:t>以投标报价为基数</w:t>
      </w:r>
      <w:r>
        <w:rPr>
          <w:w w:val="95"/>
          <w:sz w:val="21"/>
        </w:rPr>
        <w:t>，</w:t>
      </w:r>
      <w:r>
        <w:rPr>
          <w:b/>
          <w:color w:val="C00000"/>
          <w:w w:val="95"/>
          <w:sz w:val="21"/>
        </w:rPr>
        <w:t>考量其他因素形成评审价格</w:t>
      </w:r>
      <w:r>
        <w:rPr>
          <w:w w:val="95"/>
          <w:sz w:val="21"/>
        </w:rPr>
        <w:t>，对投标文件进行评价的一种评标方法。</w:t>
      </w:r>
    </w:p>
    <w:p>
      <w:pPr>
        <w:spacing w:before="71" w:line="285" w:lineRule="auto"/>
        <w:ind w:left="215" w:right="347" w:firstLine="420"/>
        <w:jc w:val="both"/>
        <w:rPr>
          <w:sz w:val="21"/>
        </w:rPr>
      </w:pPr>
      <w:bookmarkStart w:id="23" w:name="②评标委员会根据详细评审标准规定的量化因素及量化标准进行价格折算，按照经评审的投"/>
      <w:bookmarkEnd w:id="23"/>
      <w:r>
        <w:rPr>
          <w:w w:val="95"/>
          <w:sz w:val="21"/>
        </w:rPr>
        <w:t>②评标委员会根据详细评审标准规定的量化因素及量化标准进行价格折算，按照经评审的投标价</w:t>
      </w:r>
      <w:r>
        <w:rPr>
          <w:b/>
          <w:color w:val="C00000"/>
          <w:w w:val="95"/>
          <w:sz w:val="21"/>
        </w:rPr>
        <w:t>由低到高</w:t>
      </w:r>
      <w:r>
        <w:rPr>
          <w:b/>
          <w:color w:val="C00000"/>
          <w:spacing w:val="83"/>
          <w:sz w:val="21"/>
        </w:rPr>
        <w:t xml:space="preserve"> </w:t>
      </w:r>
      <w:r>
        <w:rPr>
          <w:b/>
          <w:color w:val="C00000"/>
          <w:spacing w:val="84"/>
          <w:sz w:val="21"/>
        </w:rPr>
        <w:t xml:space="preserve"> </w:t>
      </w:r>
      <w:r>
        <w:rPr>
          <w:w w:val="95"/>
          <w:sz w:val="21"/>
        </w:rPr>
        <w:t>的顺序推荐中标候选人，或根据授权直接确定中标人，但</w:t>
      </w:r>
      <w:r>
        <w:rPr>
          <w:b/>
          <w:color w:val="C00000"/>
          <w:w w:val="95"/>
          <w:sz w:val="21"/>
        </w:rPr>
        <w:t>低于其成本的除外</w:t>
      </w:r>
      <w:r>
        <w:rPr>
          <w:w w:val="95"/>
          <w:sz w:val="21"/>
        </w:rPr>
        <w:t>。评标价相等时，</w:t>
      </w:r>
      <w:r>
        <w:rPr>
          <w:b/>
          <w:color w:val="C00000"/>
          <w:w w:val="95"/>
          <w:sz w:val="21"/>
        </w:rPr>
        <w:t>投标报价低的优</w:t>
      </w:r>
      <w:r>
        <w:rPr>
          <w:b/>
          <w:color w:val="C00000"/>
          <w:spacing w:val="88"/>
          <w:sz w:val="21"/>
        </w:rPr>
        <w:t xml:space="preserve"> </w:t>
      </w:r>
      <w:r>
        <w:rPr>
          <w:b/>
          <w:color w:val="C00000"/>
          <w:spacing w:val="89"/>
          <w:sz w:val="21"/>
        </w:rPr>
        <w:t xml:space="preserve"> </w:t>
      </w:r>
      <w:r>
        <w:rPr>
          <w:b/>
          <w:color w:val="C00000"/>
          <w:sz w:val="21"/>
        </w:rPr>
        <w:t>先</w:t>
      </w:r>
      <w:r>
        <w:rPr>
          <w:sz w:val="21"/>
        </w:rPr>
        <w:t>；投标报价也相等的，由招标人</w:t>
      </w:r>
      <w:r>
        <w:rPr>
          <w:b/>
          <w:color w:val="C00000"/>
          <w:sz w:val="21"/>
        </w:rPr>
        <w:t>自行确定</w:t>
      </w:r>
      <w:r>
        <w:rPr>
          <w:sz w:val="21"/>
        </w:rPr>
        <w:t>。</w:t>
      </w:r>
    </w:p>
    <w:p>
      <w:pPr>
        <w:pStyle w:val="BodyText"/>
        <w:spacing w:line="385" w:lineRule="exact"/>
        <w:ind w:left="215"/>
      </w:pPr>
      <w:bookmarkStart w:id="24" w:name="2、最低评标价法的基本步骤"/>
      <w:bookmarkEnd w:id="24"/>
      <w:r>
        <w:rPr>
          <w:w w:val="95"/>
        </w:rPr>
        <w:t>2、最低评标价法的基本步骤</w:t>
      </w:r>
    </w:p>
    <w:p>
      <w:pPr>
        <w:spacing w:before="74" w:line="285" w:lineRule="auto"/>
        <w:ind w:left="215" w:right="347" w:firstLine="420"/>
        <w:jc w:val="left"/>
        <w:rPr>
          <w:sz w:val="21"/>
        </w:rPr>
      </w:pPr>
      <w:bookmarkStart w:id="25" w:name="①进行初步评审；②依据详细评审标准对通过初步审查的投标文件进行价格折算，确定其评"/>
      <w:bookmarkEnd w:id="25"/>
      <w:r>
        <w:rPr>
          <w:w w:val="95"/>
          <w:sz w:val="21"/>
        </w:rPr>
        <w:t>①进行</w:t>
      </w:r>
      <w:r>
        <w:rPr>
          <w:b/>
          <w:color w:val="C00000"/>
          <w:w w:val="95"/>
          <w:sz w:val="21"/>
        </w:rPr>
        <w:t>初步评审</w:t>
      </w:r>
      <w:r>
        <w:rPr>
          <w:w w:val="95"/>
          <w:sz w:val="21"/>
        </w:rPr>
        <w:t>；②依据详细评审标准对通过初步审查的投标文件进行</w:t>
      </w:r>
      <w:r>
        <w:rPr>
          <w:b/>
          <w:color w:val="C00000"/>
          <w:w w:val="95"/>
          <w:sz w:val="21"/>
        </w:rPr>
        <w:t>价格折算</w:t>
      </w:r>
      <w:r>
        <w:rPr>
          <w:w w:val="95"/>
          <w:sz w:val="21"/>
        </w:rPr>
        <w:t>，</w:t>
      </w:r>
      <w:r>
        <w:rPr>
          <w:b/>
          <w:color w:val="C00000"/>
          <w:w w:val="95"/>
          <w:sz w:val="21"/>
        </w:rPr>
        <w:t>确定其评审价格</w:t>
      </w:r>
      <w:r>
        <w:rPr>
          <w:w w:val="95"/>
          <w:sz w:val="21"/>
        </w:rPr>
        <w:t>；③再</w:t>
      </w:r>
      <w:r>
        <w:rPr>
          <w:spacing w:val="78"/>
          <w:sz w:val="21"/>
        </w:rPr>
        <w:t xml:space="preserve"> </w:t>
      </w:r>
      <w:r>
        <w:rPr>
          <w:spacing w:val="79"/>
          <w:sz w:val="21"/>
        </w:rPr>
        <w:t xml:space="preserve"> </w:t>
      </w:r>
      <w:r>
        <w:rPr>
          <w:sz w:val="21"/>
        </w:rPr>
        <w:t>按照</w:t>
      </w:r>
      <w:r>
        <w:rPr>
          <w:b/>
          <w:color w:val="C00000"/>
          <w:sz w:val="21"/>
        </w:rPr>
        <w:t>由低到高</w:t>
      </w:r>
      <w:r>
        <w:rPr>
          <w:spacing w:val="-2"/>
          <w:sz w:val="21"/>
        </w:rPr>
        <w:t xml:space="preserve">的顺序推荐 </w:t>
      </w:r>
      <w:r>
        <w:rPr>
          <w:sz w:val="21"/>
        </w:rPr>
        <w:t>1~3</w:t>
      </w:r>
      <w:r>
        <w:rPr>
          <w:spacing w:val="-3"/>
          <w:sz w:val="21"/>
        </w:rPr>
        <w:t xml:space="preserve"> 名中标候选人或根据授权直接确定中标人。</w:t>
      </w:r>
    </w:p>
    <w:p>
      <w:pPr>
        <w:pStyle w:val="BodyText"/>
        <w:spacing w:line="285" w:lineRule="auto"/>
        <w:ind w:left="215" w:right="8836"/>
      </w:pPr>
      <w:r>
        <w:t>（二）</w:t>
      </w:r>
      <w:bookmarkStart w:id="26" w:name="（二）评审标准"/>
      <w:bookmarkEnd w:id="26"/>
      <w:r>
        <w:t>评审标准</w:t>
      </w:r>
      <w:r>
        <w:rPr>
          <w:spacing w:val="1"/>
        </w:rPr>
        <w:t xml:space="preserve"> </w:t>
      </w:r>
      <w:r>
        <w:rPr>
          <w:spacing w:val="-1"/>
        </w:rPr>
        <w:t>1</w:t>
      </w:r>
      <w:bookmarkStart w:id="27" w:name="1、初步评审标准"/>
      <w:bookmarkEnd w:id="27"/>
      <w:r>
        <w:rPr>
          <w:spacing w:val="-1"/>
        </w:rPr>
        <w:t>、初步评审标准</w:t>
      </w:r>
    </w:p>
    <w:p>
      <w:pPr>
        <w:pStyle w:val="ListParagraph"/>
        <w:numPr>
          <w:ilvl w:val="0"/>
          <w:numId w:val="37"/>
        </w:numPr>
        <w:tabs>
          <w:tab w:val="left" w:pos="1179"/>
        </w:tabs>
        <w:spacing w:before="0" w:after="0" w:line="283" w:lineRule="auto"/>
        <w:ind w:left="215" w:right="309" w:firstLine="420"/>
        <w:jc w:val="left"/>
        <w:rPr>
          <w:sz w:val="21"/>
        </w:rPr>
      </w:pPr>
      <w:r>
        <w:rPr>
          <w:b/>
          <w:color w:val="C00000"/>
          <w:w w:val="95"/>
          <w:sz w:val="21"/>
        </w:rPr>
        <w:t>形式评审</w:t>
      </w:r>
      <w:r>
        <w:rPr>
          <w:w w:val="95"/>
          <w:sz w:val="21"/>
        </w:rPr>
        <w:t>标准：投标人的名称；投标函的签字盖章；投标文件的格式；联合体投标人；投标报价的唯</w:t>
      </w:r>
      <w:r>
        <w:rPr>
          <w:spacing w:val="113"/>
          <w:sz w:val="21"/>
        </w:rPr>
        <w:t xml:space="preserve"> </w:t>
      </w:r>
      <w:r>
        <w:rPr>
          <w:sz w:val="21"/>
        </w:rPr>
        <w:t>一性等。</w:t>
      </w:r>
    </w:p>
    <w:p>
      <w:pPr>
        <w:pStyle w:val="ListParagraph"/>
        <w:numPr>
          <w:ilvl w:val="0"/>
          <w:numId w:val="37"/>
        </w:numPr>
        <w:tabs>
          <w:tab w:val="left" w:pos="1179"/>
        </w:tabs>
        <w:spacing w:before="0" w:after="0" w:line="285" w:lineRule="auto"/>
        <w:ind w:left="215" w:right="207" w:firstLine="419"/>
        <w:jc w:val="left"/>
        <w:rPr>
          <w:sz w:val="21"/>
        </w:rPr>
      </w:pPr>
      <w:r>
        <w:rPr>
          <w:b/>
          <w:color w:val="C00000"/>
          <w:w w:val="95"/>
          <w:sz w:val="21"/>
        </w:rPr>
        <w:t>资格评审</w:t>
      </w:r>
      <w:r>
        <w:rPr>
          <w:w w:val="95"/>
          <w:sz w:val="21"/>
        </w:rPr>
        <w:t>标准：营业执照、安全生产许可证、资质等级、财务状况、类似项目业绩、信誉、</w:t>
      </w:r>
      <w:r>
        <w:rPr>
          <w:b/>
          <w:color w:val="C00000"/>
          <w:w w:val="95"/>
          <w:sz w:val="21"/>
        </w:rPr>
        <w:t>项目经理</w:t>
      </w:r>
      <w:r>
        <w:rPr>
          <w:w w:val="95"/>
          <w:sz w:val="21"/>
        </w:rPr>
        <w:t>、</w:t>
      </w:r>
      <w:r>
        <w:rPr>
          <w:spacing w:val="19"/>
          <w:w w:val="95"/>
          <w:sz w:val="21"/>
        </w:rPr>
        <w:t xml:space="preserve"> </w:t>
      </w:r>
      <w:r>
        <w:rPr>
          <w:sz w:val="21"/>
        </w:rPr>
        <w:t>其他要求，联合体投标人等。</w:t>
      </w:r>
    </w:p>
    <w:p>
      <w:pPr>
        <w:spacing w:after="0" w:line="285" w:lineRule="auto"/>
        <w:jc w:val="left"/>
        <w:rPr>
          <w:sz w:val="21"/>
        </w:rPr>
        <w:sectPr>
          <w:footerReference w:type="default" r:id="rId22"/>
          <w:pgSz w:w="11910" w:h="8390" w:orient="landscape"/>
          <w:pgMar w:top="220" w:right="580" w:bottom="1180" w:left="680" w:header="0" w:footer="886" w:gutter="0"/>
          <w:pgNumType w:start="18"/>
          <w:cols w:space="708"/>
        </w:sectPr>
      </w:pPr>
    </w:p>
    <w:p>
      <w:pPr>
        <w:pStyle w:val="BodyText"/>
        <w:rPr>
          <w:sz w:val="20"/>
        </w:rPr>
      </w:pPr>
      <w:r>
        <w:pict>
          <v:group id="docshapegroup159" o:spid="_x0000_s1162" style="width:38.9pt;height:74.7pt;margin-top:312pt;margin-left:554.85pt;mso-height-relative:page;mso-position-horizontal-relative:page;mso-position-vertical-relative:page;mso-width-relative:page;position:absolute;z-index:251706368" coordorigin="11097,6240" coordsize="778,1494">
            <v:shape id="docshape160" o:spid="_x0000_s1163" style="width:778;height:1215;left:11097;position:absolute;top:6519" coordorigin="11097,6519" coordsize="778,1215" path="m11875,7734l11309,7292,11289,7292,11289,7276,11097,7126,11875,6519,11875,7734xe" filled="t" fillcolor="#dd9545" stroked="f">
              <v:path arrowok="t"/>
            </v:shape>
            <v:shape id="docshape161" o:spid="_x0000_s1164" style="width:778;height:1215;left:11097;position:absolute;top:6240" coordorigin="11097,6240" coordsize="778,1215" path="m11875,7455l11097,6847,11875,6240,11875,7455xe" filled="t" fillcolor="#c3542f" stroked="f">
              <v:path arrowok="t"/>
            </v:shape>
          </v:group>
        </w:pict>
      </w:r>
      <w:r>
        <w:pict>
          <v:group id="docshapegroup162" o:spid="_x0000_s1165" style="width:36.85pt;height:69.25pt;margin-top:11.9pt;margin-left:0;mso-height-relative:page;mso-position-horizontal-relative:page;mso-position-vertical-relative:page;mso-width-relative:page;position:absolute;z-index:-251609088" coordorigin="0,238" coordsize="737,1385">
            <v:shape id="docshape163" o:spid="_x0000_s1166" style="width:737;height:1206;position:absolute;top:238" coordorigin="0,238" coordsize="737,1206" path="m,1444l,238,737,841,,1444xe" filled="t" fillcolor="#dd9545" stroked="f">
              <v:path arrowok="t"/>
            </v:shape>
            <v:shape id="docshape164" o:spid="_x0000_s1167"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ListParagraph"/>
        <w:numPr>
          <w:ilvl w:val="0"/>
          <w:numId w:val="38"/>
        </w:numPr>
        <w:tabs>
          <w:tab w:val="left" w:pos="1179"/>
        </w:tabs>
        <w:spacing w:before="44" w:after="0" w:line="283" w:lineRule="auto"/>
        <w:ind w:left="215" w:right="309" w:firstLine="420"/>
        <w:jc w:val="left"/>
        <w:rPr>
          <w:sz w:val="21"/>
        </w:rPr>
      </w:pPr>
      <w:r>
        <w:rPr>
          <w:b/>
          <w:color w:val="C00000"/>
          <w:w w:val="95"/>
          <w:sz w:val="21"/>
        </w:rPr>
        <w:t>响应性评审</w:t>
      </w:r>
      <w:r>
        <w:rPr>
          <w:w w:val="95"/>
          <w:sz w:val="21"/>
        </w:rPr>
        <w:t>标准：投标内容、工期、工程质量、投标有效期、投标保证金、权利义务、已标价工程量</w:t>
      </w:r>
      <w:r>
        <w:rPr>
          <w:spacing w:val="113"/>
          <w:sz w:val="21"/>
        </w:rPr>
        <w:t xml:space="preserve"> </w:t>
      </w:r>
      <w:r>
        <w:rPr>
          <w:sz w:val="21"/>
        </w:rPr>
        <w:t>清单、技术标准和要求等。</w:t>
      </w:r>
    </w:p>
    <w:p>
      <w:pPr>
        <w:pStyle w:val="ListParagraph"/>
        <w:numPr>
          <w:ilvl w:val="0"/>
          <w:numId w:val="38"/>
        </w:numPr>
        <w:tabs>
          <w:tab w:val="left" w:pos="1179"/>
        </w:tabs>
        <w:spacing w:before="6" w:after="0" w:line="285" w:lineRule="auto"/>
        <w:ind w:left="215" w:right="314" w:firstLine="420"/>
        <w:jc w:val="both"/>
        <w:rPr>
          <w:sz w:val="21"/>
        </w:rPr>
      </w:pPr>
      <w:r>
        <w:rPr>
          <w:b/>
          <w:color w:val="C00000"/>
          <w:w w:val="95"/>
          <w:sz w:val="21"/>
        </w:rPr>
        <w:t>施工组织设计和项目管理机构评审</w:t>
      </w:r>
      <w:r>
        <w:rPr>
          <w:w w:val="95"/>
          <w:sz w:val="21"/>
        </w:rPr>
        <w:t>标准：施工方案与技术措施、</w:t>
      </w:r>
      <w:r>
        <w:rPr>
          <w:b/>
          <w:color w:val="C00000"/>
          <w:w w:val="95"/>
          <w:sz w:val="21"/>
        </w:rPr>
        <w:t>质量</w:t>
      </w:r>
      <w:r>
        <w:rPr>
          <w:w w:val="95"/>
          <w:sz w:val="21"/>
        </w:rPr>
        <w:t>管理体系与措施、安全管理体系</w:t>
      </w:r>
      <w:r>
        <w:rPr>
          <w:spacing w:val="119"/>
          <w:sz w:val="21"/>
        </w:rPr>
        <w:t xml:space="preserve"> </w:t>
      </w:r>
      <w:r>
        <w:rPr>
          <w:w w:val="95"/>
          <w:sz w:val="21"/>
        </w:rPr>
        <w:t>与措施、环境保护管理体系与措施、工程</w:t>
      </w:r>
      <w:r>
        <w:rPr>
          <w:b/>
          <w:color w:val="C00000"/>
          <w:w w:val="95"/>
          <w:sz w:val="21"/>
        </w:rPr>
        <w:t>进度</w:t>
      </w:r>
      <w:r>
        <w:rPr>
          <w:w w:val="95"/>
          <w:sz w:val="21"/>
        </w:rPr>
        <w:t>计划与措施、</w:t>
      </w:r>
      <w:r>
        <w:rPr>
          <w:b/>
          <w:color w:val="C00000"/>
          <w:w w:val="95"/>
          <w:sz w:val="21"/>
        </w:rPr>
        <w:t>资源</w:t>
      </w:r>
      <w:r>
        <w:rPr>
          <w:w w:val="95"/>
          <w:sz w:val="21"/>
        </w:rPr>
        <w:t>配备计划、</w:t>
      </w:r>
      <w:r>
        <w:rPr>
          <w:b/>
          <w:color w:val="C00000"/>
          <w:w w:val="95"/>
          <w:sz w:val="21"/>
        </w:rPr>
        <w:t>技术负责人</w:t>
      </w:r>
      <w:r>
        <w:rPr>
          <w:w w:val="95"/>
          <w:sz w:val="21"/>
        </w:rPr>
        <w:t>，其他主要成员、施工</w:t>
      </w:r>
      <w:r>
        <w:rPr>
          <w:spacing w:val="105"/>
          <w:sz w:val="21"/>
        </w:rPr>
        <w:t xml:space="preserve"> </w:t>
      </w:r>
      <w:r>
        <w:rPr>
          <w:spacing w:val="106"/>
          <w:sz w:val="21"/>
        </w:rPr>
        <w:t xml:space="preserve"> </w:t>
      </w:r>
      <w:r>
        <w:rPr>
          <w:sz w:val="21"/>
        </w:rPr>
        <w:t>设备、试验和检测仪器设备等。</w:t>
      </w:r>
    </w:p>
    <w:p>
      <w:pPr>
        <w:pStyle w:val="BodyText"/>
        <w:spacing w:line="385" w:lineRule="exact"/>
        <w:ind w:left="215"/>
      </w:pPr>
      <w:bookmarkStart w:id="28" w:name="2、详细评审标准和评审因素"/>
      <w:bookmarkEnd w:id="28"/>
      <w:r>
        <w:rPr>
          <w:w w:val="95"/>
        </w:rPr>
        <w:t>2、详细评审标准和评审因素</w:t>
      </w:r>
    </w:p>
    <w:p>
      <w:pPr>
        <w:spacing w:before="74"/>
        <w:ind w:left="635" w:right="0" w:firstLine="0"/>
        <w:jc w:val="left"/>
        <w:rPr>
          <w:sz w:val="21"/>
        </w:rPr>
      </w:pPr>
      <w:bookmarkStart w:id="29" w:name="    详细评审标准和评审因素一般包括单价遗漏；付款条件等。"/>
      <w:bookmarkEnd w:id="29"/>
      <w:r>
        <w:rPr>
          <w:w w:val="95"/>
          <w:sz w:val="21"/>
        </w:rPr>
        <w:t>详细评审标准和评审因素一般包括</w:t>
      </w:r>
      <w:r>
        <w:rPr>
          <w:b/>
          <w:color w:val="C00000"/>
          <w:w w:val="95"/>
          <w:sz w:val="21"/>
        </w:rPr>
        <w:t>单价遗漏</w:t>
      </w:r>
      <w:r>
        <w:rPr>
          <w:w w:val="95"/>
          <w:sz w:val="21"/>
        </w:rPr>
        <w:t>；</w:t>
      </w:r>
      <w:r>
        <w:rPr>
          <w:b/>
          <w:color w:val="C00000"/>
          <w:w w:val="95"/>
          <w:sz w:val="21"/>
        </w:rPr>
        <w:t>付款条件</w:t>
      </w:r>
      <w:r>
        <w:rPr>
          <w:w w:val="95"/>
          <w:sz w:val="21"/>
        </w:rPr>
        <w:t>等。</w:t>
      </w:r>
    </w:p>
    <w:p>
      <w:pPr>
        <w:pStyle w:val="BodyText"/>
        <w:spacing w:before="71" w:line="285" w:lineRule="auto"/>
        <w:ind w:left="215" w:right="347" w:firstLine="420"/>
      </w:pPr>
      <w:bookmarkStart w:id="30" w:name="详细评审标准对评标办法规定的量化因素和量化标准是列举性的，并没有包括所有量化因素"/>
      <w:bookmarkEnd w:id="30"/>
      <w:r>
        <w:rPr>
          <w:w w:val="95"/>
        </w:rPr>
        <w:t>详细评审标准对评标办法规定的量化因素和量化标准是</w:t>
      </w:r>
      <w:r>
        <w:rPr>
          <w:b/>
          <w:color w:val="C00000"/>
          <w:w w:val="95"/>
        </w:rPr>
        <w:t>列举性</w:t>
      </w:r>
      <w:r>
        <w:rPr>
          <w:w w:val="95"/>
        </w:rPr>
        <w:t>的，并</w:t>
      </w:r>
      <w:r>
        <w:rPr>
          <w:b/>
          <w:color w:val="C00000"/>
          <w:w w:val="95"/>
        </w:rPr>
        <w:t>没有包括所有量化因素</w:t>
      </w:r>
      <w:r>
        <w:rPr>
          <w:w w:val="95"/>
        </w:rPr>
        <w:t>和</w:t>
      </w:r>
      <w:r>
        <w:rPr>
          <w:b/>
          <w:color w:val="C00000"/>
          <w:w w:val="95"/>
        </w:rPr>
        <w:t>标准</w:t>
      </w:r>
      <w:r>
        <w:rPr>
          <w:w w:val="95"/>
        </w:rPr>
        <w:t>，招标</w:t>
      </w:r>
      <w:r>
        <w:rPr>
          <w:spacing w:val="78"/>
        </w:rPr>
        <w:t xml:space="preserve"> </w:t>
      </w:r>
      <w:r>
        <w:rPr>
          <w:spacing w:val="79"/>
        </w:rPr>
        <w:t xml:space="preserve"> </w:t>
      </w:r>
      <w:r>
        <w:t>人应根据项目具体特点和实际需要，进步删减、补充或细化。</w:t>
      </w:r>
    </w:p>
    <w:p>
      <w:pPr>
        <w:pStyle w:val="BodyText"/>
        <w:ind w:left="215"/>
      </w:pPr>
      <w:r>
        <w:t>（三）评标程序</w:t>
      </w:r>
    </w:p>
    <w:p>
      <w:pPr>
        <w:pStyle w:val="BodyText"/>
        <w:spacing w:before="72"/>
        <w:ind w:left="215"/>
      </w:pPr>
      <w:r>
        <w:t>投标文件的澄清和补正：</w:t>
      </w:r>
    </w:p>
    <w:p>
      <w:pPr>
        <w:pStyle w:val="ListParagraph"/>
        <w:numPr>
          <w:ilvl w:val="0"/>
          <w:numId w:val="14"/>
        </w:numPr>
        <w:tabs>
          <w:tab w:val="left" w:pos="1179"/>
        </w:tabs>
        <w:spacing w:before="68" w:after="0" w:line="285" w:lineRule="auto"/>
        <w:ind w:left="215" w:right="314" w:firstLine="420"/>
        <w:jc w:val="left"/>
        <w:rPr>
          <w:sz w:val="21"/>
        </w:rPr>
      </w:pPr>
      <w:r>
        <w:rPr>
          <w:sz w:val="21"/>
        </w:rPr>
        <w:t>评标委员会可以书面形式要求投标人对所提交的投标文件中不明确的内容进行书面澄清或说明，或者对细微偏差进行补正。评标委员会</w:t>
      </w:r>
      <w:r>
        <w:rPr>
          <w:b/>
          <w:color w:val="C00000"/>
          <w:sz w:val="21"/>
        </w:rPr>
        <w:t>不接受</w:t>
      </w:r>
      <w:r>
        <w:rPr>
          <w:sz w:val="21"/>
        </w:rPr>
        <w:t>投标人</w:t>
      </w:r>
      <w:r>
        <w:rPr>
          <w:b/>
          <w:color w:val="C00000"/>
          <w:sz w:val="21"/>
        </w:rPr>
        <w:t>主动提出</w:t>
      </w:r>
      <w:r>
        <w:rPr>
          <w:sz w:val="21"/>
        </w:rPr>
        <w:t>的澄清、说明或补正。</w:t>
      </w:r>
    </w:p>
    <w:p>
      <w:pPr>
        <w:spacing w:after="0" w:line="285" w:lineRule="auto"/>
        <w:jc w:val="left"/>
        <w:rPr>
          <w:sz w:val="21"/>
        </w:rPr>
        <w:sectPr>
          <w:footerReference w:type="default" r:id="rId23"/>
          <w:pgSz w:w="11910" w:h="8390" w:orient="landscape"/>
          <w:pgMar w:top="220" w:right="580" w:bottom="1180" w:left="680" w:header="0" w:footer="886" w:gutter="0"/>
          <w:pgNumType w:start="19"/>
          <w:cols w:space="708"/>
        </w:sectPr>
      </w:pPr>
    </w:p>
    <w:p>
      <w:pPr>
        <w:pStyle w:val="BodyText"/>
        <w:rPr>
          <w:sz w:val="20"/>
        </w:rPr>
      </w:pPr>
      <w:r>
        <w:pict>
          <v:group id="docshapegroup165" o:spid="_x0000_s1168" style="width:38.9pt;height:74.7pt;margin-top:312pt;margin-left:554.85pt;mso-height-relative:page;mso-position-horizontal-relative:page;mso-position-vertical-relative:page;mso-width-relative:page;position:absolute;z-index:251708416" coordorigin="11097,6240" coordsize="778,1494">
            <v:shape id="docshape166" o:spid="_x0000_s1169" style="width:778;height:1215;left:11097;position:absolute;top:6519" coordorigin="11097,6519" coordsize="778,1215" path="m11875,7734l11309,7292,11289,7292,11289,7276,11097,7126,11875,6519,11875,7734xe" filled="t" fillcolor="#dd9545" stroked="f">
              <v:path arrowok="t"/>
            </v:shape>
            <v:shape id="docshape167" o:spid="_x0000_s1170" style="width:778;height:1215;left:11097;position:absolute;top:6240" coordorigin="11097,6240" coordsize="778,1215" path="m11875,7455l11097,6847,11875,6240,11875,7455xe" filled="t" fillcolor="#c3542f" stroked="f">
              <v:path arrowok="t"/>
            </v:shape>
          </v:group>
        </w:pict>
      </w:r>
      <w:r>
        <w:pict>
          <v:group id="docshapegroup168" o:spid="_x0000_s1171" style="width:36.85pt;height:69.25pt;margin-top:11.9pt;margin-left:0;mso-height-relative:page;mso-position-horizontal-relative:page;mso-position-vertical-relative:page;mso-width-relative:page;position:absolute;z-index:-251607040" coordorigin="0,238" coordsize="737,1385">
            <v:shape id="docshape169" o:spid="_x0000_s1172" style="width:737;height:1206;position:absolute;top:238" coordorigin="0,238" coordsize="737,1206" path="m,1444l,238,737,841,,1444xe" filled="t" fillcolor="#dd9545" stroked="f">
              <v:path arrowok="t"/>
            </v:shape>
            <v:shape id="docshape170" o:spid="_x0000_s1173"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ListParagraph"/>
        <w:numPr>
          <w:ilvl w:val="0"/>
          <w:numId w:val="39"/>
        </w:numPr>
        <w:tabs>
          <w:tab w:val="left" w:pos="1180"/>
        </w:tabs>
        <w:spacing w:before="44" w:after="0" w:line="283" w:lineRule="auto"/>
        <w:ind w:left="215" w:right="225" w:firstLine="420"/>
        <w:jc w:val="left"/>
        <w:rPr>
          <w:sz w:val="21"/>
        </w:rPr>
      </w:pPr>
      <w:r>
        <w:rPr>
          <w:w w:val="95"/>
          <w:sz w:val="21"/>
        </w:rPr>
        <w:t>澄清、说明和补正</w:t>
      </w:r>
      <w:r>
        <w:rPr>
          <w:b/>
          <w:color w:val="C00000"/>
          <w:w w:val="95"/>
          <w:sz w:val="21"/>
        </w:rPr>
        <w:t>不得改变</w:t>
      </w:r>
      <w:r>
        <w:rPr>
          <w:w w:val="95"/>
          <w:sz w:val="21"/>
        </w:rPr>
        <w:t>投标文件的</w:t>
      </w:r>
      <w:r>
        <w:rPr>
          <w:b/>
          <w:color w:val="C00000"/>
          <w:w w:val="95"/>
          <w:sz w:val="21"/>
        </w:rPr>
        <w:t>实质性内容</w:t>
      </w:r>
      <w:r>
        <w:rPr>
          <w:w w:val="95"/>
          <w:sz w:val="21"/>
        </w:rPr>
        <w:t>（算术性错误修正的除外）。投标人的书面澄清、</w:t>
      </w:r>
      <w:r>
        <w:rPr>
          <w:spacing w:val="66"/>
          <w:sz w:val="21"/>
        </w:rPr>
        <w:t xml:space="preserve"> </w:t>
      </w:r>
      <w:r>
        <w:rPr>
          <w:spacing w:val="67"/>
          <w:sz w:val="21"/>
        </w:rPr>
        <w:t xml:space="preserve"> </w:t>
      </w:r>
      <w:r>
        <w:rPr>
          <w:sz w:val="21"/>
        </w:rPr>
        <w:t>说明和补正属于投标文件的组成部分。</w:t>
      </w:r>
    </w:p>
    <w:p>
      <w:pPr>
        <w:pStyle w:val="ListParagraph"/>
        <w:numPr>
          <w:ilvl w:val="0"/>
          <w:numId w:val="39"/>
        </w:numPr>
        <w:tabs>
          <w:tab w:val="left" w:pos="1180"/>
        </w:tabs>
        <w:spacing w:before="6" w:after="0" w:line="285" w:lineRule="auto"/>
        <w:ind w:left="215" w:right="225" w:firstLine="420"/>
        <w:jc w:val="left"/>
        <w:rPr>
          <w:sz w:val="21"/>
        </w:rPr>
      </w:pPr>
      <w:r>
        <w:rPr>
          <w:w w:val="95"/>
          <w:sz w:val="21"/>
        </w:rPr>
        <w:t>评标委员会对投标人提交的澄清、说明和补正有疑问的，可以要求投标人进一步澄清、说明或补正，</w:t>
      </w:r>
      <w:r>
        <w:rPr>
          <w:spacing w:val="66"/>
          <w:sz w:val="21"/>
        </w:rPr>
        <w:t xml:space="preserve"> </w:t>
      </w:r>
      <w:r>
        <w:rPr>
          <w:spacing w:val="67"/>
          <w:sz w:val="21"/>
        </w:rPr>
        <w:t xml:space="preserve"> </w:t>
      </w:r>
      <w:r>
        <w:rPr>
          <w:sz w:val="21"/>
        </w:rPr>
        <w:t>直至满足评标委员会要求。</w:t>
      </w:r>
    </w:p>
    <w:p>
      <w:pPr>
        <w:spacing w:before="0" w:line="385" w:lineRule="exact"/>
        <w:ind w:left="215" w:right="0" w:firstLine="0"/>
        <w:jc w:val="left"/>
        <w:rPr>
          <w:b/>
          <w:sz w:val="21"/>
        </w:rPr>
      </w:pPr>
      <w:r>
        <w:rPr>
          <w:sz w:val="21"/>
        </w:rPr>
        <w:t>二、综合评估法</w:t>
      </w:r>
      <w:r>
        <w:rPr>
          <w:b/>
          <w:color w:val="2D75B5"/>
          <w:sz w:val="21"/>
        </w:rPr>
        <w:t>（综合评分由高到低）</w:t>
      </w:r>
    </w:p>
    <w:p>
      <w:pPr>
        <w:spacing w:before="74"/>
        <w:ind w:left="635" w:right="0" w:firstLine="0"/>
        <w:jc w:val="left"/>
        <w:rPr>
          <w:sz w:val="21"/>
        </w:rPr>
      </w:pPr>
      <w:r>
        <w:rPr>
          <w:sz w:val="21"/>
        </w:rPr>
        <w:t>综合评估法一般适用于招标人对招标项目的</w:t>
      </w:r>
      <w:r>
        <w:rPr>
          <w:b/>
          <w:color w:val="C00000"/>
          <w:sz w:val="21"/>
        </w:rPr>
        <w:t>技术</w:t>
      </w:r>
      <w:r>
        <w:rPr>
          <w:sz w:val="21"/>
        </w:rPr>
        <w:t>、</w:t>
      </w:r>
      <w:r>
        <w:rPr>
          <w:b/>
          <w:color w:val="C00000"/>
          <w:sz w:val="21"/>
        </w:rPr>
        <w:t>性能</w:t>
      </w:r>
      <w:r>
        <w:rPr>
          <w:sz w:val="21"/>
        </w:rPr>
        <w:t>有</w:t>
      </w:r>
      <w:r>
        <w:rPr>
          <w:b/>
          <w:color w:val="C00000"/>
          <w:sz w:val="21"/>
        </w:rPr>
        <w:t>专门要求</w:t>
      </w:r>
      <w:r>
        <w:rPr>
          <w:sz w:val="21"/>
        </w:rPr>
        <w:t>的招标项目。</w:t>
      </w:r>
    </w:p>
    <w:p>
      <w:pPr>
        <w:pStyle w:val="Heading1"/>
        <w:spacing w:before="31"/>
      </w:pPr>
      <w:bookmarkStart w:id="31" w:name="_bookmark8"/>
      <w:bookmarkEnd w:id="31"/>
      <w:bookmarkStart w:id="32" w:name="强训点9：材料设备采购招标特点"/>
      <w:bookmarkEnd w:id="32"/>
      <w:r>
        <w:rPr>
          <w:color w:val="FFFFFF"/>
          <w:spacing w:val="-3"/>
          <w:shd w:val="clear" w:color="auto" w:fill="C55811"/>
        </w:rPr>
        <w:t xml:space="preserve">强训点 </w:t>
      </w:r>
      <w:r>
        <w:rPr>
          <w:color w:val="FFFFFF"/>
          <w:shd w:val="clear" w:color="auto" w:fill="C55811"/>
        </w:rPr>
        <w:t>9：材料设备采购招标特点</w:t>
      </w:r>
    </w:p>
    <w:p>
      <w:pPr>
        <w:pStyle w:val="Heading2"/>
        <w:spacing w:line="285" w:lineRule="auto"/>
        <w:ind w:right="6018"/>
      </w:pPr>
      <w:r>
        <w:rPr>
          <w:w w:val="95"/>
        </w:rPr>
        <w:t>易混易错点：三种采购招标的适用范围及优缺点</w:t>
      </w:r>
      <w:r>
        <w:rPr>
          <w:spacing w:val="1"/>
          <w:w w:val="95"/>
        </w:rPr>
        <w:t xml:space="preserve"> </w:t>
      </w:r>
      <w:r>
        <w:t>关键词：数额不大、零星、应急、大宗</w:t>
      </w:r>
    </w:p>
    <w:p>
      <w:pPr>
        <w:pStyle w:val="BodyText"/>
        <w:spacing w:before="1"/>
        <w:ind w:left="215"/>
      </w:pPr>
      <w:r>
        <w:t>（一）材料设备采购方式及其特点</w:t>
      </w:r>
    </w:p>
    <w:p>
      <w:pPr>
        <w:spacing w:before="71"/>
        <w:ind w:left="635" w:right="0" w:firstLine="0"/>
        <w:jc w:val="left"/>
        <w:rPr>
          <w:sz w:val="21"/>
        </w:rPr>
      </w:pPr>
      <w:bookmarkStart w:id="33" w:name="建设工程材料和设备的采购主要包括询价选择供货商、直接向供货商订购和招标选择供货商"/>
      <w:bookmarkEnd w:id="33"/>
      <w:r>
        <w:rPr>
          <w:w w:val="95"/>
          <w:sz w:val="21"/>
        </w:rPr>
        <w:t>建设工程材料和设备的采购主要包括</w:t>
      </w:r>
      <w:r>
        <w:rPr>
          <w:b/>
          <w:color w:val="C00000"/>
          <w:w w:val="95"/>
          <w:sz w:val="21"/>
        </w:rPr>
        <w:t>询价选择供货商</w:t>
      </w:r>
      <w:r>
        <w:rPr>
          <w:w w:val="95"/>
          <w:sz w:val="21"/>
        </w:rPr>
        <w:t>、</w:t>
      </w:r>
      <w:r>
        <w:rPr>
          <w:b/>
          <w:color w:val="C00000"/>
          <w:w w:val="95"/>
          <w:sz w:val="21"/>
        </w:rPr>
        <w:t>直接向供货商订购</w:t>
      </w:r>
      <w:r>
        <w:rPr>
          <w:w w:val="95"/>
          <w:sz w:val="21"/>
        </w:rPr>
        <w:t>和</w:t>
      </w:r>
      <w:r>
        <w:rPr>
          <w:b/>
          <w:color w:val="C00000"/>
          <w:w w:val="95"/>
          <w:sz w:val="21"/>
        </w:rPr>
        <w:t>招标选择供货商</w:t>
      </w:r>
      <w:r>
        <w:rPr>
          <w:w w:val="95"/>
          <w:sz w:val="21"/>
        </w:rPr>
        <w:t>三种方式。</w:t>
      </w:r>
    </w:p>
    <w:p>
      <w:pPr>
        <w:pStyle w:val="Heading2"/>
        <w:numPr>
          <w:ilvl w:val="0"/>
          <w:numId w:val="15"/>
        </w:numPr>
        <w:tabs>
          <w:tab w:val="left" w:pos="760"/>
        </w:tabs>
        <w:spacing w:before="74" w:after="0" w:line="240" w:lineRule="auto"/>
        <w:ind w:left="760" w:right="0" w:hanging="545"/>
        <w:jc w:val="left"/>
      </w:pPr>
      <w:bookmarkStart w:id="34" w:name="（1）询价方式"/>
      <w:bookmarkEnd w:id="34"/>
      <w:r>
        <w:rPr>
          <w:color w:val="C00000"/>
          <w:w w:val="95"/>
        </w:rPr>
        <w:t>询价方式</w:t>
      </w:r>
    </w:p>
    <w:p>
      <w:pPr>
        <w:pStyle w:val="BodyText"/>
        <w:spacing w:before="73"/>
        <w:ind w:left="635"/>
      </w:pPr>
      <w:bookmarkStart w:id="35" w:name="①适用：一般用于采购数额不大的建筑材料和标准规格产品，由采购方对多家供货商就采购"/>
      <w:bookmarkEnd w:id="35"/>
      <w:r>
        <w:rPr>
          <w:w w:val="95"/>
        </w:rPr>
        <w:t>①适用：一般用于采购</w:t>
      </w:r>
      <w:r>
        <w:rPr>
          <w:b/>
          <w:color w:val="C00000"/>
          <w:w w:val="95"/>
        </w:rPr>
        <w:t>数额不大</w:t>
      </w:r>
      <w:r>
        <w:rPr>
          <w:w w:val="95"/>
        </w:rPr>
        <w:t>的建筑材料和标准规格产品，由采购方对</w:t>
      </w:r>
      <w:r>
        <w:rPr>
          <w:b/>
          <w:color w:val="C00000"/>
          <w:w w:val="95"/>
        </w:rPr>
        <w:t>多家供货商</w:t>
      </w:r>
      <w:r>
        <w:rPr>
          <w:w w:val="95"/>
        </w:rPr>
        <w:t>就采购的标的物进行</w:t>
      </w:r>
    </w:p>
    <w:p>
      <w:pPr>
        <w:spacing w:after="0"/>
        <w:sectPr>
          <w:footerReference w:type="default" r:id="rId24"/>
          <w:pgSz w:w="11910" w:h="8390" w:orient="landscape"/>
          <w:pgMar w:top="220" w:right="580" w:bottom="1180" w:left="680" w:header="0" w:footer="886" w:gutter="0"/>
          <w:pgNumType w:start="20"/>
          <w:cols w:space="708"/>
        </w:sectPr>
      </w:pPr>
    </w:p>
    <w:p>
      <w:pPr>
        <w:pStyle w:val="BodyText"/>
        <w:rPr>
          <w:sz w:val="20"/>
        </w:rPr>
      </w:pPr>
      <w:r>
        <w:pict>
          <v:group id="docshapegroup171" o:spid="_x0000_s1174" style="width:38.9pt;height:74.7pt;margin-top:312pt;margin-left:554.85pt;mso-height-relative:page;mso-position-horizontal-relative:page;mso-position-vertical-relative:page;mso-width-relative:page;position:absolute;z-index:251710464" coordorigin="11097,6240" coordsize="778,1494">
            <v:shape id="docshape172" o:spid="_x0000_s1175" style="width:778;height:1215;left:11097;position:absolute;top:6519" coordorigin="11097,6519" coordsize="778,1215" path="m11875,7734l11309,7292,11289,7292,11289,7276,11097,7126,11875,6519,11875,7734xe" filled="t" fillcolor="#dd9545" stroked="f">
              <v:path arrowok="t"/>
            </v:shape>
            <v:shape id="docshape173" o:spid="_x0000_s1176" style="width:778;height:1215;left:11097;position:absolute;top:6240" coordorigin="11097,6240" coordsize="778,1215" path="m11875,7455l11097,6847,11875,6240,11875,7455xe" filled="t" fillcolor="#c3542f" stroked="f">
              <v:path arrowok="t"/>
            </v:shape>
          </v:group>
        </w:pict>
      </w:r>
      <w:r>
        <w:pict>
          <v:group id="docshapegroup174" o:spid="_x0000_s1177" style="width:36.85pt;height:69.25pt;margin-top:11.9pt;margin-left:0;mso-height-relative:page;mso-position-horizontal-relative:page;mso-position-vertical-relative:page;mso-width-relative:page;position:absolute;z-index:-251604992" coordorigin="0,238" coordsize="737,1385">
            <v:shape id="docshape175" o:spid="_x0000_s1178" style="width:737;height:1206;position:absolute;top:238" coordorigin="0,238" coordsize="737,1206" path="m,1444l,238,737,841,,1444xe" filled="t" fillcolor="#dd9545" stroked="f">
              <v:path arrowok="t"/>
            </v:shape>
            <v:shape id="docshape176" o:spid="_x0000_s1179"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ind w:left="215" w:right="0" w:firstLine="0"/>
        <w:jc w:val="left"/>
        <w:rPr>
          <w:sz w:val="21"/>
        </w:rPr>
      </w:pPr>
      <w:r>
        <w:rPr>
          <w:sz w:val="21"/>
        </w:rPr>
        <w:t>询价，还可以通过</w:t>
      </w:r>
      <w:r>
        <w:rPr>
          <w:b/>
          <w:color w:val="C00000"/>
          <w:sz w:val="21"/>
        </w:rPr>
        <w:t>多轮讨价还价及磋商</w:t>
      </w:r>
      <w:r>
        <w:rPr>
          <w:sz w:val="21"/>
        </w:rPr>
        <w:t>，经过比较后选择其中一家签订供货合同。</w:t>
      </w:r>
    </w:p>
    <w:p>
      <w:pPr>
        <w:spacing w:before="71" w:line="285" w:lineRule="auto"/>
        <w:ind w:left="215" w:right="350" w:firstLine="420"/>
        <w:jc w:val="left"/>
        <w:rPr>
          <w:sz w:val="21"/>
        </w:rPr>
      </w:pPr>
      <w:bookmarkStart w:id="36" w:name="②优点：避免了招标采购的复杂性，工作量小、耗时短、交易成本低，也在一定程度上进行"/>
      <w:bookmarkEnd w:id="36"/>
      <w:r>
        <w:rPr>
          <w:w w:val="95"/>
          <w:sz w:val="21"/>
        </w:rPr>
        <w:t>②优点：避免了招标采购的</w:t>
      </w:r>
      <w:r>
        <w:rPr>
          <w:b/>
          <w:color w:val="C00000"/>
          <w:w w:val="95"/>
          <w:sz w:val="21"/>
        </w:rPr>
        <w:t>复杂性</w:t>
      </w:r>
      <w:r>
        <w:rPr>
          <w:w w:val="95"/>
          <w:sz w:val="21"/>
        </w:rPr>
        <w:t>，</w:t>
      </w:r>
      <w:r>
        <w:rPr>
          <w:b/>
          <w:color w:val="C00000"/>
          <w:w w:val="95"/>
          <w:sz w:val="21"/>
        </w:rPr>
        <w:t>工作量小</w:t>
      </w:r>
      <w:r>
        <w:rPr>
          <w:w w:val="95"/>
          <w:sz w:val="21"/>
        </w:rPr>
        <w:t>、</w:t>
      </w:r>
      <w:r>
        <w:rPr>
          <w:b/>
          <w:color w:val="C00000"/>
          <w:w w:val="95"/>
          <w:sz w:val="21"/>
        </w:rPr>
        <w:t>耗时短</w:t>
      </w:r>
      <w:r>
        <w:rPr>
          <w:w w:val="95"/>
          <w:sz w:val="21"/>
        </w:rPr>
        <w:t>、</w:t>
      </w:r>
      <w:r>
        <w:rPr>
          <w:b/>
          <w:color w:val="C00000"/>
          <w:w w:val="95"/>
          <w:sz w:val="21"/>
        </w:rPr>
        <w:t>交易成本低</w:t>
      </w:r>
      <w:r>
        <w:rPr>
          <w:w w:val="95"/>
          <w:sz w:val="21"/>
        </w:rPr>
        <w:t>，也在一定程度上进行了供货商之间</w:t>
      </w:r>
      <w:r>
        <w:rPr>
          <w:spacing w:val="76"/>
          <w:sz w:val="21"/>
        </w:rPr>
        <w:t xml:space="preserve"> </w:t>
      </w:r>
      <w:r>
        <w:rPr>
          <w:spacing w:val="77"/>
          <w:sz w:val="21"/>
        </w:rPr>
        <w:t xml:space="preserve"> </w:t>
      </w:r>
      <w:r>
        <w:rPr>
          <w:sz w:val="21"/>
        </w:rPr>
        <w:t>的报价竞争。</w:t>
      </w:r>
    </w:p>
    <w:p>
      <w:pPr>
        <w:spacing w:before="1"/>
        <w:ind w:left="635" w:right="0" w:firstLine="0"/>
        <w:jc w:val="left"/>
        <w:rPr>
          <w:sz w:val="21"/>
        </w:rPr>
      </w:pPr>
      <w:bookmarkStart w:id="37" w:name="③缺点：存在较大的主观性和随意性。"/>
      <w:bookmarkEnd w:id="37"/>
      <w:r>
        <w:rPr>
          <w:w w:val="95"/>
          <w:sz w:val="21"/>
        </w:rPr>
        <w:t>③缺点：存在较大的</w:t>
      </w:r>
      <w:r>
        <w:rPr>
          <w:b/>
          <w:color w:val="C00000"/>
          <w:w w:val="95"/>
          <w:sz w:val="21"/>
        </w:rPr>
        <w:t>主观性</w:t>
      </w:r>
      <w:r>
        <w:rPr>
          <w:w w:val="95"/>
          <w:sz w:val="21"/>
        </w:rPr>
        <w:t>和</w:t>
      </w:r>
      <w:r>
        <w:rPr>
          <w:b/>
          <w:color w:val="C00000"/>
          <w:w w:val="95"/>
          <w:sz w:val="21"/>
        </w:rPr>
        <w:t>随意性</w:t>
      </w:r>
      <w:r>
        <w:rPr>
          <w:w w:val="95"/>
          <w:sz w:val="21"/>
        </w:rPr>
        <w:t>。</w:t>
      </w:r>
    </w:p>
    <w:p>
      <w:pPr>
        <w:pStyle w:val="Heading2"/>
        <w:numPr>
          <w:ilvl w:val="0"/>
          <w:numId w:val="15"/>
        </w:numPr>
        <w:tabs>
          <w:tab w:val="left" w:pos="760"/>
        </w:tabs>
        <w:spacing w:before="71" w:after="0" w:line="240" w:lineRule="auto"/>
        <w:ind w:left="760" w:right="0" w:hanging="545"/>
        <w:jc w:val="left"/>
      </w:pPr>
      <w:bookmarkStart w:id="38" w:name="（2）直接订购方式"/>
      <w:bookmarkEnd w:id="38"/>
      <w:r>
        <w:rPr>
          <w:color w:val="C00000"/>
          <w:w w:val="95"/>
        </w:rPr>
        <w:t>直接订购方式</w:t>
      </w:r>
    </w:p>
    <w:p>
      <w:pPr>
        <w:spacing w:before="74" w:line="285" w:lineRule="auto"/>
        <w:ind w:left="215" w:right="347" w:firstLine="420"/>
        <w:jc w:val="left"/>
        <w:rPr>
          <w:sz w:val="21"/>
        </w:rPr>
      </w:pPr>
      <w:bookmarkStart w:id="39" w:name="①适用：多适用于零星采购、应急采购，或只能从一家供应厂商获得，或必须由原供货商提"/>
      <w:bookmarkEnd w:id="39"/>
      <w:r>
        <w:rPr>
          <w:w w:val="95"/>
          <w:sz w:val="21"/>
        </w:rPr>
        <w:t>①适用：多适用于</w:t>
      </w:r>
      <w:r>
        <w:rPr>
          <w:b/>
          <w:color w:val="C00000"/>
          <w:w w:val="95"/>
          <w:sz w:val="21"/>
        </w:rPr>
        <w:t>零星采购、应急采购</w:t>
      </w:r>
      <w:r>
        <w:rPr>
          <w:w w:val="95"/>
          <w:sz w:val="21"/>
        </w:rPr>
        <w:t>，或只能从一家供应厂商获得，或</w:t>
      </w:r>
      <w:r>
        <w:rPr>
          <w:b/>
          <w:color w:val="C00000"/>
          <w:w w:val="95"/>
          <w:sz w:val="21"/>
        </w:rPr>
        <w:t>必须由原供货商</w:t>
      </w:r>
      <w:r>
        <w:rPr>
          <w:w w:val="95"/>
          <w:sz w:val="21"/>
        </w:rPr>
        <w:t>提供产品或向原</w:t>
      </w:r>
      <w:r>
        <w:rPr>
          <w:spacing w:val="78"/>
          <w:sz w:val="21"/>
        </w:rPr>
        <w:t xml:space="preserve"> </w:t>
      </w:r>
      <w:r>
        <w:rPr>
          <w:spacing w:val="79"/>
          <w:sz w:val="21"/>
        </w:rPr>
        <w:t xml:space="preserve"> </w:t>
      </w:r>
      <w:r>
        <w:rPr>
          <w:sz w:val="21"/>
        </w:rPr>
        <w:t>供货商补订的采购。</w:t>
      </w:r>
    </w:p>
    <w:p>
      <w:pPr>
        <w:spacing w:before="0" w:line="385" w:lineRule="exact"/>
        <w:ind w:left="635" w:right="0" w:firstLine="0"/>
        <w:jc w:val="left"/>
        <w:rPr>
          <w:sz w:val="21"/>
        </w:rPr>
      </w:pPr>
      <w:r>
        <w:rPr>
          <w:sz w:val="21"/>
        </w:rPr>
        <w:t>②优点：达成交易</w:t>
      </w:r>
      <w:r>
        <w:rPr>
          <w:b/>
          <w:color w:val="C00000"/>
          <w:sz w:val="21"/>
        </w:rPr>
        <w:t>快</w:t>
      </w:r>
      <w:r>
        <w:rPr>
          <w:sz w:val="21"/>
        </w:rPr>
        <w:t>，有利于</w:t>
      </w:r>
      <w:r>
        <w:rPr>
          <w:b/>
          <w:color w:val="C00000"/>
          <w:sz w:val="21"/>
        </w:rPr>
        <w:t>及早交货</w:t>
      </w:r>
      <w:r>
        <w:rPr>
          <w:sz w:val="21"/>
        </w:rPr>
        <w:t>。</w:t>
      </w:r>
    </w:p>
    <w:p>
      <w:pPr>
        <w:pStyle w:val="BodyText"/>
        <w:spacing w:before="74"/>
        <w:ind w:left="635"/>
      </w:pPr>
      <w:r>
        <w:t>③缺点：采购</w:t>
      </w:r>
      <w:r>
        <w:rPr>
          <w:b/>
          <w:color w:val="C00000"/>
        </w:rPr>
        <w:t>来源单一</w:t>
      </w:r>
      <w:r>
        <w:t>，缺少对价格的</w:t>
      </w:r>
      <w:r>
        <w:rPr>
          <w:b/>
          <w:color w:val="C00000"/>
        </w:rPr>
        <w:t>比选</w:t>
      </w:r>
      <w:r>
        <w:t>，适用的条件较为特殊。</w:t>
      </w:r>
    </w:p>
    <w:p>
      <w:pPr>
        <w:pStyle w:val="Heading2"/>
        <w:numPr>
          <w:ilvl w:val="0"/>
          <w:numId w:val="15"/>
        </w:numPr>
        <w:tabs>
          <w:tab w:val="left" w:pos="760"/>
        </w:tabs>
        <w:spacing w:before="73" w:after="0" w:line="240" w:lineRule="auto"/>
        <w:ind w:left="760" w:right="0" w:hanging="545"/>
        <w:jc w:val="left"/>
      </w:pPr>
      <w:bookmarkStart w:id="40" w:name="（3）招标投标"/>
      <w:bookmarkEnd w:id="40"/>
      <w:r>
        <w:rPr>
          <w:color w:val="C00000"/>
          <w:w w:val="95"/>
        </w:rPr>
        <w:t>招标投标</w:t>
      </w:r>
    </w:p>
    <w:p>
      <w:pPr>
        <w:spacing w:before="72"/>
        <w:ind w:left="635" w:right="0" w:firstLine="0"/>
        <w:jc w:val="left"/>
        <w:rPr>
          <w:sz w:val="21"/>
        </w:rPr>
      </w:pPr>
      <w:bookmarkStart w:id="41" w:name="①适用：是大宗及重要建筑材料和设备采购的最主要方式。"/>
      <w:bookmarkEnd w:id="41"/>
      <w:r>
        <w:rPr>
          <w:w w:val="95"/>
          <w:sz w:val="21"/>
        </w:rPr>
        <w:t>①适用：是</w:t>
      </w:r>
      <w:r>
        <w:rPr>
          <w:b/>
          <w:color w:val="C00000"/>
          <w:w w:val="95"/>
          <w:sz w:val="21"/>
        </w:rPr>
        <w:t>大宗</w:t>
      </w:r>
      <w:r>
        <w:rPr>
          <w:w w:val="95"/>
          <w:sz w:val="21"/>
        </w:rPr>
        <w:t>及</w:t>
      </w:r>
      <w:r>
        <w:rPr>
          <w:b/>
          <w:color w:val="C00000"/>
          <w:w w:val="95"/>
          <w:sz w:val="21"/>
        </w:rPr>
        <w:t>重要建筑材料和设备采购</w:t>
      </w:r>
      <w:r>
        <w:rPr>
          <w:w w:val="95"/>
          <w:sz w:val="21"/>
        </w:rPr>
        <w:t>的</w:t>
      </w:r>
      <w:r>
        <w:rPr>
          <w:b/>
          <w:color w:val="C00000"/>
          <w:w w:val="95"/>
          <w:sz w:val="21"/>
        </w:rPr>
        <w:t>最主要</w:t>
      </w:r>
      <w:r>
        <w:rPr>
          <w:w w:val="95"/>
          <w:sz w:val="21"/>
        </w:rPr>
        <w:t>方式。</w:t>
      </w:r>
    </w:p>
    <w:p>
      <w:pPr>
        <w:pStyle w:val="BodyText"/>
        <w:spacing w:before="73"/>
        <w:ind w:left="635"/>
      </w:pPr>
      <w:bookmarkStart w:id="42" w:name="②优点：有利于规范买卖双方的交易行为、扩大比选范围、实现公平竞争。"/>
      <w:bookmarkEnd w:id="42"/>
      <w:r>
        <w:rPr>
          <w:w w:val="95"/>
        </w:rPr>
        <w:t>②优点：有利于规范买卖双方的交易行为、扩大比选范围、实现公平竞争。</w:t>
      </w:r>
    </w:p>
    <w:p>
      <w:pPr>
        <w:pStyle w:val="BodyText"/>
        <w:spacing w:before="74"/>
        <w:ind w:left="635"/>
      </w:pPr>
      <w:r>
        <w:rPr>
          <w:w w:val="95"/>
        </w:rPr>
        <w:t>③缺点：程序</w:t>
      </w:r>
      <w:r>
        <w:rPr>
          <w:b/>
          <w:color w:val="C00000"/>
          <w:w w:val="95"/>
        </w:rPr>
        <w:t>复杂</w:t>
      </w:r>
      <w:r>
        <w:rPr>
          <w:w w:val="95"/>
        </w:rPr>
        <w:t>、工作量</w:t>
      </w:r>
      <w:r>
        <w:rPr>
          <w:b/>
          <w:color w:val="C00000"/>
          <w:w w:val="95"/>
        </w:rPr>
        <w:t>大</w:t>
      </w:r>
      <w:r>
        <w:rPr>
          <w:w w:val="95"/>
        </w:rPr>
        <w:t>、周期</w:t>
      </w:r>
      <w:r>
        <w:rPr>
          <w:b/>
          <w:color w:val="C00000"/>
          <w:w w:val="95"/>
        </w:rPr>
        <w:t>长</w:t>
      </w:r>
      <w:r>
        <w:rPr>
          <w:w w:val="95"/>
        </w:rPr>
        <w:t>、适用于较为充分竞争的市场环境。</w:t>
      </w:r>
    </w:p>
    <w:p>
      <w:pPr>
        <w:spacing w:after="0"/>
        <w:sectPr>
          <w:footerReference w:type="default" r:id="rId25"/>
          <w:pgSz w:w="11910" w:h="8390" w:orient="landscape"/>
          <w:pgMar w:top="220" w:right="580" w:bottom="1180" w:left="680" w:header="0" w:footer="886" w:gutter="0"/>
          <w:pgNumType w:start="21"/>
          <w:cols w:space="708"/>
        </w:sectPr>
      </w:pPr>
    </w:p>
    <w:p>
      <w:pPr>
        <w:pStyle w:val="BodyText"/>
        <w:rPr>
          <w:sz w:val="20"/>
        </w:rPr>
      </w:pPr>
      <w:r>
        <w:pict>
          <v:group id="docshapegroup177" o:spid="_x0000_s1180" style="width:38.9pt;height:74.7pt;margin-top:312pt;margin-left:554.85pt;mso-height-relative:page;mso-position-horizontal-relative:page;mso-position-vertical-relative:page;mso-width-relative:page;position:absolute;z-index:251712512" coordorigin="11097,6240" coordsize="778,1494">
            <v:shape id="docshape178" o:spid="_x0000_s1181" style="width:778;height:1215;left:11097;position:absolute;top:6519" coordorigin="11097,6519" coordsize="778,1215" path="m11875,7734l11309,7292,11289,7292,11289,7276,11097,7126,11875,6519,11875,7734xe" filled="t" fillcolor="#dd9545" stroked="f">
              <v:path arrowok="t"/>
            </v:shape>
            <v:shape id="docshape179" o:spid="_x0000_s1182" style="width:778;height:1215;left:11097;position:absolute;top:6240" coordorigin="11097,6240" coordsize="778,1215" path="m11875,7455l11097,6847,11875,6240,11875,7455xe" filled="t" fillcolor="#c3542f" stroked="f">
              <v:path arrowok="t"/>
            </v:shape>
          </v:group>
        </w:pict>
      </w:r>
      <w:r>
        <w:pict>
          <v:group id="docshapegroup180" o:spid="_x0000_s1183" style="width:36.85pt;height:69.25pt;margin-top:11.9pt;margin-left:0;mso-height-relative:page;mso-position-horizontal-relative:page;mso-position-vertical-relative:page;mso-width-relative:page;position:absolute;z-index:-251602944" coordorigin="0,238" coordsize="737,1385">
            <v:shape id="docshape181" o:spid="_x0000_s1184" style="width:737;height:1206;position:absolute;top:238" coordorigin="0,238" coordsize="737,1206" path="m,1444l,238,737,841,,1444xe" filled="t" fillcolor="#dd9545" stroked="f">
              <v:path arrowok="t"/>
            </v:shape>
            <v:shape id="docshape182" o:spid="_x0000_s1185"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line="283" w:lineRule="auto"/>
        <w:ind w:left="215" w:right="7156" w:firstLine="0"/>
        <w:jc w:val="left"/>
        <w:rPr>
          <w:b/>
          <w:sz w:val="21"/>
        </w:rPr>
      </w:pPr>
      <w:bookmarkStart w:id="43" w:name="（二）材料设备采购招标内容特点"/>
      <w:bookmarkEnd w:id="43"/>
      <w:r>
        <w:rPr>
          <w:sz w:val="21"/>
        </w:rPr>
        <w:t>（二）材料设备采购招标内容特点</w:t>
      </w:r>
      <w:r>
        <w:rPr>
          <w:spacing w:val="1"/>
          <w:sz w:val="21"/>
        </w:rPr>
        <w:t xml:space="preserve"> </w:t>
      </w:r>
      <w:bookmarkStart w:id="44" w:name="1、买卖合同（一手交钱一手交货）"/>
      <w:bookmarkEnd w:id="44"/>
      <w:r>
        <w:rPr>
          <w:w w:val="95"/>
          <w:sz w:val="21"/>
        </w:rPr>
        <w:t>1、买卖合同</w:t>
      </w:r>
      <w:r>
        <w:rPr>
          <w:b/>
          <w:color w:val="2D75B5"/>
          <w:w w:val="95"/>
          <w:sz w:val="21"/>
        </w:rPr>
        <w:t>（一手交钱一手交货）</w:t>
      </w:r>
    </w:p>
    <w:p>
      <w:pPr>
        <w:pStyle w:val="Heading2"/>
        <w:numPr>
          <w:ilvl w:val="1"/>
          <w:numId w:val="40"/>
        </w:numPr>
        <w:tabs>
          <w:tab w:val="left" w:pos="1180"/>
        </w:tabs>
        <w:spacing w:before="6" w:after="0" w:line="240" w:lineRule="auto"/>
        <w:ind w:left="1180" w:right="0" w:hanging="545"/>
        <w:jc w:val="left"/>
      </w:pPr>
      <w:bookmarkStart w:id="45" w:name="（1）采购大宗建筑材料或通用型批量生产的中小型设备"/>
      <w:bookmarkEnd w:id="45"/>
      <w:r>
        <w:rPr>
          <w:color w:val="C00000"/>
          <w:w w:val="95"/>
        </w:rPr>
        <w:t>采购大宗建筑材料或通用型批量生产的中小型设备</w:t>
      </w:r>
    </w:p>
    <w:p>
      <w:pPr>
        <w:pStyle w:val="ListParagraph"/>
        <w:numPr>
          <w:ilvl w:val="1"/>
          <w:numId w:val="40"/>
        </w:numPr>
        <w:tabs>
          <w:tab w:val="left" w:pos="1179"/>
        </w:tabs>
        <w:spacing w:before="74" w:after="0" w:line="283" w:lineRule="auto"/>
        <w:ind w:left="215" w:right="1065" w:firstLine="420"/>
        <w:jc w:val="left"/>
        <w:rPr>
          <w:b/>
          <w:sz w:val="21"/>
        </w:rPr>
      </w:pPr>
      <w:bookmarkStart w:id="46" w:name="（2）招标时一般侧重对投标人的商业信誉、报价和交货期限等方面的比较，较多考虑价格"/>
      <w:bookmarkEnd w:id="46"/>
      <w:r>
        <w:rPr>
          <w:w w:val="95"/>
          <w:sz w:val="21"/>
        </w:rPr>
        <w:t>招标时一般</w:t>
      </w:r>
      <w:r>
        <w:rPr>
          <w:b/>
          <w:color w:val="C00000"/>
          <w:w w:val="95"/>
          <w:sz w:val="21"/>
        </w:rPr>
        <w:t>侧重</w:t>
      </w:r>
      <w:r>
        <w:rPr>
          <w:w w:val="95"/>
          <w:sz w:val="21"/>
        </w:rPr>
        <w:t>对投标人的</w:t>
      </w:r>
      <w:r>
        <w:rPr>
          <w:b/>
          <w:color w:val="C00000"/>
          <w:w w:val="95"/>
          <w:sz w:val="21"/>
        </w:rPr>
        <w:t>商业信誉</w:t>
      </w:r>
      <w:r>
        <w:rPr>
          <w:w w:val="95"/>
          <w:sz w:val="21"/>
        </w:rPr>
        <w:t>、</w:t>
      </w:r>
      <w:r>
        <w:rPr>
          <w:b/>
          <w:color w:val="C00000"/>
          <w:w w:val="95"/>
          <w:sz w:val="21"/>
        </w:rPr>
        <w:t>报价和交货期限</w:t>
      </w:r>
      <w:r>
        <w:rPr>
          <w:w w:val="95"/>
          <w:sz w:val="21"/>
        </w:rPr>
        <w:t>等方面的比较，较多考虑价格因素。</w:t>
      </w:r>
      <w:r>
        <w:rPr>
          <w:spacing w:val="89"/>
          <w:sz w:val="21"/>
        </w:rPr>
        <w:t xml:space="preserve"> </w:t>
      </w:r>
      <w:r>
        <w:rPr>
          <w:spacing w:val="90"/>
          <w:sz w:val="21"/>
        </w:rPr>
        <w:t xml:space="preserve"> </w:t>
      </w:r>
      <w:bookmarkStart w:id="47" w:name="2、加工承揽合同（订购，不能一手交钱一手交货）"/>
      <w:bookmarkEnd w:id="47"/>
      <w:r>
        <w:rPr>
          <w:sz w:val="21"/>
        </w:rPr>
        <w:t>2、加工承揽合同</w:t>
      </w:r>
      <w:r>
        <w:rPr>
          <w:b/>
          <w:color w:val="2D75B5"/>
          <w:sz w:val="21"/>
        </w:rPr>
        <w:t>（订购，不能一手交钱一手交货）</w:t>
      </w:r>
    </w:p>
    <w:p>
      <w:pPr>
        <w:pStyle w:val="Heading2"/>
        <w:numPr>
          <w:ilvl w:val="0"/>
          <w:numId w:val="16"/>
        </w:numPr>
        <w:tabs>
          <w:tab w:val="left" w:pos="1180"/>
        </w:tabs>
        <w:spacing w:before="5" w:after="0" w:line="240" w:lineRule="auto"/>
        <w:ind w:left="1180" w:right="0" w:hanging="545"/>
        <w:jc w:val="left"/>
      </w:pPr>
      <w:bookmarkStart w:id="48" w:name="（1）订购非批量生产的大型复杂机组设备、特殊用途的大型非标准部件"/>
      <w:bookmarkEnd w:id="48"/>
      <w:r>
        <w:rPr>
          <w:color w:val="C00000"/>
          <w:w w:val="95"/>
        </w:rPr>
        <w:t>订购非批量生产的大型复杂机组设备、特殊用途的大型非标准部件</w:t>
      </w:r>
    </w:p>
    <w:p>
      <w:pPr>
        <w:pStyle w:val="ListParagraph"/>
        <w:numPr>
          <w:ilvl w:val="0"/>
          <w:numId w:val="16"/>
        </w:numPr>
        <w:tabs>
          <w:tab w:val="left" w:pos="1179"/>
        </w:tabs>
        <w:spacing w:before="74" w:after="0" w:line="285" w:lineRule="auto"/>
        <w:ind w:left="215" w:right="316" w:firstLine="420"/>
        <w:jc w:val="both"/>
        <w:rPr>
          <w:sz w:val="21"/>
        </w:rPr>
      </w:pPr>
      <w:bookmarkStart w:id="49" w:name="（2）中标人承担的工作往往涵盖从生产、交货、安装到调试、保修的全过程，招标时要对"/>
      <w:bookmarkEnd w:id="49"/>
      <w:r>
        <w:rPr>
          <w:w w:val="95"/>
          <w:sz w:val="21"/>
        </w:rPr>
        <w:t>中标人承担的工作往往涵盖从生产、交货、安装到调试、保修的</w:t>
      </w:r>
      <w:r>
        <w:rPr>
          <w:b/>
          <w:color w:val="C00000"/>
          <w:w w:val="95"/>
          <w:sz w:val="21"/>
        </w:rPr>
        <w:t>全过程</w:t>
      </w:r>
      <w:r>
        <w:rPr>
          <w:w w:val="95"/>
          <w:sz w:val="21"/>
        </w:rPr>
        <w:t>，招标时要对投标人的商业信</w:t>
      </w:r>
      <w:r>
        <w:rPr>
          <w:spacing w:val="117"/>
          <w:sz w:val="21"/>
        </w:rPr>
        <w:t xml:space="preserve"> </w:t>
      </w:r>
      <w:r>
        <w:rPr>
          <w:w w:val="95"/>
          <w:sz w:val="21"/>
        </w:rPr>
        <w:t>誉、加工制造能力、报价、交货期限和方式、安装（或安装指导）、调试、保修及操作人员培训等各方面条件</w:t>
      </w:r>
      <w:r>
        <w:rPr>
          <w:spacing w:val="104"/>
          <w:sz w:val="21"/>
        </w:rPr>
        <w:t xml:space="preserve"> </w:t>
      </w:r>
      <w:r>
        <w:rPr>
          <w:spacing w:val="105"/>
          <w:sz w:val="21"/>
        </w:rPr>
        <w:t xml:space="preserve"> </w:t>
      </w:r>
      <w:r>
        <w:rPr>
          <w:sz w:val="21"/>
        </w:rPr>
        <w:t>进行</w:t>
      </w:r>
      <w:r>
        <w:rPr>
          <w:b/>
          <w:color w:val="C00000"/>
          <w:sz w:val="21"/>
        </w:rPr>
        <w:t>全面比较</w:t>
      </w:r>
      <w:r>
        <w:rPr>
          <w:sz w:val="21"/>
        </w:rPr>
        <w:t>，更多</w:t>
      </w:r>
      <w:r>
        <w:rPr>
          <w:b/>
          <w:color w:val="C00000"/>
          <w:sz w:val="21"/>
        </w:rPr>
        <w:t>考虑性价比</w:t>
      </w:r>
      <w:r>
        <w:rPr>
          <w:sz w:val="21"/>
        </w:rPr>
        <w:t>。</w:t>
      </w:r>
    </w:p>
    <w:p>
      <w:pPr>
        <w:spacing w:before="0" w:line="283" w:lineRule="auto"/>
        <w:ind w:left="215" w:right="6858" w:firstLine="0"/>
        <w:jc w:val="left"/>
        <w:rPr>
          <w:b/>
          <w:sz w:val="21"/>
        </w:rPr>
      </w:pPr>
      <w:r>
        <w:rPr>
          <w:w w:val="95"/>
          <w:sz w:val="21"/>
        </w:rPr>
        <w:t>（三）材料设备采购批次标包划分特点</w:t>
      </w:r>
      <w:r>
        <w:rPr>
          <w:spacing w:val="4"/>
          <w:w w:val="95"/>
          <w:sz w:val="21"/>
        </w:rPr>
        <w:t xml:space="preserve"> </w:t>
      </w:r>
      <w:bookmarkStart w:id="50" w:name="1、标包划分（尽量划分居中）"/>
      <w:bookmarkEnd w:id="50"/>
      <w:r>
        <w:rPr>
          <w:sz w:val="21"/>
        </w:rPr>
        <w:t>1、</w:t>
      </w:r>
      <w:r>
        <w:rPr>
          <w:b/>
          <w:color w:val="C00000"/>
          <w:sz w:val="21"/>
        </w:rPr>
        <w:t>标包</w:t>
      </w:r>
      <w:r>
        <w:rPr>
          <w:sz w:val="21"/>
        </w:rPr>
        <w:t>划分</w:t>
      </w:r>
      <w:r>
        <w:rPr>
          <w:b/>
          <w:color w:val="2D75B5"/>
          <w:sz w:val="21"/>
        </w:rPr>
        <w:t>（尽量划分居中）</w:t>
      </w:r>
    </w:p>
    <w:p>
      <w:pPr>
        <w:spacing w:before="4"/>
        <w:ind w:left="635" w:right="0" w:firstLine="0"/>
        <w:jc w:val="left"/>
        <w:rPr>
          <w:sz w:val="21"/>
        </w:rPr>
      </w:pPr>
      <w:bookmarkStart w:id="51" w:name="要考虑工程实际需要，保证货物质量和供货时间，并有利于吸引多家投标人参加竞争。"/>
      <w:bookmarkEnd w:id="51"/>
      <w:r>
        <w:rPr>
          <w:w w:val="95"/>
          <w:sz w:val="21"/>
        </w:rPr>
        <w:t>要考虑工程实际需要，保证</w:t>
      </w:r>
      <w:r>
        <w:rPr>
          <w:b/>
          <w:color w:val="C00000"/>
          <w:w w:val="95"/>
          <w:sz w:val="21"/>
        </w:rPr>
        <w:t>货物质量</w:t>
      </w:r>
      <w:r>
        <w:rPr>
          <w:w w:val="95"/>
          <w:sz w:val="21"/>
        </w:rPr>
        <w:t>和</w:t>
      </w:r>
      <w:r>
        <w:rPr>
          <w:b/>
          <w:color w:val="C00000"/>
          <w:w w:val="95"/>
          <w:sz w:val="21"/>
        </w:rPr>
        <w:t>供货时间</w:t>
      </w:r>
      <w:r>
        <w:rPr>
          <w:w w:val="95"/>
          <w:sz w:val="21"/>
        </w:rPr>
        <w:t>，并有利于</w:t>
      </w:r>
      <w:r>
        <w:rPr>
          <w:b/>
          <w:color w:val="C00000"/>
          <w:w w:val="95"/>
          <w:sz w:val="21"/>
        </w:rPr>
        <w:t>吸引多家</w:t>
      </w:r>
      <w:r>
        <w:rPr>
          <w:w w:val="95"/>
          <w:sz w:val="21"/>
        </w:rPr>
        <w:t>投标人参加竞争。</w:t>
      </w:r>
    </w:p>
    <w:p>
      <w:pPr>
        <w:spacing w:before="73"/>
        <w:ind w:left="635" w:right="0" w:firstLine="0"/>
        <w:jc w:val="left"/>
        <w:rPr>
          <w:sz w:val="21"/>
        </w:rPr>
      </w:pPr>
      <w:bookmarkStart w:id="52" w:name="①标包划分过大：中小供应厂商无法满足供应；②标包划分过小：缺乏对大型供应厂商的吸"/>
      <w:bookmarkEnd w:id="52"/>
      <w:r>
        <w:rPr>
          <w:w w:val="95"/>
          <w:sz w:val="21"/>
        </w:rPr>
        <w:t>①标包划分</w:t>
      </w:r>
      <w:r>
        <w:rPr>
          <w:b/>
          <w:color w:val="C00000"/>
          <w:w w:val="95"/>
          <w:sz w:val="21"/>
        </w:rPr>
        <w:t>过大</w:t>
      </w:r>
      <w:r>
        <w:rPr>
          <w:w w:val="95"/>
          <w:sz w:val="21"/>
        </w:rPr>
        <w:t>：中小供应厂商</w:t>
      </w:r>
      <w:r>
        <w:rPr>
          <w:b/>
          <w:color w:val="C00000"/>
          <w:w w:val="95"/>
          <w:sz w:val="21"/>
        </w:rPr>
        <w:t>无法满足</w:t>
      </w:r>
      <w:r>
        <w:rPr>
          <w:w w:val="95"/>
          <w:sz w:val="21"/>
        </w:rPr>
        <w:t>供应；②标包划分</w:t>
      </w:r>
      <w:r>
        <w:rPr>
          <w:b/>
          <w:color w:val="C00000"/>
          <w:w w:val="95"/>
          <w:sz w:val="21"/>
        </w:rPr>
        <w:t>过小</w:t>
      </w:r>
      <w:r>
        <w:rPr>
          <w:w w:val="95"/>
          <w:sz w:val="21"/>
        </w:rPr>
        <w:t>：</w:t>
      </w:r>
      <w:r>
        <w:rPr>
          <w:b/>
          <w:color w:val="C00000"/>
          <w:w w:val="95"/>
          <w:sz w:val="21"/>
        </w:rPr>
        <w:t>缺乏</w:t>
      </w:r>
      <w:r>
        <w:rPr>
          <w:w w:val="95"/>
          <w:sz w:val="21"/>
        </w:rPr>
        <w:t>对大型供应厂商的</w:t>
      </w:r>
      <w:r>
        <w:rPr>
          <w:b/>
          <w:color w:val="C00000"/>
          <w:w w:val="95"/>
          <w:sz w:val="21"/>
        </w:rPr>
        <w:t>吸引力</w:t>
      </w:r>
      <w:r>
        <w:rPr>
          <w:w w:val="95"/>
          <w:sz w:val="21"/>
        </w:rPr>
        <w:t>。</w:t>
      </w:r>
    </w:p>
    <w:p>
      <w:pPr>
        <w:spacing w:after="0"/>
        <w:jc w:val="left"/>
        <w:rPr>
          <w:sz w:val="21"/>
        </w:rPr>
        <w:sectPr>
          <w:footerReference w:type="default" r:id="rId26"/>
          <w:pgSz w:w="11910" w:h="8390" w:orient="landscape"/>
          <w:pgMar w:top="220" w:right="580" w:bottom="1180" w:left="680" w:header="0" w:footer="886" w:gutter="0"/>
          <w:pgNumType w:start="22"/>
          <w:cols w:space="708"/>
        </w:sectPr>
      </w:pPr>
    </w:p>
    <w:p>
      <w:pPr>
        <w:pStyle w:val="BodyText"/>
        <w:rPr>
          <w:sz w:val="20"/>
        </w:rPr>
      </w:pPr>
      <w:r>
        <w:pict>
          <v:group id="docshapegroup183" o:spid="_x0000_s1186" style="width:38.9pt;height:74.7pt;margin-top:312pt;margin-left:554.85pt;mso-height-relative:page;mso-position-horizontal-relative:page;mso-position-vertical-relative:page;mso-width-relative:page;position:absolute;z-index:251714560" coordorigin="11097,6240" coordsize="778,1494">
            <v:shape id="docshape184" o:spid="_x0000_s1187" style="width:778;height:1215;left:11097;position:absolute;top:6519" coordorigin="11097,6519" coordsize="778,1215" path="m11875,7734l11309,7292,11289,7292,11289,7276,11097,7126,11875,6519,11875,7734xe" filled="t" fillcolor="#dd9545" stroked="f">
              <v:path arrowok="t"/>
            </v:shape>
            <v:shape id="docshape185" o:spid="_x0000_s1188" style="width:778;height:1215;left:11097;position:absolute;top:6240" coordorigin="11097,6240" coordsize="778,1215" path="m11875,7455l11097,6847,11875,6240,11875,7455xe" filled="t" fillcolor="#c3542f" stroked="f">
              <v:path arrowok="t"/>
            </v:shape>
          </v:group>
        </w:pict>
      </w:r>
      <w:r>
        <w:pict>
          <v:group id="docshapegroup186" o:spid="_x0000_s1189" style="width:36.85pt;height:69.25pt;margin-top:11.9pt;margin-left:0;mso-height-relative:page;mso-position-horizontal-relative:page;mso-position-vertical-relative:page;mso-width-relative:page;position:absolute;z-index:-251600896" coordorigin="0,238" coordsize="737,1385">
            <v:shape id="docshape187" o:spid="_x0000_s1190" style="width:737;height:1206;position:absolute;top:238" coordorigin="0,238" coordsize="737,1206" path="m,1444l,238,737,841,,1444xe" filled="t" fillcolor="#dd9545" stroked="f">
              <v:path arrowok="t"/>
            </v:shape>
            <v:shape id="docshape188" o:spid="_x0000_s1191"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spacing w:before="44"/>
        <w:ind w:left="215" w:right="0" w:firstLine="0"/>
        <w:jc w:val="left"/>
        <w:rPr>
          <w:b/>
          <w:sz w:val="21"/>
        </w:rPr>
      </w:pPr>
      <w:bookmarkStart w:id="53" w:name="2、投标的基本单位是标包"/>
      <w:bookmarkEnd w:id="53"/>
      <w:r>
        <w:rPr>
          <w:w w:val="95"/>
          <w:sz w:val="21"/>
        </w:rPr>
        <w:t>2、投标的</w:t>
      </w:r>
      <w:r>
        <w:rPr>
          <w:b/>
          <w:color w:val="C00000"/>
          <w:w w:val="95"/>
          <w:sz w:val="21"/>
        </w:rPr>
        <w:t>基本单位是标包</w:t>
      </w:r>
    </w:p>
    <w:p>
      <w:pPr>
        <w:spacing w:before="71"/>
        <w:ind w:left="635" w:right="0" w:firstLine="0"/>
        <w:jc w:val="left"/>
        <w:rPr>
          <w:sz w:val="21"/>
        </w:rPr>
      </w:pPr>
      <w:bookmarkStart w:id="54" w:name="每次招标时，可依据设备材料的性质只发一个标包或几个标包同时招标。"/>
      <w:bookmarkEnd w:id="54"/>
      <w:r>
        <w:rPr>
          <w:w w:val="95"/>
          <w:sz w:val="21"/>
        </w:rPr>
        <w:t>每次招标时，可依据设备材料的性质</w:t>
      </w:r>
      <w:r>
        <w:rPr>
          <w:b/>
          <w:color w:val="C00000"/>
          <w:w w:val="95"/>
          <w:sz w:val="21"/>
        </w:rPr>
        <w:t>只发一个标包或几个标包同时招标</w:t>
      </w:r>
      <w:r>
        <w:rPr>
          <w:w w:val="95"/>
          <w:sz w:val="21"/>
        </w:rPr>
        <w:t>。</w:t>
      </w:r>
    </w:p>
    <w:p>
      <w:pPr>
        <w:spacing w:before="74"/>
        <w:ind w:left="635" w:right="0" w:firstLine="0"/>
        <w:jc w:val="left"/>
        <w:rPr>
          <w:sz w:val="21"/>
        </w:rPr>
      </w:pPr>
      <w:bookmarkStart w:id="55" w:name="投标人可以投其中一个或其中的几个标包，但不能对一个标包的其中几项进行投标。"/>
      <w:bookmarkEnd w:id="55"/>
      <w:r>
        <w:rPr>
          <w:w w:val="95"/>
          <w:sz w:val="21"/>
        </w:rPr>
        <w:t>投标人可以投</w:t>
      </w:r>
      <w:r>
        <w:rPr>
          <w:b/>
          <w:color w:val="C00000"/>
          <w:w w:val="95"/>
          <w:sz w:val="21"/>
        </w:rPr>
        <w:t>其中一个</w:t>
      </w:r>
      <w:r>
        <w:rPr>
          <w:w w:val="95"/>
          <w:sz w:val="21"/>
        </w:rPr>
        <w:t>或</w:t>
      </w:r>
      <w:r>
        <w:rPr>
          <w:b/>
          <w:color w:val="C00000"/>
          <w:w w:val="95"/>
          <w:sz w:val="21"/>
        </w:rPr>
        <w:t>其中的几个</w:t>
      </w:r>
      <w:r>
        <w:rPr>
          <w:w w:val="95"/>
          <w:sz w:val="21"/>
        </w:rPr>
        <w:t>标包，</w:t>
      </w:r>
      <w:r>
        <w:rPr>
          <w:b/>
          <w:color w:val="C00000"/>
          <w:w w:val="95"/>
          <w:sz w:val="21"/>
        </w:rPr>
        <w:t>但不能对一个标包的其中几项进行投标</w:t>
      </w:r>
      <w:r>
        <w:rPr>
          <w:w w:val="95"/>
          <w:sz w:val="21"/>
        </w:rPr>
        <w:t>。</w:t>
      </w:r>
    </w:p>
    <w:p>
      <w:pPr>
        <w:pStyle w:val="Heading1"/>
        <w:spacing w:before="32"/>
      </w:pPr>
      <w:bookmarkStart w:id="56" w:name="强训点10：设备采购招标"/>
      <w:bookmarkEnd w:id="56"/>
      <w:bookmarkStart w:id="57" w:name="_bookmark9"/>
      <w:bookmarkEnd w:id="57"/>
      <w:r>
        <w:rPr>
          <w:color w:val="FFFFFF"/>
          <w:spacing w:val="-3"/>
          <w:shd w:val="clear" w:color="auto" w:fill="C55811"/>
        </w:rPr>
        <w:t xml:space="preserve">强训点 </w:t>
      </w:r>
      <w:r>
        <w:rPr>
          <w:color w:val="FFFFFF"/>
          <w:shd w:val="clear" w:color="auto" w:fill="C55811"/>
        </w:rPr>
        <w:t>10：设备采购招标</w:t>
      </w:r>
    </w:p>
    <w:p>
      <w:pPr>
        <w:pStyle w:val="Heading2"/>
      </w:pPr>
      <w:r>
        <w:t>关键词：服务、组装、试运行、一定期限</w:t>
      </w:r>
    </w:p>
    <w:p>
      <w:pPr>
        <w:pStyle w:val="BodyText"/>
        <w:spacing w:before="74"/>
        <w:ind w:left="215"/>
      </w:pPr>
      <w:r>
        <w:t>一、设备招标供货及服务要求</w:t>
      </w:r>
    </w:p>
    <w:p>
      <w:pPr>
        <w:pStyle w:val="BodyText"/>
        <w:spacing w:before="73"/>
        <w:ind w:left="740"/>
      </w:pPr>
      <w:r>
        <w:t>包括“</w:t>
      </w:r>
      <w:r>
        <w:rPr>
          <w:b/>
          <w:color w:val="C00000"/>
        </w:rPr>
        <w:t>伴随服务</w:t>
      </w:r>
      <w:r>
        <w:t>”，即根据合同规定卖方承担与供货有关的辅助服务，一般包括：</w:t>
      </w:r>
    </w:p>
    <w:p>
      <w:pPr>
        <w:pStyle w:val="ListParagraph"/>
        <w:numPr>
          <w:ilvl w:val="0"/>
          <w:numId w:val="17"/>
        </w:numPr>
        <w:tabs>
          <w:tab w:val="left" w:pos="1180"/>
        </w:tabs>
        <w:spacing w:before="72" w:after="0" w:line="240" w:lineRule="auto"/>
        <w:ind w:left="1180" w:right="0" w:hanging="545"/>
        <w:jc w:val="left"/>
        <w:rPr>
          <w:sz w:val="21"/>
        </w:rPr>
      </w:pPr>
      <w:r>
        <w:rPr>
          <w:b/>
          <w:color w:val="C00000"/>
          <w:sz w:val="21"/>
        </w:rPr>
        <w:t>实施</w:t>
      </w:r>
      <w:r>
        <w:rPr>
          <w:sz w:val="21"/>
        </w:rPr>
        <w:t>或</w:t>
      </w:r>
      <w:r>
        <w:rPr>
          <w:b/>
          <w:color w:val="C00000"/>
          <w:sz w:val="21"/>
        </w:rPr>
        <w:t>监督</w:t>
      </w:r>
      <w:r>
        <w:rPr>
          <w:sz w:val="21"/>
        </w:rPr>
        <w:t>所供货物的现场</w:t>
      </w:r>
      <w:r>
        <w:rPr>
          <w:b/>
          <w:color w:val="C00000"/>
          <w:sz w:val="21"/>
        </w:rPr>
        <w:t>组装和试运行</w:t>
      </w:r>
      <w:r>
        <w:rPr>
          <w:sz w:val="21"/>
        </w:rPr>
        <w:t>；</w:t>
      </w:r>
    </w:p>
    <w:p>
      <w:pPr>
        <w:pStyle w:val="ListParagraph"/>
        <w:numPr>
          <w:ilvl w:val="0"/>
          <w:numId w:val="17"/>
        </w:numPr>
        <w:tabs>
          <w:tab w:val="left" w:pos="1180"/>
        </w:tabs>
        <w:spacing w:before="73" w:after="0" w:line="240" w:lineRule="auto"/>
        <w:ind w:left="1180" w:right="0" w:hanging="545"/>
        <w:jc w:val="left"/>
        <w:rPr>
          <w:sz w:val="21"/>
        </w:rPr>
      </w:pPr>
      <w:r>
        <w:rPr>
          <w:b/>
          <w:color w:val="C00000"/>
          <w:sz w:val="21"/>
        </w:rPr>
        <w:t>提供</w:t>
      </w:r>
      <w:r>
        <w:rPr>
          <w:sz w:val="21"/>
        </w:rPr>
        <w:t>货物组装和维修所需的</w:t>
      </w:r>
      <w:r>
        <w:rPr>
          <w:b/>
          <w:color w:val="C00000"/>
          <w:sz w:val="21"/>
        </w:rPr>
        <w:t>工具</w:t>
      </w:r>
      <w:r>
        <w:rPr>
          <w:sz w:val="21"/>
        </w:rPr>
        <w:t>；</w:t>
      </w:r>
    </w:p>
    <w:p>
      <w:pPr>
        <w:pStyle w:val="ListParagraph"/>
        <w:numPr>
          <w:ilvl w:val="0"/>
          <w:numId w:val="17"/>
        </w:numPr>
        <w:tabs>
          <w:tab w:val="left" w:pos="1179"/>
        </w:tabs>
        <w:spacing w:before="74" w:after="0" w:line="240" w:lineRule="auto"/>
        <w:ind w:left="1178" w:right="0" w:hanging="544"/>
        <w:jc w:val="left"/>
        <w:rPr>
          <w:sz w:val="21"/>
        </w:rPr>
      </w:pPr>
      <w:r>
        <w:rPr>
          <w:sz w:val="21"/>
        </w:rPr>
        <w:t>为所供货物的每一适当的</w:t>
      </w:r>
      <w:r>
        <w:rPr>
          <w:b/>
          <w:color w:val="C00000"/>
          <w:sz w:val="21"/>
        </w:rPr>
        <w:t>单台</w:t>
      </w:r>
      <w:r>
        <w:rPr>
          <w:sz w:val="21"/>
        </w:rPr>
        <w:t>设备提供详细的</w:t>
      </w:r>
      <w:r>
        <w:rPr>
          <w:b/>
          <w:color w:val="C00000"/>
          <w:sz w:val="21"/>
        </w:rPr>
        <w:t>操作</w:t>
      </w:r>
      <w:r>
        <w:rPr>
          <w:sz w:val="21"/>
        </w:rPr>
        <w:t>和</w:t>
      </w:r>
      <w:r>
        <w:rPr>
          <w:b/>
          <w:color w:val="C00000"/>
          <w:sz w:val="21"/>
        </w:rPr>
        <w:t>维护手册</w:t>
      </w:r>
      <w:r>
        <w:rPr>
          <w:sz w:val="21"/>
        </w:rPr>
        <w:t>；</w:t>
      </w:r>
    </w:p>
    <w:p>
      <w:pPr>
        <w:pStyle w:val="ListParagraph"/>
        <w:numPr>
          <w:ilvl w:val="0"/>
          <w:numId w:val="17"/>
        </w:numPr>
        <w:tabs>
          <w:tab w:val="left" w:pos="1179"/>
        </w:tabs>
        <w:spacing w:before="71" w:after="0" w:line="285" w:lineRule="auto"/>
        <w:ind w:left="215" w:right="314" w:firstLine="420"/>
        <w:jc w:val="left"/>
        <w:rPr>
          <w:sz w:val="21"/>
        </w:rPr>
      </w:pPr>
      <w:r>
        <w:rPr>
          <w:sz w:val="21"/>
        </w:rPr>
        <w:t>在双方</w:t>
      </w:r>
      <w:r>
        <w:rPr>
          <w:b/>
          <w:color w:val="C00000"/>
          <w:sz w:val="21"/>
        </w:rPr>
        <w:t>商定的一定期限内</w:t>
      </w:r>
      <w:r>
        <w:rPr>
          <w:sz w:val="21"/>
        </w:rPr>
        <w:t>对所供货物实施运行或监督或维护或修理，但该服务并</w:t>
      </w:r>
      <w:r>
        <w:rPr>
          <w:b/>
          <w:color w:val="C00000"/>
          <w:sz w:val="21"/>
        </w:rPr>
        <w:t>不能免除</w:t>
      </w:r>
      <w:r>
        <w:rPr>
          <w:sz w:val="21"/>
        </w:rPr>
        <w:t>卖方在合同保证期内所承担的义务；</w:t>
      </w:r>
    </w:p>
    <w:p>
      <w:pPr>
        <w:pStyle w:val="ListParagraph"/>
        <w:numPr>
          <w:ilvl w:val="0"/>
          <w:numId w:val="17"/>
        </w:numPr>
        <w:tabs>
          <w:tab w:val="left" w:pos="759"/>
        </w:tabs>
        <w:spacing w:before="1" w:after="0" w:line="240" w:lineRule="auto"/>
        <w:ind w:left="758" w:right="0" w:hanging="544"/>
        <w:jc w:val="left"/>
        <w:rPr>
          <w:sz w:val="21"/>
        </w:rPr>
      </w:pPr>
      <w:r>
        <w:rPr>
          <w:sz w:val="21"/>
        </w:rPr>
        <w:t>在卖方厂家和/或在项目现场就所供货物的</w:t>
      </w:r>
      <w:r>
        <w:rPr>
          <w:b/>
          <w:color w:val="C00000"/>
          <w:sz w:val="21"/>
        </w:rPr>
        <w:t>组装、试运行、运行、维护</w:t>
      </w:r>
      <w:r>
        <w:rPr>
          <w:sz w:val="21"/>
        </w:rPr>
        <w:t>和/或修理对</w:t>
      </w:r>
      <w:r>
        <w:rPr>
          <w:b/>
          <w:color w:val="C00000"/>
          <w:sz w:val="21"/>
        </w:rPr>
        <w:t>买方人员进行培训</w:t>
      </w:r>
      <w:r>
        <w:rPr>
          <w:sz w:val="21"/>
        </w:rPr>
        <w:t>。</w:t>
      </w:r>
    </w:p>
    <w:p>
      <w:pPr>
        <w:spacing w:after="0" w:line="240" w:lineRule="auto"/>
        <w:jc w:val="left"/>
        <w:rPr>
          <w:sz w:val="21"/>
        </w:rPr>
        <w:sectPr>
          <w:footerReference w:type="default" r:id="rId27"/>
          <w:pgSz w:w="11910" w:h="8390" w:orient="landscape"/>
          <w:pgMar w:top="220" w:right="580" w:bottom="1180" w:left="680" w:header="0" w:footer="886" w:gutter="0"/>
          <w:pgNumType w:start="23"/>
          <w:cols w:space="708"/>
        </w:sectPr>
      </w:pPr>
    </w:p>
    <w:p>
      <w:pPr>
        <w:pStyle w:val="BodyText"/>
        <w:rPr>
          <w:sz w:val="20"/>
        </w:rPr>
      </w:pPr>
      <w:r>
        <w:pict>
          <v:group id="docshapegroup189" o:spid="_x0000_s1192" style="width:38.9pt;height:74.7pt;margin-top:312pt;margin-left:554.85pt;mso-height-relative:page;mso-position-horizontal-relative:page;mso-position-vertical-relative:page;mso-width-relative:page;position:absolute;z-index:251716608" coordorigin="11097,6240" coordsize="778,1494">
            <v:shape id="docshape190" o:spid="_x0000_s1193" style="width:778;height:1215;left:11097;position:absolute;top:6519" coordorigin="11097,6519" coordsize="778,1215" path="m11875,7734l11309,7292,11289,7292,11289,7276,11097,7126,11875,6519,11875,7734xe" filled="t" fillcolor="#dd9545" stroked="f">
              <v:path arrowok="t"/>
            </v:shape>
            <v:shape id="docshape191" o:spid="_x0000_s1194" style="width:778;height:1215;left:11097;position:absolute;top:6240" coordorigin="11097,6240" coordsize="778,1215" path="m11875,7455l11097,6847,11875,6240,11875,7455xe" filled="t" fillcolor="#c3542f" stroked="f">
              <v:path arrowok="t"/>
            </v:shape>
          </v:group>
        </w:pict>
      </w:r>
      <w:r>
        <w:pict>
          <v:group id="docshapegroup192" o:spid="_x0000_s1195" style="width:36.85pt;height:69.25pt;margin-top:11.9pt;margin-left:0;mso-height-relative:page;mso-position-horizontal-relative:page;mso-position-vertical-relative:page;mso-width-relative:page;position:absolute;z-index:-251598848" coordorigin="0,238" coordsize="737,1385">
            <v:shape id="docshape193" o:spid="_x0000_s1196" style="width:737;height:1206;position:absolute;top:238" coordorigin="0,238" coordsize="737,1206" path="m,1444l,238,737,841,,1444xe" filled="t" fillcolor="#dd9545" stroked="f">
              <v:path arrowok="t"/>
            </v:shape>
            <v:shape id="docshape194" o:spid="_x0000_s1197"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Heading1"/>
      </w:pPr>
      <w:bookmarkStart w:id="58" w:name="_bookmark10"/>
      <w:bookmarkEnd w:id="58"/>
      <w:bookmarkStart w:id="59" w:name="强训点11：设备采购的评标"/>
      <w:bookmarkEnd w:id="59"/>
      <w:r>
        <w:rPr>
          <w:color w:val="FFFFFF"/>
          <w:spacing w:val="-3"/>
          <w:shd w:val="clear" w:color="auto" w:fill="C55811"/>
        </w:rPr>
        <w:t xml:space="preserve">强训点 </w:t>
      </w:r>
      <w:r>
        <w:rPr>
          <w:color w:val="FFFFFF"/>
          <w:shd w:val="clear" w:color="auto" w:fill="C55811"/>
        </w:rPr>
        <w:t>11：设备采购的评标</w:t>
      </w:r>
    </w:p>
    <w:p>
      <w:pPr>
        <w:pStyle w:val="Heading2"/>
      </w:pPr>
      <w:r>
        <w:t>关键词：燃料消耗费、备件及维修费用、寿命期残值</w:t>
      </w:r>
    </w:p>
    <w:p>
      <w:pPr>
        <w:pStyle w:val="BodyText"/>
        <w:spacing w:before="74"/>
        <w:ind w:left="215"/>
      </w:pPr>
      <w:r>
        <w:t>建设工程设备采购的评标也可采用综合评估法或评标价法。</w:t>
      </w:r>
    </w:p>
    <w:p>
      <w:pPr>
        <w:pStyle w:val="BodyText"/>
        <w:spacing w:before="73"/>
        <w:ind w:left="215"/>
      </w:pPr>
      <w:r>
        <w:t>（一）评标价法</w:t>
      </w:r>
    </w:p>
    <w:p>
      <w:pPr>
        <w:spacing w:before="72"/>
        <w:ind w:left="635" w:right="0" w:firstLine="0"/>
        <w:jc w:val="left"/>
        <w:rPr>
          <w:sz w:val="21"/>
        </w:rPr>
      </w:pPr>
      <w:bookmarkStart w:id="60" w:name="1、最低评标价法：本章第二节建设工程材料采购招标中列举"/>
      <w:bookmarkEnd w:id="60"/>
      <w:r>
        <w:rPr>
          <w:w w:val="95"/>
          <w:sz w:val="21"/>
        </w:rPr>
        <w:t>1、</w:t>
      </w:r>
      <w:r>
        <w:rPr>
          <w:b/>
          <w:color w:val="C00000"/>
          <w:w w:val="95"/>
          <w:sz w:val="21"/>
        </w:rPr>
        <w:t>最低评标价法</w:t>
      </w:r>
      <w:r>
        <w:rPr>
          <w:w w:val="95"/>
          <w:sz w:val="21"/>
        </w:rPr>
        <w:t>：本章第二节建设工程材料采购招标中列举</w:t>
      </w:r>
    </w:p>
    <w:p>
      <w:pPr>
        <w:pStyle w:val="Heading2"/>
        <w:spacing w:before="73"/>
        <w:ind w:left="635"/>
      </w:pPr>
      <w:bookmarkStart w:id="61" w:name="2、以设备寿命周期成本为基础的评标价法"/>
      <w:bookmarkEnd w:id="61"/>
      <w:r>
        <w:rPr>
          <w:b w:val="0"/>
          <w:w w:val="95"/>
        </w:rPr>
        <w:t>2、</w:t>
      </w:r>
      <w:r>
        <w:rPr>
          <w:color w:val="C00000"/>
          <w:w w:val="95"/>
        </w:rPr>
        <w:t>以设备寿命周期成本为基础的评标价法</w:t>
      </w:r>
    </w:p>
    <w:p>
      <w:pPr>
        <w:spacing w:before="74" w:line="285" w:lineRule="auto"/>
        <w:ind w:left="215" w:right="350" w:firstLine="420"/>
        <w:jc w:val="both"/>
        <w:rPr>
          <w:sz w:val="21"/>
        </w:rPr>
      </w:pPr>
      <w:bookmarkStart w:id="62" w:name="适用于采购生产线、成套设备、车辆等运行期内各种费用较高的货物，评标时可预先确定一"/>
      <w:bookmarkEnd w:id="62"/>
      <w:r>
        <w:rPr>
          <w:w w:val="95"/>
          <w:sz w:val="21"/>
        </w:rPr>
        <w:t>适用于采购生产线、成套设备、车辆等</w:t>
      </w:r>
      <w:r>
        <w:rPr>
          <w:b/>
          <w:color w:val="C00000"/>
          <w:w w:val="95"/>
          <w:sz w:val="21"/>
        </w:rPr>
        <w:t>运行期内各种费用较高的货物</w:t>
      </w:r>
      <w:r>
        <w:rPr>
          <w:w w:val="95"/>
          <w:sz w:val="21"/>
        </w:rPr>
        <w:t>，评标时可预先确定一个统一的设备</w:t>
      </w:r>
      <w:r>
        <w:rPr>
          <w:spacing w:val="82"/>
          <w:sz w:val="21"/>
        </w:rPr>
        <w:t xml:space="preserve"> </w:t>
      </w:r>
      <w:r>
        <w:rPr>
          <w:spacing w:val="83"/>
          <w:sz w:val="21"/>
        </w:rPr>
        <w:t xml:space="preserve"> </w:t>
      </w:r>
      <w:r>
        <w:rPr>
          <w:w w:val="95"/>
          <w:sz w:val="21"/>
        </w:rPr>
        <w:t>评审寿命期（短于实际寿命期），然后再根据投标书的实际情况在报价上</w:t>
      </w:r>
      <w:r>
        <w:rPr>
          <w:b/>
          <w:color w:val="C00000"/>
          <w:w w:val="95"/>
          <w:sz w:val="21"/>
        </w:rPr>
        <w:t>加上该年限运行期间所发生的各项费</w:t>
      </w:r>
      <w:r>
        <w:rPr>
          <w:b/>
          <w:color w:val="C00000"/>
          <w:spacing w:val="86"/>
          <w:sz w:val="21"/>
        </w:rPr>
        <w:t xml:space="preserve"> </w:t>
      </w:r>
      <w:r>
        <w:rPr>
          <w:b/>
          <w:color w:val="C00000"/>
          <w:spacing w:val="87"/>
          <w:sz w:val="21"/>
        </w:rPr>
        <w:t xml:space="preserve"> </w:t>
      </w:r>
      <w:r>
        <w:rPr>
          <w:b/>
          <w:color w:val="C00000"/>
          <w:sz w:val="21"/>
        </w:rPr>
        <w:t>用</w:t>
      </w:r>
      <w:r>
        <w:rPr>
          <w:sz w:val="21"/>
        </w:rPr>
        <w:t>，</w:t>
      </w:r>
      <w:r>
        <w:rPr>
          <w:b/>
          <w:color w:val="C00000"/>
          <w:sz w:val="21"/>
        </w:rPr>
        <w:t>再减去</w:t>
      </w:r>
      <w:r>
        <w:rPr>
          <w:sz w:val="21"/>
        </w:rPr>
        <w:t>寿命期末设备的</w:t>
      </w:r>
      <w:r>
        <w:rPr>
          <w:b/>
          <w:color w:val="C00000"/>
          <w:sz w:val="21"/>
        </w:rPr>
        <w:t>残值</w:t>
      </w:r>
      <w:r>
        <w:rPr>
          <w:sz w:val="21"/>
        </w:rPr>
        <w:t>。</w:t>
      </w:r>
    </w:p>
    <w:p>
      <w:pPr>
        <w:spacing w:before="0" w:line="283" w:lineRule="auto"/>
        <w:ind w:left="215" w:right="347" w:firstLine="420"/>
        <w:jc w:val="left"/>
        <w:rPr>
          <w:sz w:val="21"/>
        </w:rPr>
      </w:pPr>
      <w:bookmarkStart w:id="63" w:name="注：计算各项费用和残值时，均应按招标文件规定的贴现率折算成净现值。以贴现值计算的"/>
      <w:bookmarkEnd w:id="63"/>
      <w:r>
        <w:rPr>
          <w:w w:val="95"/>
          <w:sz w:val="21"/>
        </w:rPr>
        <w:t>注：计算各项费用和残值时，均应按招标文件规定的</w:t>
      </w:r>
      <w:r>
        <w:rPr>
          <w:b/>
          <w:color w:val="C00000"/>
          <w:w w:val="95"/>
          <w:sz w:val="21"/>
        </w:rPr>
        <w:t>贴现率</w:t>
      </w:r>
      <w:r>
        <w:rPr>
          <w:w w:val="95"/>
          <w:sz w:val="21"/>
        </w:rPr>
        <w:t>折算成净现值。以贴现值计算的费用包括：①</w:t>
      </w:r>
      <w:r>
        <w:rPr>
          <w:spacing w:val="78"/>
          <w:sz w:val="21"/>
        </w:rPr>
        <w:t xml:space="preserve"> </w:t>
      </w:r>
      <w:r>
        <w:rPr>
          <w:spacing w:val="79"/>
          <w:sz w:val="21"/>
        </w:rPr>
        <w:t xml:space="preserve"> </w:t>
      </w:r>
      <w:r>
        <w:rPr>
          <w:sz w:val="21"/>
        </w:rPr>
        <w:t>估算寿命期内所需的</w:t>
      </w:r>
      <w:r>
        <w:rPr>
          <w:b/>
          <w:color w:val="C00000"/>
          <w:sz w:val="21"/>
        </w:rPr>
        <w:t>燃料消耗费</w:t>
      </w:r>
      <w:r>
        <w:rPr>
          <w:sz w:val="21"/>
        </w:rPr>
        <w:t>；②估算寿命期内所需</w:t>
      </w:r>
      <w:r>
        <w:rPr>
          <w:b/>
          <w:color w:val="C00000"/>
          <w:sz w:val="21"/>
        </w:rPr>
        <w:t>备件及维修费用</w:t>
      </w:r>
      <w:r>
        <w:rPr>
          <w:sz w:val="21"/>
        </w:rPr>
        <w:t>；③估算</w:t>
      </w:r>
      <w:r>
        <w:rPr>
          <w:b/>
          <w:color w:val="C00000"/>
          <w:sz w:val="21"/>
        </w:rPr>
        <w:t>寿命期残值</w:t>
      </w:r>
      <w:r>
        <w:rPr>
          <w:sz w:val="21"/>
        </w:rPr>
        <w:t>。</w:t>
      </w:r>
    </w:p>
    <w:p>
      <w:pPr>
        <w:spacing w:after="0" w:line="283" w:lineRule="auto"/>
        <w:jc w:val="left"/>
        <w:rPr>
          <w:sz w:val="21"/>
        </w:rPr>
        <w:sectPr>
          <w:footerReference w:type="default" r:id="rId28"/>
          <w:pgSz w:w="11910" w:h="8390" w:orient="landscape"/>
          <w:pgMar w:top="220" w:right="580" w:bottom="2100" w:left="680" w:header="0" w:footer="886" w:gutter="0"/>
          <w:pgNumType w:start="24"/>
          <w:cols w:space="708"/>
        </w:sectPr>
      </w:pPr>
    </w:p>
    <w:p>
      <w:pPr>
        <w:pStyle w:val="BodyText"/>
        <w:rPr>
          <w:sz w:val="20"/>
        </w:rPr>
      </w:pPr>
      <w:r>
        <w:pict>
          <v:group id="docshapegroup195" o:spid="_x0000_s1198" style="width:38.9pt;height:74.7pt;margin-top:312pt;margin-left:554.85pt;mso-height-relative:page;mso-position-horizontal-relative:page;mso-position-vertical-relative:page;mso-width-relative:page;position:absolute;z-index:251718656" coordorigin="11097,6240" coordsize="778,1494">
            <v:shape id="docshape196" o:spid="_x0000_s1199" style="width:778;height:1215;left:11097;position:absolute;top:6519" coordorigin="11097,6519" coordsize="778,1215" path="m11875,7734l11309,7292,11289,7292,11289,7276,11097,7126,11875,6519,11875,7734xe" filled="t" fillcolor="#dd9545" stroked="f">
              <v:path arrowok="t"/>
            </v:shape>
            <v:shape id="docshape197" o:spid="_x0000_s1200" style="width:778;height:1215;left:11097;position:absolute;top:6240" coordorigin="11097,6240" coordsize="778,1215" path="m11875,7455l11097,6847,11875,6240,11875,7455xe" filled="t" fillcolor="#c3542f" stroked="f">
              <v:path arrowok="t"/>
            </v:shape>
          </v:group>
        </w:pict>
      </w:r>
      <w:r>
        <w:pict>
          <v:group id="docshapegroup198" o:spid="_x0000_s1201" style="width:36.85pt;height:69.25pt;margin-top:11.9pt;margin-left:0;mso-height-relative:page;mso-position-horizontal-relative:page;mso-position-vertical-relative:page;mso-width-relative:page;position:absolute;z-index:-251596800" coordorigin="0,238" coordsize="737,1385">
            <v:shape id="docshape199" o:spid="_x0000_s1202" style="width:737;height:1206;position:absolute;top:238" coordorigin="0,238" coordsize="737,1206" path="m,1444l,238,737,841,,1444xe" filled="t" fillcolor="#dd9545" stroked="f">
              <v:path arrowok="t"/>
            </v:shape>
            <v:shape id="docshape200" o:spid="_x0000_s1203"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4"/>
        <w:rPr>
          <w:sz w:val="12"/>
        </w:rPr>
      </w:pPr>
    </w:p>
    <w:p>
      <w:pPr>
        <w:pStyle w:val="Heading1"/>
      </w:pPr>
      <w:bookmarkStart w:id="64" w:name="强训点12：建设工程合同的内容和合同当事人"/>
      <w:bookmarkEnd w:id="64"/>
      <w:bookmarkStart w:id="65" w:name="_bookmark11"/>
      <w:bookmarkEnd w:id="65"/>
      <w:r>
        <w:rPr>
          <w:color w:val="FFFFFF"/>
          <w:spacing w:val="-3"/>
          <w:shd w:val="clear" w:color="auto" w:fill="C55811"/>
        </w:rPr>
        <w:t xml:space="preserve">强训点 </w:t>
      </w:r>
      <w:r>
        <w:rPr>
          <w:color w:val="FFFFFF"/>
          <w:shd w:val="clear" w:color="auto" w:fill="C55811"/>
        </w:rPr>
        <w:t>12：建设工程合同的内容和合同当事人</w:t>
      </w:r>
    </w:p>
    <w:p>
      <w:pPr>
        <w:pStyle w:val="Heading2"/>
      </w:pPr>
      <w:r>
        <w:t>考频：常考</w:t>
      </w:r>
    </w:p>
    <w:p>
      <w:pPr>
        <w:spacing w:before="74"/>
        <w:ind w:left="215" w:right="0" w:firstLine="0"/>
        <w:jc w:val="left"/>
        <w:rPr>
          <w:b/>
          <w:sz w:val="21"/>
        </w:rPr>
      </w:pPr>
      <w:r>
        <w:rPr>
          <w:b/>
          <w:sz w:val="21"/>
        </w:rPr>
        <w:t>关键词：合法合规合理</w:t>
      </w:r>
    </w:p>
    <w:p>
      <w:pPr>
        <w:pStyle w:val="BodyText"/>
        <w:spacing w:before="73" w:line="283" w:lineRule="auto"/>
        <w:ind w:left="426" w:right="7490" w:hanging="212"/>
      </w:pPr>
      <w:bookmarkStart w:id="66" w:name="（一）建设工程勘察合同当事人"/>
      <w:bookmarkEnd w:id="66"/>
      <w:r>
        <w:rPr>
          <w:spacing w:val="-1"/>
        </w:rPr>
        <w:t>（一）</w:t>
      </w:r>
      <w:r>
        <w:t>建设工程勘察合同当事人</w:t>
      </w:r>
      <w:bookmarkStart w:id="67" w:name="勘察人必须具备以下条件："/>
      <w:bookmarkEnd w:id="67"/>
      <w:r>
        <w:t>勘察人必须具备以下条件：</w:t>
      </w:r>
    </w:p>
    <w:p>
      <w:pPr>
        <w:pStyle w:val="ListParagraph"/>
        <w:numPr>
          <w:ilvl w:val="1"/>
          <w:numId w:val="41"/>
        </w:numPr>
        <w:tabs>
          <w:tab w:val="left" w:pos="1179"/>
        </w:tabs>
        <w:spacing w:before="6" w:after="0" w:line="240" w:lineRule="auto"/>
        <w:ind w:left="1178" w:right="0" w:hanging="544"/>
        <w:jc w:val="left"/>
        <w:rPr>
          <w:sz w:val="21"/>
        </w:rPr>
      </w:pPr>
      <w:r>
        <w:rPr>
          <w:spacing w:val="-1"/>
          <w:sz w:val="21"/>
        </w:rPr>
        <w:t>依据我国法律规定，作为承包人的勘察单位必须具备</w:t>
      </w:r>
      <w:r>
        <w:rPr>
          <w:b/>
          <w:color w:val="C00000"/>
          <w:spacing w:val="-1"/>
          <w:sz w:val="21"/>
        </w:rPr>
        <w:t>法人</w:t>
      </w:r>
      <w:r>
        <w:rPr>
          <w:spacing w:val="-1"/>
          <w:sz w:val="21"/>
        </w:rPr>
        <w:t>资格，任何</w:t>
      </w:r>
      <w:r>
        <w:rPr>
          <w:b/>
          <w:color w:val="C00000"/>
          <w:spacing w:val="-1"/>
          <w:sz w:val="21"/>
        </w:rPr>
        <w:t>其他组织</w:t>
      </w:r>
      <w:r>
        <w:rPr>
          <w:sz w:val="21"/>
        </w:rPr>
        <w:t>和</w:t>
      </w:r>
      <w:r>
        <w:rPr>
          <w:b/>
          <w:color w:val="C00000"/>
          <w:sz w:val="21"/>
        </w:rPr>
        <w:t>个人</w:t>
      </w:r>
      <w:r>
        <w:rPr>
          <w:sz w:val="21"/>
        </w:rPr>
        <w:t>均不能成为承包</w:t>
      </w:r>
    </w:p>
    <w:p>
      <w:pPr>
        <w:pStyle w:val="BodyText"/>
        <w:spacing w:before="74"/>
        <w:ind w:left="215"/>
      </w:pPr>
      <w:r>
        <w:t>人。</w:t>
      </w:r>
    </w:p>
    <w:p>
      <w:pPr>
        <w:pStyle w:val="ListParagraph"/>
        <w:numPr>
          <w:ilvl w:val="1"/>
          <w:numId w:val="41"/>
        </w:numPr>
        <w:tabs>
          <w:tab w:val="left" w:pos="1179"/>
        </w:tabs>
        <w:spacing w:before="71" w:after="0" w:line="240" w:lineRule="auto"/>
        <w:ind w:left="1178" w:right="0" w:hanging="544"/>
        <w:jc w:val="left"/>
        <w:rPr>
          <w:sz w:val="21"/>
        </w:rPr>
      </w:pPr>
      <w:r>
        <w:rPr>
          <w:spacing w:val="-1"/>
          <w:sz w:val="21"/>
        </w:rPr>
        <w:t>建设工程勘察合同的承包方须持有工商行政管理部门核发的</w:t>
      </w:r>
      <w:r>
        <w:rPr>
          <w:b/>
          <w:color w:val="C00000"/>
          <w:sz w:val="21"/>
        </w:rPr>
        <w:t>企业法人营业执照</w:t>
      </w:r>
      <w:r>
        <w:rPr>
          <w:sz w:val="21"/>
        </w:rPr>
        <w:t>，并且必须在其核准的</w:t>
      </w:r>
    </w:p>
    <w:p>
      <w:pPr>
        <w:pStyle w:val="BodyText"/>
        <w:spacing w:before="74"/>
        <w:ind w:left="215"/>
      </w:pPr>
      <w:r>
        <w:t>经营范围内从事建设活动。</w:t>
      </w:r>
    </w:p>
    <w:p>
      <w:pPr>
        <w:pStyle w:val="ListParagraph"/>
        <w:numPr>
          <w:ilvl w:val="1"/>
          <w:numId w:val="41"/>
        </w:numPr>
        <w:tabs>
          <w:tab w:val="left" w:pos="1179"/>
        </w:tabs>
        <w:spacing w:before="74" w:after="0" w:line="283" w:lineRule="auto"/>
        <w:ind w:left="215" w:right="314" w:firstLine="420"/>
        <w:jc w:val="left"/>
        <w:rPr>
          <w:sz w:val="21"/>
        </w:rPr>
      </w:pPr>
      <w:r>
        <w:rPr>
          <w:sz w:val="21"/>
        </w:rPr>
        <w:t>建设工程勘察合同的承包方必须持有建设行政主管部门颁发的工程勘察资质证书、工程勘察收费资格证书，而且应当在其</w:t>
      </w:r>
      <w:r>
        <w:rPr>
          <w:b/>
          <w:color w:val="C00000"/>
          <w:sz w:val="21"/>
        </w:rPr>
        <w:t>资质等级许可的范围内</w:t>
      </w:r>
      <w:r>
        <w:rPr>
          <w:sz w:val="21"/>
        </w:rPr>
        <w:t>承揽建设工程勘察业务。</w:t>
      </w:r>
    </w:p>
    <w:p>
      <w:pPr>
        <w:pStyle w:val="BodyText"/>
        <w:spacing w:before="1" w:line="285" w:lineRule="auto"/>
        <w:ind w:left="635" w:right="6230" w:hanging="420"/>
      </w:pPr>
      <w:r>
        <w:rPr>
          <w:w w:val="95"/>
        </w:rPr>
        <w:t>（二）订立建设工程勘察合同时应约定的内容</w:t>
      </w:r>
      <w:r>
        <w:rPr>
          <w:spacing w:val="1"/>
          <w:w w:val="95"/>
        </w:rPr>
        <w:t xml:space="preserve"> </w:t>
      </w:r>
      <w:r>
        <w:t>发包人应向勘察人提供的文件资料</w:t>
      </w:r>
    </w:p>
    <w:p>
      <w:pPr>
        <w:spacing w:after="0" w:line="285" w:lineRule="auto"/>
        <w:sectPr>
          <w:footerReference w:type="default" r:id="rId29"/>
          <w:pgSz w:w="11910" w:h="8390" w:orient="landscape"/>
          <w:pgMar w:top="220" w:right="580" w:bottom="1180" w:left="680" w:header="0" w:footer="886" w:gutter="0"/>
          <w:pgNumType w:start="25"/>
          <w:cols w:space="708"/>
        </w:sectPr>
      </w:pPr>
    </w:p>
    <w:p>
      <w:pPr>
        <w:pStyle w:val="BodyText"/>
        <w:rPr>
          <w:sz w:val="20"/>
        </w:rPr>
      </w:pPr>
      <w:r>
        <w:pict>
          <v:group id="docshapegroup201" o:spid="_x0000_s1204" style="width:38.9pt;height:74.7pt;margin-top:312pt;margin-left:554.85pt;mso-height-relative:page;mso-position-horizontal-relative:page;mso-position-vertical-relative:page;mso-width-relative:page;position:absolute;z-index:251720704" coordorigin="11097,6240" coordsize="778,1494">
            <v:shape id="docshape202" o:spid="_x0000_s1205" style="width:778;height:1215;left:11097;position:absolute;top:6519" coordorigin="11097,6519" coordsize="778,1215" path="m11875,7734l11309,7292,11289,7292,11289,7276,11097,7126,11875,6519,11875,7734xe" filled="t" fillcolor="#dd9545" stroked="f">
              <v:path arrowok="t"/>
            </v:shape>
            <v:shape id="docshape203" o:spid="_x0000_s1206" style="width:778;height:1215;left:11097;position:absolute;top:6240" coordorigin="11097,6240" coordsize="778,1215" path="m11875,7455l11097,6847,11875,6240,11875,7455xe" filled="t" fillcolor="#c3542f" stroked="f">
              <v:path arrowok="t"/>
            </v:shape>
          </v:group>
        </w:pict>
      </w:r>
      <w:r>
        <w:pict>
          <v:group id="docshapegroup204" o:spid="_x0000_s1207" style="width:36.85pt;height:69.25pt;margin-top:11.9pt;margin-left:0;mso-height-relative:page;mso-position-horizontal-relative:page;mso-position-vertical-relative:page;mso-width-relative:page;position:absolute;z-index:-251594752" coordorigin="0,238" coordsize="737,1385">
            <v:shape id="docshape205" o:spid="_x0000_s1208" style="width:737;height:1206;position:absolute;top:238" coordorigin="0,238" coordsize="737,1206" path="m,1444l,238,737,841,,1444xe" filled="t" fillcolor="#dd9545" stroked="f">
              <v:path arrowok="t"/>
            </v:shape>
            <v:shape id="docshape206" o:spid="_x0000_s1209" style="width:737;height:1209;position:absolute;top:414" coordorigin="0,414" coordsize="737,1209" path="m,1623l,414,737,1019,,1623xe" filled="t" fillcolor="#c3542f" stroked="f">
              <v:path arrowok="t"/>
            </v:shape>
          </v:group>
        </w:pict>
      </w:r>
    </w:p>
    <w:p>
      <w:pPr>
        <w:pStyle w:val="BodyText"/>
        <w:rPr>
          <w:sz w:val="20"/>
        </w:rPr>
      </w:pPr>
    </w:p>
    <w:p>
      <w:pPr>
        <w:pStyle w:val="BodyText"/>
        <w:spacing w:before="2"/>
        <w:rPr>
          <w:sz w:val="14"/>
        </w:rPr>
      </w:pPr>
    </w:p>
    <w:p>
      <w:pPr>
        <w:pStyle w:val="ListParagraph"/>
        <w:numPr>
          <w:ilvl w:val="0"/>
          <w:numId w:val="42"/>
        </w:numPr>
        <w:tabs>
          <w:tab w:val="left" w:pos="1179"/>
        </w:tabs>
        <w:spacing w:before="44" w:after="0" w:line="240" w:lineRule="auto"/>
        <w:ind w:left="1178" w:right="0" w:hanging="544"/>
        <w:jc w:val="left"/>
        <w:rPr>
          <w:sz w:val="21"/>
        </w:rPr>
      </w:pPr>
      <w:r>
        <w:rPr>
          <w:sz w:val="21"/>
        </w:rPr>
        <w:t>本工程的</w:t>
      </w:r>
      <w:r>
        <w:rPr>
          <w:b/>
          <w:color w:val="C00000"/>
          <w:sz w:val="21"/>
        </w:rPr>
        <w:t>批准文件</w:t>
      </w:r>
      <w:r>
        <w:rPr>
          <w:sz w:val="21"/>
        </w:rPr>
        <w:t>（复印件），以及</w:t>
      </w:r>
      <w:r>
        <w:rPr>
          <w:b/>
          <w:color w:val="C00000"/>
          <w:sz w:val="21"/>
        </w:rPr>
        <w:t>用地（附红线范围）</w:t>
      </w:r>
      <w:r>
        <w:rPr>
          <w:sz w:val="21"/>
        </w:rPr>
        <w:t>、</w:t>
      </w:r>
      <w:r>
        <w:rPr>
          <w:b/>
          <w:color w:val="C00000"/>
          <w:sz w:val="21"/>
        </w:rPr>
        <w:t>施工</w:t>
      </w:r>
      <w:r>
        <w:rPr>
          <w:sz w:val="21"/>
        </w:rPr>
        <w:t>、</w:t>
      </w:r>
      <w:r>
        <w:rPr>
          <w:b/>
          <w:color w:val="C00000"/>
          <w:sz w:val="21"/>
        </w:rPr>
        <w:t>勘察许可</w:t>
      </w:r>
      <w:r>
        <w:rPr>
          <w:sz w:val="21"/>
        </w:rPr>
        <w:t>等批件（复印件）；</w:t>
      </w:r>
    </w:p>
    <w:p>
      <w:pPr>
        <w:pStyle w:val="ListParagraph"/>
        <w:numPr>
          <w:ilvl w:val="0"/>
          <w:numId w:val="42"/>
        </w:numPr>
        <w:tabs>
          <w:tab w:val="left" w:pos="1179"/>
        </w:tabs>
        <w:spacing w:before="71" w:after="0" w:line="240" w:lineRule="auto"/>
        <w:ind w:left="1178" w:right="0" w:hanging="544"/>
        <w:jc w:val="left"/>
        <w:rPr>
          <w:sz w:val="21"/>
        </w:rPr>
      </w:pPr>
      <w:r>
        <w:rPr>
          <w:sz w:val="21"/>
        </w:rPr>
        <w:t>工程勘察</w:t>
      </w:r>
      <w:r>
        <w:rPr>
          <w:b/>
          <w:color w:val="C00000"/>
          <w:sz w:val="21"/>
        </w:rPr>
        <w:t>任务委托书</w:t>
      </w:r>
      <w:r>
        <w:rPr>
          <w:sz w:val="21"/>
        </w:rPr>
        <w:t>、</w:t>
      </w:r>
      <w:r>
        <w:rPr>
          <w:b/>
          <w:color w:val="C00000"/>
          <w:sz w:val="21"/>
        </w:rPr>
        <w:t>技术要求</w:t>
      </w:r>
      <w:r>
        <w:rPr>
          <w:sz w:val="21"/>
        </w:rPr>
        <w:t>和</w:t>
      </w:r>
      <w:r>
        <w:rPr>
          <w:b/>
          <w:color w:val="C00000"/>
          <w:sz w:val="21"/>
        </w:rPr>
        <w:t>工作范围的地形图</w:t>
      </w:r>
      <w:r>
        <w:rPr>
          <w:sz w:val="21"/>
        </w:rPr>
        <w:t>、</w:t>
      </w:r>
      <w:r>
        <w:rPr>
          <w:b/>
          <w:color w:val="C00000"/>
          <w:sz w:val="21"/>
        </w:rPr>
        <w:t>建筑总平面布置图</w:t>
      </w:r>
      <w:r>
        <w:rPr>
          <w:sz w:val="21"/>
        </w:rPr>
        <w:t>；</w:t>
      </w:r>
    </w:p>
    <w:p>
      <w:pPr>
        <w:pStyle w:val="ListParagraph"/>
        <w:numPr>
          <w:ilvl w:val="0"/>
          <w:numId w:val="42"/>
        </w:numPr>
        <w:tabs>
          <w:tab w:val="left" w:pos="1179"/>
        </w:tabs>
        <w:spacing w:before="74" w:after="0" w:line="240" w:lineRule="auto"/>
        <w:ind w:left="1178" w:right="0" w:hanging="544"/>
        <w:jc w:val="left"/>
        <w:rPr>
          <w:sz w:val="21"/>
        </w:rPr>
      </w:pPr>
      <w:r>
        <w:rPr>
          <w:sz w:val="21"/>
        </w:rPr>
        <w:t>工作范围已有的</w:t>
      </w:r>
      <w:r>
        <w:rPr>
          <w:b/>
          <w:color w:val="C00000"/>
          <w:sz w:val="21"/>
        </w:rPr>
        <w:t>技术资料</w:t>
      </w:r>
      <w:r>
        <w:rPr>
          <w:sz w:val="21"/>
        </w:rPr>
        <w:t>及工程所需的</w:t>
      </w:r>
      <w:r>
        <w:rPr>
          <w:b/>
          <w:color w:val="C00000"/>
          <w:sz w:val="21"/>
        </w:rPr>
        <w:t>坐标</w:t>
      </w:r>
      <w:r>
        <w:rPr>
          <w:sz w:val="21"/>
        </w:rPr>
        <w:t>与</w:t>
      </w:r>
      <w:r>
        <w:rPr>
          <w:b/>
          <w:color w:val="C00000"/>
          <w:sz w:val="21"/>
        </w:rPr>
        <w:t>标高</w:t>
      </w:r>
      <w:r>
        <w:rPr>
          <w:sz w:val="21"/>
        </w:rPr>
        <w:t>资料；</w:t>
      </w:r>
    </w:p>
    <w:p>
      <w:pPr>
        <w:pStyle w:val="ListParagraph"/>
        <w:numPr>
          <w:ilvl w:val="0"/>
          <w:numId w:val="42"/>
        </w:numPr>
        <w:tabs>
          <w:tab w:val="left" w:pos="1179"/>
        </w:tabs>
        <w:spacing w:before="74" w:after="0" w:line="283" w:lineRule="auto"/>
        <w:ind w:left="215" w:right="314" w:firstLine="420"/>
        <w:jc w:val="left"/>
        <w:rPr>
          <w:sz w:val="21"/>
        </w:rPr>
      </w:pPr>
      <w:r>
        <w:rPr>
          <w:w w:val="95"/>
          <w:sz w:val="21"/>
        </w:rPr>
        <w:t>勘察工作范围地下已有埋藏物的资料（如电力、电信电缆、各种管道、人防设施、洞室等）及</w:t>
      </w:r>
      <w:r>
        <w:rPr>
          <w:b/>
          <w:color w:val="C00000"/>
          <w:w w:val="95"/>
          <w:sz w:val="21"/>
        </w:rPr>
        <w:t>具体位</w:t>
      </w:r>
      <w:r>
        <w:rPr>
          <w:b/>
          <w:color w:val="C00000"/>
          <w:spacing w:val="108"/>
          <w:sz w:val="21"/>
        </w:rPr>
        <w:t xml:space="preserve"> </w:t>
      </w:r>
      <w:r>
        <w:rPr>
          <w:b/>
          <w:color w:val="C00000"/>
          <w:sz w:val="21"/>
        </w:rPr>
        <w:t>置分布图</w:t>
      </w:r>
      <w:r>
        <w:rPr>
          <w:sz w:val="21"/>
        </w:rPr>
        <w:t>；</w:t>
      </w:r>
    </w:p>
    <w:p>
      <w:pPr>
        <w:pStyle w:val="ListParagraph"/>
        <w:numPr>
          <w:ilvl w:val="0"/>
          <w:numId w:val="42"/>
        </w:numPr>
        <w:tabs>
          <w:tab w:val="left" w:pos="1180"/>
        </w:tabs>
        <w:spacing w:before="6" w:after="0" w:line="240" w:lineRule="auto"/>
        <w:ind w:left="1180" w:right="0" w:hanging="545"/>
        <w:jc w:val="left"/>
        <w:rPr>
          <w:sz w:val="21"/>
        </w:rPr>
      </w:pPr>
      <w:r>
        <w:rPr>
          <w:b/>
          <w:color w:val="C00000"/>
          <w:sz w:val="21"/>
        </w:rPr>
        <w:t>其他</w:t>
      </w:r>
      <w:r>
        <w:rPr>
          <w:sz w:val="21"/>
        </w:rPr>
        <w:t>必要相关资料。</w:t>
      </w:r>
    </w:p>
    <w:p>
      <w:pPr>
        <w:pStyle w:val="Heading1"/>
        <w:spacing w:before="31"/>
      </w:pPr>
      <w:bookmarkStart w:id="68" w:name="强训点13：建设工程勘察合同履行管理"/>
      <w:bookmarkEnd w:id="68"/>
      <w:bookmarkStart w:id="69" w:name="_bookmark12"/>
      <w:bookmarkEnd w:id="69"/>
      <w:r>
        <w:rPr>
          <w:color w:val="FFFFFF"/>
          <w:spacing w:val="-3"/>
          <w:shd w:val="clear" w:color="auto" w:fill="C55811"/>
        </w:rPr>
        <w:t xml:space="preserve">强训点 </w:t>
      </w:r>
      <w:r>
        <w:rPr>
          <w:color w:val="FFFFFF"/>
          <w:shd w:val="clear" w:color="auto" w:fill="C55811"/>
        </w:rPr>
        <w:t>13：建设工程勘察合同履行管理</w:t>
      </w:r>
    </w:p>
    <w:p>
      <w:pPr>
        <w:pStyle w:val="Heading2"/>
      </w:pPr>
      <w:r>
        <w:t>易混易错点：记住时间节点</w:t>
      </w:r>
    </w:p>
    <w:p>
      <w:pPr>
        <w:spacing w:before="74"/>
        <w:ind w:left="215" w:right="0" w:firstLine="0"/>
        <w:jc w:val="left"/>
        <w:rPr>
          <w:b/>
          <w:sz w:val="21"/>
        </w:rPr>
      </w:pPr>
      <w:r>
        <w:rPr>
          <w:b/>
          <w:w w:val="95"/>
          <w:sz w:val="21"/>
        </w:rPr>
        <w:t>关键词：14</w:t>
      </w:r>
      <w:r>
        <w:rPr>
          <w:b/>
          <w:spacing w:val="101"/>
          <w:sz w:val="21"/>
        </w:rPr>
        <w:t xml:space="preserve"> </w:t>
      </w:r>
      <w:r>
        <w:rPr>
          <w:b/>
          <w:w w:val="95"/>
          <w:sz w:val="21"/>
        </w:rPr>
        <w:t>天、代表、指派、通知、确认</w:t>
      </w:r>
    </w:p>
    <w:p>
      <w:pPr>
        <w:pStyle w:val="BodyText"/>
        <w:spacing w:before="74" w:line="283" w:lineRule="auto"/>
        <w:ind w:left="215" w:right="8750"/>
      </w:pPr>
      <w:r>
        <w:rPr>
          <w:spacing w:val="-1"/>
        </w:rPr>
        <w:t>（一）发包人管理</w:t>
      </w:r>
      <w:r>
        <w:t>1、发包人代表</w:t>
      </w:r>
    </w:p>
    <w:p>
      <w:pPr>
        <w:pStyle w:val="BodyText"/>
        <w:spacing w:before="1" w:line="285" w:lineRule="auto"/>
        <w:ind w:left="215" w:right="314" w:firstLine="420"/>
      </w:pPr>
      <w:r>
        <w:rPr>
          <w:w w:val="95"/>
        </w:rPr>
        <w:t>①发包人应在合同签订后</w:t>
      </w:r>
      <w:r>
        <w:rPr>
          <w:spacing w:val="159"/>
        </w:rPr>
        <w:t xml:space="preserve"> </w:t>
      </w:r>
      <w:r>
        <w:rPr>
          <w:b/>
          <w:color w:val="C00000"/>
          <w:w w:val="95"/>
        </w:rPr>
        <w:t>14</w:t>
      </w:r>
      <w:r>
        <w:rPr>
          <w:b/>
          <w:color w:val="C00000"/>
          <w:spacing w:val="73"/>
        </w:rPr>
        <w:t xml:space="preserve">  </w:t>
      </w:r>
      <w:r>
        <w:rPr>
          <w:b/>
          <w:color w:val="C00000"/>
          <w:w w:val="95"/>
        </w:rPr>
        <w:t>天</w:t>
      </w:r>
      <w:r>
        <w:rPr>
          <w:w w:val="95"/>
        </w:rPr>
        <w:t>内，将发包人代表的姓名、职务、联系方式、授权范围和授权期限书面通</w:t>
      </w:r>
      <w:r>
        <w:t>知勘察人。发包人代表在授权范围内的行为由发包人承担。</w:t>
      </w:r>
    </w:p>
    <w:p>
      <w:pPr>
        <w:spacing w:after="0" w:line="28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https://d.book118.com/926130220242010032</w:t>
        </w:r>
      </w:hyperlink>
    </w:p>
    <w:p>
      <w:pPr>
        <w:spacing w:after="0" w:line="285" w:lineRule="auto"/>
      </w:pPr>
    </w:p>
    <w:sectPr>
      <w:footerReference w:type="default" r:id="rId31"/>
      <w:pgSz w:w="11910" w:h="8390" w:orient="landscape"/>
      <w:pgMar w:top="220" w:right="580" w:bottom="1180" w:left="680" w:header="0" w:footer="886"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6E7C5A"/>
    <w:multiLevelType w:val="multilevel"/>
    <w:tmpl w:val="806E7C5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22"/>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1">
    <w:nsid w:val="843A0A49"/>
    <w:multiLevelType w:val="multilevel"/>
    <w:tmpl w:val="843A0A49"/>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1748" w:hanging="544"/>
      </w:pPr>
      <w:rPr>
        <w:rFonts w:hint="default"/>
        <w:lang w:val="en-US" w:eastAsia="zh-CN" w:bidi="ar-SA"/>
      </w:rPr>
    </w:lvl>
    <w:lvl w:ilvl="2">
      <w:start w:val="0"/>
      <w:numFmt w:val="bullet"/>
      <w:lvlText w:val="•"/>
      <w:lvlJc w:val="left"/>
      <w:pPr>
        <w:ind w:left="2737" w:hanging="544"/>
      </w:pPr>
      <w:rPr>
        <w:rFonts w:hint="default"/>
        <w:lang w:val="en-US" w:eastAsia="zh-CN" w:bidi="ar-SA"/>
      </w:rPr>
    </w:lvl>
    <w:lvl w:ilvl="3">
      <w:start w:val="0"/>
      <w:numFmt w:val="bullet"/>
      <w:lvlText w:val="•"/>
      <w:lvlJc w:val="left"/>
      <w:pPr>
        <w:ind w:left="3725" w:hanging="544"/>
      </w:pPr>
      <w:rPr>
        <w:rFonts w:hint="default"/>
        <w:lang w:val="en-US" w:eastAsia="zh-CN" w:bidi="ar-SA"/>
      </w:rPr>
    </w:lvl>
    <w:lvl w:ilvl="4">
      <w:start w:val="0"/>
      <w:numFmt w:val="bullet"/>
      <w:lvlText w:val="•"/>
      <w:lvlJc w:val="left"/>
      <w:pPr>
        <w:ind w:left="4714" w:hanging="544"/>
      </w:pPr>
      <w:rPr>
        <w:rFonts w:hint="default"/>
        <w:lang w:val="en-US" w:eastAsia="zh-CN" w:bidi="ar-SA"/>
      </w:rPr>
    </w:lvl>
    <w:lvl w:ilvl="5">
      <w:start w:val="0"/>
      <w:numFmt w:val="bullet"/>
      <w:lvlText w:val="•"/>
      <w:lvlJc w:val="left"/>
      <w:pPr>
        <w:ind w:left="5702" w:hanging="544"/>
      </w:pPr>
      <w:rPr>
        <w:rFonts w:hint="default"/>
        <w:lang w:val="en-US" w:eastAsia="zh-CN" w:bidi="ar-SA"/>
      </w:rPr>
    </w:lvl>
    <w:lvl w:ilvl="6">
      <w:start w:val="0"/>
      <w:numFmt w:val="bullet"/>
      <w:lvlText w:val="•"/>
      <w:lvlJc w:val="left"/>
      <w:pPr>
        <w:ind w:left="6691" w:hanging="544"/>
      </w:pPr>
      <w:rPr>
        <w:rFonts w:hint="default"/>
        <w:lang w:val="en-US" w:eastAsia="zh-CN" w:bidi="ar-SA"/>
      </w:rPr>
    </w:lvl>
    <w:lvl w:ilvl="7">
      <w:start w:val="0"/>
      <w:numFmt w:val="bullet"/>
      <w:lvlText w:val="•"/>
      <w:lvlJc w:val="left"/>
      <w:pPr>
        <w:ind w:left="7679" w:hanging="544"/>
      </w:pPr>
      <w:rPr>
        <w:rFonts w:hint="default"/>
        <w:lang w:val="en-US" w:eastAsia="zh-CN" w:bidi="ar-SA"/>
      </w:rPr>
    </w:lvl>
    <w:lvl w:ilvl="8">
      <w:start w:val="0"/>
      <w:numFmt w:val="bullet"/>
      <w:lvlText w:val="•"/>
      <w:lvlJc w:val="left"/>
      <w:pPr>
        <w:ind w:left="8668" w:hanging="544"/>
      </w:pPr>
      <w:rPr>
        <w:rFonts w:hint="default"/>
        <w:lang w:val="en-US" w:eastAsia="zh-CN" w:bidi="ar-SA"/>
      </w:rPr>
    </w:lvl>
  </w:abstractNum>
  <w:abstractNum w:abstractNumId="2">
    <w:nsid w:val="89F7FBCA"/>
    <w:multiLevelType w:val="multilevel"/>
    <w:tmpl w:val="89F7FBC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30"/>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
    <w:nsid w:val="8FB0CBB5"/>
    <w:multiLevelType w:val="multilevel"/>
    <w:tmpl w:val="8FB0CBB5"/>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215" w:hanging="548"/>
        <w:jc w:val="left"/>
      </w:pPr>
      <w:rPr>
        <w:rFonts w:ascii="微软雅黑" w:eastAsia="微软雅黑" w:hAnsi="微软雅黑" w:cs="微软雅黑" w:hint="default"/>
        <w:b w:val="0"/>
        <w:bCs w:val="0"/>
        <w:i w:val="0"/>
        <w:iCs w:val="0"/>
        <w:spacing w:val="2"/>
        <w:w w:val="99"/>
        <w:sz w:val="19"/>
        <w:szCs w:val="19"/>
        <w:lang w:val="en-US" w:eastAsia="zh-CN" w:bidi="ar-SA"/>
      </w:rPr>
    </w:lvl>
    <w:lvl w:ilvl="2">
      <w:start w:val="1"/>
      <w:numFmt w:val="decimal"/>
      <w:lvlText w:val="（%3）"/>
      <w:lvlJc w:val="left"/>
      <w:pPr>
        <w:ind w:left="1284"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3">
      <w:start w:val="0"/>
      <w:numFmt w:val="bullet"/>
      <w:lvlText w:val="•"/>
      <w:lvlJc w:val="left"/>
      <w:pPr>
        <w:ind w:left="2450" w:hanging="544"/>
      </w:pPr>
      <w:rPr>
        <w:rFonts w:hint="default"/>
        <w:lang w:val="en-US" w:eastAsia="zh-CN" w:bidi="ar-SA"/>
      </w:rPr>
    </w:lvl>
    <w:lvl w:ilvl="4">
      <w:start w:val="0"/>
      <w:numFmt w:val="bullet"/>
      <w:lvlText w:val="•"/>
      <w:lvlJc w:val="left"/>
      <w:pPr>
        <w:ind w:left="3621" w:hanging="544"/>
      </w:pPr>
      <w:rPr>
        <w:rFonts w:hint="default"/>
        <w:lang w:val="en-US" w:eastAsia="zh-CN" w:bidi="ar-SA"/>
      </w:rPr>
    </w:lvl>
    <w:lvl w:ilvl="5">
      <w:start w:val="0"/>
      <w:numFmt w:val="bullet"/>
      <w:lvlText w:val="•"/>
      <w:lvlJc w:val="left"/>
      <w:pPr>
        <w:ind w:left="4791" w:hanging="544"/>
      </w:pPr>
      <w:rPr>
        <w:rFonts w:hint="default"/>
        <w:lang w:val="en-US" w:eastAsia="zh-CN" w:bidi="ar-SA"/>
      </w:rPr>
    </w:lvl>
    <w:lvl w:ilvl="6">
      <w:start w:val="0"/>
      <w:numFmt w:val="bullet"/>
      <w:lvlText w:val="•"/>
      <w:lvlJc w:val="left"/>
      <w:pPr>
        <w:ind w:left="5962" w:hanging="544"/>
      </w:pPr>
      <w:rPr>
        <w:rFonts w:hint="default"/>
        <w:lang w:val="en-US" w:eastAsia="zh-CN" w:bidi="ar-SA"/>
      </w:rPr>
    </w:lvl>
    <w:lvl w:ilvl="7">
      <w:start w:val="0"/>
      <w:numFmt w:val="bullet"/>
      <w:lvlText w:val="•"/>
      <w:lvlJc w:val="left"/>
      <w:pPr>
        <w:ind w:left="7133" w:hanging="544"/>
      </w:pPr>
      <w:rPr>
        <w:rFonts w:hint="default"/>
        <w:lang w:val="en-US" w:eastAsia="zh-CN" w:bidi="ar-SA"/>
      </w:rPr>
    </w:lvl>
    <w:lvl w:ilvl="8">
      <w:start w:val="0"/>
      <w:numFmt w:val="bullet"/>
      <w:lvlText w:val="•"/>
      <w:lvlJc w:val="left"/>
      <w:pPr>
        <w:ind w:left="8303" w:hanging="544"/>
      </w:pPr>
      <w:rPr>
        <w:rFonts w:hint="default"/>
        <w:lang w:val="en-US" w:eastAsia="zh-CN" w:bidi="ar-SA"/>
      </w:rPr>
    </w:lvl>
  </w:abstractNum>
  <w:abstractNum w:abstractNumId="4">
    <w:nsid w:val="98E286FB"/>
    <w:multiLevelType w:val="multilevel"/>
    <w:tmpl w:val="98E286FB"/>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5">
    <w:nsid w:val="9B739393"/>
    <w:multiLevelType w:val="multilevel"/>
    <w:tmpl w:val="9B739393"/>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6">
    <w:nsid w:val="A1860C61"/>
    <w:multiLevelType w:val="multilevel"/>
    <w:tmpl w:val="A1860C61"/>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78" w:hanging="544"/>
        <w:jc w:val="left"/>
      </w:pPr>
      <w:rPr>
        <w:rFonts w:ascii="微软雅黑" w:eastAsia="微软雅黑" w:hAnsi="微软雅黑" w:cs="微软雅黑" w:hint="default"/>
        <w:b w:val="0"/>
        <w:bCs w:val="0"/>
        <w:i w:val="0"/>
        <w:iCs w:val="0"/>
        <w:spacing w:val="-30"/>
        <w:w w:val="99"/>
        <w:sz w:val="19"/>
        <w:szCs w:val="19"/>
        <w:lang w:val="en-US" w:eastAsia="zh-CN" w:bidi="ar-SA"/>
      </w:rPr>
    </w:lvl>
    <w:lvl w:ilvl="2">
      <w:start w:val="0"/>
      <w:numFmt w:val="bullet"/>
      <w:lvlText w:val="•"/>
      <w:lvlJc w:val="left"/>
      <w:pPr>
        <w:ind w:left="2231" w:hanging="544"/>
      </w:pPr>
      <w:rPr>
        <w:rFonts w:hint="default"/>
        <w:lang w:val="en-US" w:eastAsia="zh-CN" w:bidi="ar-SA"/>
      </w:rPr>
    </w:lvl>
    <w:lvl w:ilvl="3">
      <w:start w:val="0"/>
      <w:numFmt w:val="bullet"/>
      <w:lvlText w:val="•"/>
      <w:lvlJc w:val="left"/>
      <w:pPr>
        <w:ind w:left="3283" w:hanging="544"/>
      </w:pPr>
      <w:rPr>
        <w:rFonts w:hint="default"/>
        <w:lang w:val="en-US" w:eastAsia="zh-CN" w:bidi="ar-SA"/>
      </w:rPr>
    </w:lvl>
    <w:lvl w:ilvl="4">
      <w:start w:val="0"/>
      <w:numFmt w:val="bullet"/>
      <w:lvlText w:val="•"/>
      <w:lvlJc w:val="left"/>
      <w:pPr>
        <w:ind w:left="4335" w:hanging="544"/>
      </w:pPr>
      <w:rPr>
        <w:rFonts w:hint="default"/>
        <w:lang w:val="en-US" w:eastAsia="zh-CN" w:bidi="ar-SA"/>
      </w:rPr>
    </w:lvl>
    <w:lvl w:ilvl="5">
      <w:start w:val="0"/>
      <w:numFmt w:val="bullet"/>
      <w:lvlText w:val="•"/>
      <w:lvlJc w:val="left"/>
      <w:pPr>
        <w:ind w:left="5386" w:hanging="544"/>
      </w:pPr>
      <w:rPr>
        <w:rFonts w:hint="default"/>
        <w:lang w:val="en-US" w:eastAsia="zh-CN" w:bidi="ar-SA"/>
      </w:rPr>
    </w:lvl>
    <w:lvl w:ilvl="6">
      <w:start w:val="0"/>
      <w:numFmt w:val="bullet"/>
      <w:lvlText w:val="•"/>
      <w:lvlJc w:val="left"/>
      <w:pPr>
        <w:ind w:left="6438" w:hanging="544"/>
      </w:pPr>
      <w:rPr>
        <w:rFonts w:hint="default"/>
        <w:lang w:val="en-US" w:eastAsia="zh-CN" w:bidi="ar-SA"/>
      </w:rPr>
    </w:lvl>
    <w:lvl w:ilvl="7">
      <w:start w:val="0"/>
      <w:numFmt w:val="bullet"/>
      <w:lvlText w:val="•"/>
      <w:lvlJc w:val="left"/>
      <w:pPr>
        <w:ind w:left="7490" w:hanging="544"/>
      </w:pPr>
      <w:rPr>
        <w:rFonts w:hint="default"/>
        <w:lang w:val="en-US" w:eastAsia="zh-CN" w:bidi="ar-SA"/>
      </w:rPr>
    </w:lvl>
    <w:lvl w:ilvl="8">
      <w:start w:val="0"/>
      <w:numFmt w:val="bullet"/>
      <w:lvlText w:val="•"/>
      <w:lvlJc w:val="left"/>
      <w:pPr>
        <w:ind w:left="8541" w:hanging="544"/>
      </w:pPr>
      <w:rPr>
        <w:rFonts w:hint="default"/>
        <w:lang w:val="en-US" w:eastAsia="zh-CN" w:bidi="ar-SA"/>
      </w:rPr>
    </w:lvl>
  </w:abstractNum>
  <w:abstractNum w:abstractNumId="7">
    <w:nsid w:val="A27F1EC0"/>
    <w:multiLevelType w:val="multilevel"/>
    <w:tmpl w:val="A27F1EC0"/>
    <w:lvl w:ilvl="0">
      <w:start w:val="1"/>
      <w:numFmt w:val="decimal"/>
      <w:lvlText w:val="（%1）"/>
      <w:lvlJc w:val="left"/>
      <w:pPr>
        <w:ind w:left="118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5"/>
      </w:pPr>
      <w:rPr>
        <w:rFonts w:hint="default"/>
        <w:lang w:val="en-US" w:eastAsia="zh-CN" w:bidi="ar-SA"/>
      </w:rPr>
    </w:lvl>
    <w:lvl w:ilvl="2">
      <w:start w:val="0"/>
      <w:numFmt w:val="bullet"/>
      <w:lvlText w:val="•"/>
      <w:lvlJc w:val="left"/>
      <w:pPr>
        <w:ind w:left="3073" w:hanging="545"/>
      </w:pPr>
      <w:rPr>
        <w:rFonts w:hint="default"/>
        <w:lang w:val="en-US" w:eastAsia="zh-CN" w:bidi="ar-SA"/>
      </w:rPr>
    </w:lvl>
    <w:lvl w:ilvl="3">
      <w:start w:val="0"/>
      <w:numFmt w:val="bullet"/>
      <w:lvlText w:val="•"/>
      <w:lvlJc w:val="left"/>
      <w:pPr>
        <w:ind w:left="4019" w:hanging="545"/>
      </w:pPr>
      <w:rPr>
        <w:rFonts w:hint="default"/>
        <w:lang w:val="en-US" w:eastAsia="zh-CN" w:bidi="ar-SA"/>
      </w:rPr>
    </w:lvl>
    <w:lvl w:ilvl="4">
      <w:start w:val="0"/>
      <w:numFmt w:val="bullet"/>
      <w:lvlText w:val="•"/>
      <w:lvlJc w:val="left"/>
      <w:pPr>
        <w:ind w:left="4966" w:hanging="545"/>
      </w:pPr>
      <w:rPr>
        <w:rFonts w:hint="default"/>
        <w:lang w:val="en-US" w:eastAsia="zh-CN" w:bidi="ar-SA"/>
      </w:rPr>
    </w:lvl>
    <w:lvl w:ilvl="5">
      <w:start w:val="0"/>
      <w:numFmt w:val="bullet"/>
      <w:lvlText w:val="•"/>
      <w:lvlJc w:val="left"/>
      <w:pPr>
        <w:ind w:left="5912" w:hanging="545"/>
      </w:pPr>
      <w:rPr>
        <w:rFonts w:hint="default"/>
        <w:lang w:val="en-US" w:eastAsia="zh-CN" w:bidi="ar-SA"/>
      </w:rPr>
    </w:lvl>
    <w:lvl w:ilvl="6">
      <w:start w:val="0"/>
      <w:numFmt w:val="bullet"/>
      <w:lvlText w:val="•"/>
      <w:lvlJc w:val="left"/>
      <w:pPr>
        <w:ind w:left="6859" w:hanging="545"/>
      </w:pPr>
      <w:rPr>
        <w:rFonts w:hint="default"/>
        <w:lang w:val="en-US" w:eastAsia="zh-CN" w:bidi="ar-SA"/>
      </w:rPr>
    </w:lvl>
    <w:lvl w:ilvl="7">
      <w:start w:val="0"/>
      <w:numFmt w:val="bullet"/>
      <w:lvlText w:val="•"/>
      <w:lvlJc w:val="left"/>
      <w:pPr>
        <w:ind w:left="7805" w:hanging="545"/>
      </w:pPr>
      <w:rPr>
        <w:rFonts w:hint="default"/>
        <w:lang w:val="en-US" w:eastAsia="zh-CN" w:bidi="ar-SA"/>
      </w:rPr>
    </w:lvl>
    <w:lvl w:ilvl="8">
      <w:start w:val="0"/>
      <w:numFmt w:val="bullet"/>
      <w:lvlText w:val="•"/>
      <w:lvlJc w:val="left"/>
      <w:pPr>
        <w:ind w:left="8752" w:hanging="545"/>
      </w:pPr>
      <w:rPr>
        <w:rFonts w:hint="default"/>
        <w:lang w:val="en-US" w:eastAsia="zh-CN" w:bidi="ar-SA"/>
      </w:rPr>
    </w:lvl>
  </w:abstractNum>
  <w:abstractNum w:abstractNumId="8">
    <w:nsid w:val="A5987499"/>
    <w:multiLevelType w:val="multilevel"/>
    <w:tmpl w:val="A5987499"/>
    <w:lvl w:ilvl="0">
      <w:start w:val="1"/>
      <w:numFmt w:val="decimal"/>
      <w:lvlText w:val="（%1）"/>
      <w:lvlJc w:val="left"/>
      <w:pPr>
        <w:ind w:left="118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5"/>
      </w:pPr>
      <w:rPr>
        <w:rFonts w:hint="default"/>
        <w:lang w:val="en-US" w:eastAsia="zh-CN" w:bidi="ar-SA"/>
      </w:rPr>
    </w:lvl>
    <w:lvl w:ilvl="2">
      <w:start w:val="0"/>
      <w:numFmt w:val="bullet"/>
      <w:lvlText w:val="•"/>
      <w:lvlJc w:val="left"/>
      <w:pPr>
        <w:ind w:left="3073" w:hanging="545"/>
      </w:pPr>
      <w:rPr>
        <w:rFonts w:hint="default"/>
        <w:lang w:val="en-US" w:eastAsia="zh-CN" w:bidi="ar-SA"/>
      </w:rPr>
    </w:lvl>
    <w:lvl w:ilvl="3">
      <w:start w:val="0"/>
      <w:numFmt w:val="bullet"/>
      <w:lvlText w:val="•"/>
      <w:lvlJc w:val="left"/>
      <w:pPr>
        <w:ind w:left="4019" w:hanging="545"/>
      </w:pPr>
      <w:rPr>
        <w:rFonts w:hint="default"/>
        <w:lang w:val="en-US" w:eastAsia="zh-CN" w:bidi="ar-SA"/>
      </w:rPr>
    </w:lvl>
    <w:lvl w:ilvl="4">
      <w:start w:val="0"/>
      <w:numFmt w:val="bullet"/>
      <w:lvlText w:val="•"/>
      <w:lvlJc w:val="left"/>
      <w:pPr>
        <w:ind w:left="4966" w:hanging="545"/>
      </w:pPr>
      <w:rPr>
        <w:rFonts w:hint="default"/>
        <w:lang w:val="en-US" w:eastAsia="zh-CN" w:bidi="ar-SA"/>
      </w:rPr>
    </w:lvl>
    <w:lvl w:ilvl="5">
      <w:start w:val="0"/>
      <w:numFmt w:val="bullet"/>
      <w:lvlText w:val="•"/>
      <w:lvlJc w:val="left"/>
      <w:pPr>
        <w:ind w:left="5912" w:hanging="545"/>
      </w:pPr>
      <w:rPr>
        <w:rFonts w:hint="default"/>
        <w:lang w:val="en-US" w:eastAsia="zh-CN" w:bidi="ar-SA"/>
      </w:rPr>
    </w:lvl>
    <w:lvl w:ilvl="6">
      <w:start w:val="0"/>
      <w:numFmt w:val="bullet"/>
      <w:lvlText w:val="•"/>
      <w:lvlJc w:val="left"/>
      <w:pPr>
        <w:ind w:left="6859" w:hanging="545"/>
      </w:pPr>
      <w:rPr>
        <w:rFonts w:hint="default"/>
        <w:lang w:val="en-US" w:eastAsia="zh-CN" w:bidi="ar-SA"/>
      </w:rPr>
    </w:lvl>
    <w:lvl w:ilvl="7">
      <w:start w:val="0"/>
      <w:numFmt w:val="bullet"/>
      <w:lvlText w:val="•"/>
      <w:lvlJc w:val="left"/>
      <w:pPr>
        <w:ind w:left="7805" w:hanging="545"/>
      </w:pPr>
      <w:rPr>
        <w:rFonts w:hint="default"/>
        <w:lang w:val="en-US" w:eastAsia="zh-CN" w:bidi="ar-SA"/>
      </w:rPr>
    </w:lvl>
    <w:lvl w:ilvl="8">
      <w:start w:val="0"/>
      <w:numFmt w:val="bullet"/>
      <w:lvlText w:val="•"/>
      <w:lvlJc w:val="left"/>
      <w:pPr>
        <w:ind w:left="8752" w:hanging="545"/>
      </w:pPr>
      <w:rPr>
        <w:rFonts w:hint="default"/>
        <w:lang w:val="en-US" w:eastAsia="zh-CN" w:bidi="ar-SA"/>
      </w:rPr>
    </w:lvl>
  </w:abstractNum>
  <w:abstractNum w:abstractNumId="9">
    <w:nsid w:val="AE811F76"/>
    <w:multiLevelType w:val="multilevel"/>
    <w:tmpl w:val="AE811F76"/>
    <w:lvl w:ilvl="0">
      <w:start w:val="6"/>
      <w:numFmt w:val="decimal"/>
      <w:lvlText w:val="（%1）"/>
      <w:lvlJc w:val="left"/>
      <w:pPr>
        <w:ind w:left="215"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2">
      <w:start w:val="0"/>
      <w:numFmt w:val="bullet"/>
      <w:lvlText w:val="•"/>
      <w:lvlJc w:val="left"/>
      <w:pPr>
        <w:ind w:left="2231" w:hanging="544"/>
      </w:pPr>
      <w:rPr>
        <w:rFonts w:hint="default"/>
        <w:lang w:val="en-US" w:eastAsia="zh-CN" w:bidi="ar-SA"/>
      </w:rPr>
    </w:lvl>
    <w:lvl w:ilvl="3">
      <w:start w:val="0"/>
      <w:numFmt w:val="bullet"/>
      <w:lvlText w:val="•"/>
      <w:lvlJc w:val="left"/>
      <w:pPr>
        <w:ind w:left="3283" w:hanging="544"/>
      </w:pPr>
      <w:rPr>
        <w:rFonts w:hint="default"/>
        <w:lang w:val="en-US" w:eastAsia="zh-CN" w:bidi="ar-SA"/>
      </w:rPr>
    </w:lvl>
    <w:lvl w:ilvl="4">
      <w:start w:val="0"/>
      <w:numFmt w:val="bullet"/>
      <w:lvlText w:val="•"/>
      <w:lvlJc w:val="left"/>
      <w:pPr>
        <w:ind w:left="4335" w:hanging="544"/>
      </w:pPr>
      <w:rPr>
        <w:rFonts w:hint="default"/>
        <w:lang w:val="en-US" w:eastAsia="zh-CN" w:bidi="ar-SA"/>
      </w:rPr>
    </w:lvl>
    <w:lvl w:ilvl="5">
      <w:start w:val="0"/>
      <w:numFmt w:val="bullet"/>
      <w:lvlText w:val="•"/>
      <w:lvlJc w:val="left"/>
      <w:pPr>
        <w:ind w:left="5386" w:hanging="544"/>
      </w:pPr>
      <w:rPr>
        <w:rFonts w:hint="default"/>
        <w:lang w:val="en-US" w:eastAsia="zh-CN" w:bidi="ar-SA"/>
      </w:rPr>
    </w:lvl>
    <w:lvl w:ilvl="6">
      <w:start w:val="0"/>
      <w:numFmt w:val="bullet"/>
      <w:lvlText w:val="•"/>
      <w:lvlJc w:val="left"/>
      <w:pPr>
        <w:ind w:left="6438" w:hanging="544"/>
      </w:pPr>
      <w:rPr>
        <w:rFonts w:hint="default"/>
        <w:lang w:val="en-US" w:eastAsia="zh-CN" w:bidi="ar-SA"/>
      </w:rPr>
    </w:lvl>
    <w:lvl w:ilvl="7">
      <w:start w:val="0"/>
      <w:numFmt w:val="bullet"/>
      <w:lvlText w:val="•"/>
      <w:lvlJc w:val="left"/>
      <w:pPr>
        <w:ind w:left="7490" w:hanging="544"/>
      </w:pPr>
      <w:rPr>
        <w:rFonts w:hint="default"/>
        <w:lang w:val="en-US" w:eastAsia="zh-CN" w:bidi="ar-SA"/>
      </w:rPr>
    </w:lvl>
    <w:lvl w:ilvl="8">
      <w:start w:val="0"/>
      <w:numFmt w:val="bullet"/>
      <w:lvlText w:val="•"/>
      <w:lvlJc w:val="left"/>
      <w:pPr>
        <w:ind w:left="8541" w:hanging="544"/>
      </w:pPr>
      <w:rPr>
        <w:rFonts w:hint="default"/>
        <w:lang w:val="en-US" w:eastAsia="zh-CN" w:bidi="ar-SA"/>
      </w:rPr>
    </w:lvl>
  </w:abstractNum>
  <w:abstractNum w:abstractNumId="10">
    <w:nsid w:val="BF90AAF0"/>
    <w:multiLevelType w:val="multilevel"/>
    <w:tmpl w:val="BF90AAF0"/>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215" w:hanging="544"/>
        <w:jc w:val="left"/>
      </w:pPr>
      <w:rPr>
        <w:rFonts w:ascii="微软雅黑" w:eastAsia="微软雅黑" w:hAnsi="微软雅黑" w:cs="微软雅黑" w:hint="default"/>
        <w:b w:val="0"/>
        <w:bCs w:val="0"/>
        <w:i w:val="0"/>
        <w:iCs w:val="0"/>
        <w:spacing w:val="-18"/>
        <w:w w:val="99"/>
        <w:sz w:val="19"/>
        <w:szCs w:val="19"/>
        <w:lang w:val="en-US" w:eastAsia="zh-CN" w:bidi="ar-SA"/>
      </w:rPr>
    </w:lvl>
    <w:lvl w:ilvl="2">
      <w:start w:val="0"/>
      <w:numFmt w:val="bullet"/>
      <w:lvlText w:val="•"/>
      <w:lvlJc w:val="left"/>
      <w:pPr>
        <w:ind w:left="1858" w:hanging="544"/>
      </w:pPr>
      <w:rPr>
        <w:rFonts w:hint="default"/>
        <w:lang w:val="en-US" w:eastAsia="zh-CN" w:bidi="ar-SA"/>
      </w:rPr>
    </w:lvl>
    <w:lvl w:ilvl="3">
      <w:start w:val="0"/>
      <w:numFmt w:val="bullet"/>
      <w:lvlText w:val="•"/>
      <w:lvlJc w:val="left"/>
      <w:pPr>
        <w:ind w:left="2956" w:hanging="544"/>
      </w:pPr>
      <w:rPr>
        <w:rFonts w:hint="default"/>
        <w:lang w:val="en-US" w:eastAsia="zh-CN" w:bidi="ar-SA"/>
      </w:rPr>
    </w:lvl>
    <w:lvl w:ilvl="4">
      <w:start w:val="0"/>
      <w:numFmt w:val="bullet"/>
      <w:lvlText w:val="•"/>
      <w:lvlJc w:val="left"/>
      <w:pPr>
        <w:ind w:left="4055" w:hanging="544"/>
      </w:pPr>
      <w:rPr>
        <w:rFonts w:hint="default"/>
        <w:lang w:val="en-US" w:eastAsia="zh-CN" w:bidi="ar-SA"/>
      </w:rPr>
    </w:lvl>
    <w:lvl w:ilvl="5">
      <w:start w:val="0"/>
      <w:numFmt w:val="bullet"/>
      <w:lvlText w:val="•"/>
      <w:lvlJc w:val="left"/>
      <w:pPr>
        <w:ind w:left="5153" w:hanging="544"/>
      </w:pPr>
      <w:rPr>
        <w:rFonts w:hint="default"/>
        <w:lang w:val="en-US" w:eastAsia="zh-CN" w:bidi="ar-SA"/>
      </w:rPr>
    </w:lvl>
    <w:lvl w:ilvl="6">
      <w:start w:val="0"/>
      <w:numFmt w:val="bullet"/>
      <w:lvlText w:val="•"/>
      <w:lvlJc w:val="left"/>
      <w:pPr>
        <w:ind w:left="6251" w:hanging="544"/>
      </w:pPr>
      <w:rPr>
        <w:rFonts w:hint="default"/>
        <w:lang w:val="en-US" w:eastAsia="zh-CN" w:bidi="ar-SA"/>
      </w:rPr>
    </w:lvl>
    <w:lvl w:ilvl="7">
      <w:start w:val="0"/>
      <w:numFmt w:val="bullet"/>
      <w:lvlText w:val="•"/>
      <w:lvlJc w:val="left"/>
      <w:pPr>
        <w:ind w:left="7350" w:hanging="544"/>
      </w:pPr>
      <w:rPr>
        <w:rFonts w:hint="default"/>
        <w:lang w:val="en-US" w:eastAsia="zh-CN" w:bidi="ar-SA"/>
      </w:rPr>
    </w:lvl>
    <w:lvl w:ilvl="8">
      <w:start w:val="0"/>
      <w:numFmt w:val="bullet"/>
      <w:lvlText w:val="•"/>
      <w:lvlJc w:val="left"/>
      <w:pPr>
        <w:ind w:left="8448" w:hanging="544"/>
      </w:pPr>
      <w:rPr>
        <w:rFonts w:hint="default"/>
        <w:lang w:val="en-US" w:eastAsia="zh-CN" w:bidi="ar-SA"/>
      </w:rPr>
    </w:lvl>
  </w:abstractNum>
  <w:abstractNum w:abstractNumId="11">
    <w:nsid w:val="C56A74DE"/>
    <w:multiLevelType w:val="multilevel"/>
    <w:tmpl w:val="C56A74DE"/>
    <w:lvl w:ilvl="0">
      <w:start w:val="1"/>
      <w:numFmt w:val="decimal"/>
      <w:lvlText w:val="（%1）"/>
      <w:lvlJc w:val="left"/>
      <w:pPr>
        <w:ind w:left="220" w:hanging="648"/>
        <w:jc w:val="left"/>
      </w:pPr>
      <w:rPr>
        <w:rFonts w:ascii="微软雅黑" w:eastAsia="微软雅黑" w:hAnsi="微软雅黑" w:cs="微软雅黑" w:hint="default"/>
        <w:b w:val="0"/>
        <w:bCs w:val="0"/>
        <w:i w:val="0"/>
        <w:iCs w:val="0"/>
        <w:spacing w:val="-1"/>
        <w:w w:val="99"/>
        <w:sz w:val="21"/>
        <w:szCs w:val="21"/>
        <w:lang w:val="en-US" w:eastAsia="zh-CN" w:bidi="ar-SA"/>
      </w:rPr>
    </w:lvl>
    <w:lvl w:ilvl="1">
      <w:start w:val="0"/>
      <w:numFmt w:val="bullet"/>
      <w:lvlText w:val="•"/>
      <w:lvlJc w:val="left"/>
      <w:pPr>
        <w:ind w:left="1262" w:hanging="648"/>
      </w:pPr>
      <w:rPr>
        <w:rFonts w:hint="default"/>
        <w:lang w:val="en-US" w:eastAsia="zh-CN" w:bidi="ar-SA"/>
      </w:rPr>
    </w:lvl>
    <w:lvl w:ilvl="2">
      <w:start w:val="0"/>
      <w:numFmt w:val="bullet"/>
      <w:lvlText w:val="•"/>
      <w:lvlJc w:val="left"/>
      <w:pPr>
        <w:ind w:left="2305" w:hanging="648"/>
      </w:pPr>
      <w:rPr>
        <w:rFonts w:hint="default"/>
        <w:lang w:val="en-US" w:eastAsia="zh-CN" w:bidi="ar-SA"/>
      </w:rPr>
    </w:lvl>
    <w:lvl w:ilvl="3">
      <w:start w:val="0"/>
      <w:numFmt w:val="bullet"/>
      <w:lvlText w:val="•"/>
      <w:lvlJc w:val="left"/>
      <w:pPr>
        <w:ind w:left="3347" w:hanging="648"/>
      </w:pPr>
      <w:rPr>
        <w:rFonts w:hint="default"/>
        <w:lang w:val="en-US" w:eastAsia="zh-CN" w:bidi="ar-SA"/>
      </w:rPr>
    </w:lvl>
    <w:lvl w:ilvl="4">
      <w:start w:val="0"/>
      <w:numFmt w:val="bullet"/>
      <w:lvlText w:val="•"/>
      <w:lvlJc w:val="left"/>
      <w:pPr>
        <w:ind w:left="4390" w:hanging="648"/>
      </w:pPr>
      <w:rPr>
        <w:rFonts w:hint="default"/>
        <w:lang w:val="en-US" w:eastAsia="zh-CN" w:bidi="ar-SA"/>
      </w:rPr>
    </w:lvl>
    <w:lvl w:ilvl="5">
      <w:start w:val="0"/>
      <w:numFmt w:val="bullet"/>
      <w:lvlText w:val="•"/>
      <w:lvlJc w:val="left"/>
      <w:pPr>
        <w:ind w:left="5432" w:hanging="648"/>
      </w:pPr>
      <w:rPr>
        <w:rFonts w:hint="default"/>
        <w:lang w:val="en-US" w:eastAsia="zh-CN" w:bidi="ar-SA"/>
      </w:rPr>
    </w:lvl>
    <w:lvl w:ilvl="6">
      <w:start w:val="0"/>
      <w:numFmt w:val="bullet"/>
      <w:lvlText w:val="•"/>
      <w:lvlJc w:val="left"/>
      <w:pPr>
        <w:ind w:left="6475" w:hanging="648"/>
      </w:pPr>
      <w:rPr>
        <w:rFonts w:hint="default"/>
        <w:lang w:val="en-US" w:eastAsia="zh-CN" w:bidi="ar-SA"/>
      </w:rPr>
    </w:lvl>
    <w:lvl w:ilvl="7">
      <w:start w:val="0"/>
      <w:numFmt w:val="bullet"/>
      <w:lvlText w:val="•"/>
      <w:lvlJc w:val="left"/>
      <w:pPr>
        <w:ind w:left="7517" w:hanging="648"/>
      </w:pPr>
      <w:rPr>
        <w:rFonts w:hint="default"/>
        <w:lang w:val="en-US" w:eastAsia="zh-CN" w:bidi="ar-SA"/>
      </w:rPr>
    </w:lvl>
    <w:lvl w:ilvl="8">
      <w:start w:val="0"/>
      <w:numFmt w:val="bullet"/>
      <w:lvlText w:val="•"/>
      <w:lvlJc w:val="left"/>
      <w:pPr>
        <w:ind w:left="8560" w:hanging="648"/>
      </w:pPr>
      <w:rPr>
        <w:rFonts w:hint="default"/>
        <w:lang w:val="en-US" w:eastAsia="zh-CN" w:bidi="ar-SA"/>
      </w:rPr>
    </w:lvl>
  </w:abstractNum>
  <w:abstractNum w:abstractNumId="12">
    <w:nsid w:val="CE6FB43A"/>
    <w:multiLevelType w:val="multilevel"/>
    <w:tmpl w:val="CE6FB43A"/>
    <w:lvl w:ilvl="0">
      <w:start w:val="1"/>
      <w:numFmt w:val="decimal"/>
      <w:lvlText w:val="（%1）"/>
      <w:lvlJc w:val="left"/>
      <w:pPr>
        <w:ind w:left="76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215" w:hanging="544"/>
        <w:jc w:val="left"/>
      </w:pPr>
      <w:rPr>
        <w:rFonts w:ascii="微软雅黑" w:eastAsia="微软雅黑" w:hAnsi="微软雅黑" w:cs="微软雅黑" w:hint="default"/>
        <w:b w:val="0"/>
        <w:bCs w:val="0"/>
        <w:i w:val="0"/>
        <w:iCs w:val="0"/>
        <w:spacing w:val="-15"/>
        <w:w w:val="99"/>
        <w:sz w:val="19"/>
        <w:szCs w:val="19"/>
        <w:lang w:val="en-US" w:eastAsia="zh-CN" w:bidi="ar-SA"/>
      </w:rPr>
    </w:lvl>
    <w:lvl w:ilvl="2">
      <w:start w:val="0"/>
      <w:numFmt w:val="bullet"/>
      <w:lvlText w:val="•"/>
      <w:lvlJc w:val="left"/>
      <w:pPr>
        <w:ind w:left="1858" w:hanging="544"/>
      </w:pPr>
      <w:rPr>
        <w:rFonts w:hint="default"/>
        <w:lang w:val="en-US" w:eastAsia="zh-CN" w:bidi="ar-SA"/>
      </w:rPr>
    </w:lvl>
    <w:lvl w:ilvl="3">
      <w:start w:val="0"/>
      <w:numFmt w:val="bullet"/>
      <w:lvlText w:val="•"/>
      <w:lvlJc w:val="left"/>
      <w:pPr>
        <w:ind w:left="2956" w:hanging="544"/>
      </w:pPr>
      <w:rPr>
        <w:rFonts w:hint="default"/>
        <w:lang w:val="en-US" w:eastAsia="zh-CN" w:bidi="ar-SA"/>
      </w:rPr>
    </w:lvl>
    <w:lvl w:ilvl="4">
      <w:start w:val="0"/>
      <w:numFmt w:val="bullet"/>
      <w:lvlText w:val="•"/>
      <w:lvlJc w:val="left"/>
      <w:pPr>
        <w:ind w:left="4055" w:hanging="544"/>
      </w:pPr>
      <w:rPr>
        <w:rFonts w:hint="default"/>
        <w:lang w:val="en-US" w:eastAsia="zh-CN" w:bidi="ar-SA"/>
      </w:rPr>
    </w:lvl>
    <w:lvl w:ilvl="5">
      <w:start w:val="0"/>
      <w:numFmt w:val="bullet"/>
      <w:lvlText w:val="•"/>
      <w:lvlJc w:val="left"/>
      <w:pPr>
        <w:ind w:left="5153" w:hanging="544"/>
      </w:pPr>
      <w:rPr>
        <w:rFonts w:hint="default"/>
        <w:lang w:val="en-US" w:eastAsia="zh-CN" w:bidi="ar-SA"/>
      </w:rPr>
    </w:lvl>
    <w:lvl w:ilvl="6">
      <w:start w:val="0"/>
      <w:numFmt w:val="bullet"/>
      <w:lvlText w:val="•"/>
      <w:lvlJc w:val="left"/>
      <w:pPr>
        <w:ind w:left="6251" w:hanging="544"/>
      </w:pPr>
      <w:rPr>
        <w:rFonts w:hint="default"/>
        <w:lang w:val="en-US" w:eastAsia="zh-CN" w:bidi="ar-SA"/>
      </w:rPr>
    </w:lvl>
    <w:lvl w:ilvl="7">
      <w:start w:val="0"/>
      <w:numFmt w:val="bullet"/>
      <w:lvlText w:val="•"/>
      <w:lvlJc w:val="left"/>
      <w:pPr>
        <w:ind w:left="7350" w:hanging="544"/>
      </w:pPr>
      <w:rPr>
        <w:rFonts w:hint="default"/>
        <w:lang w:val="en-US" w:eastAsia="zh-CN" w:bidi="ar-SA"/>
      </w:rPr>
    </w:lvl>
    <w:lvl w:ilvl="8">
      <w:start w:val="0"/>
      <w:numFmt w:val="bullet"/>
      <w:lvlText w:val="•"/>
      <w:lvlJc w:val="left"/>
      <w:pPr>
        <w:ind w:left="8448" w:hanging="544"/>
      </w:pPr>
      <w:rPr>
        <w:rFonts w:hint="default"/>
        <w:lang w:val="en-US" w:eastAsia="zh-CN" w:bidi="ar-SA"/>
      </w:rPr>
    </w:lvl>
  </w:abstractNum>
  <w:abstractNum w:abstractNumId="13">
    <w:nsid w:val="D1817A99"/>
    <w:multiLevelType w:val="multilevel"/>
    <w:tmpl w:val="D1817A99"/>
    <w:lvl w:ilvl="0">
      <w:start w:val="1"/>
      <w:numFmt w:val="decimal"/>
      <w:lvlText w:val="(%1)"/>
      <w:lvlJc w:val="left"/>
      <w:pPr>
        <w:ind w:left="107" w:hanging="26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945" w:hanging="264"/>
      </w:pPr>
      <w:rPr>
        <w:rFonts w:hint="default"/>
        <w:lang w:val="en-US" w:eastAsia="zh-CN" w:bidi="ar-SA"/>
      </w:rPr>
    </w:lvl>
    <w:lvl w:ilvl="2">
      <w:start w:val="0"/>
      <w:numFmt w:val="bullet"/>
      <w:lvlText w:val="•"/>
      <w:lvlJc w:val="left"/>
      <w:pPr>
        <w:ind w:left="1791" w:hanging="264"/>
      </w:pPr>
      <w:rPr>
        <w:rFonts w:hint="default"/>
        <w:lang w:val="en-US" w:eastAsia="zh-CN" w:bidi="ar-SA"/>
      </w:rPr>
    </w:lvl>
    <w:lvl w:ilvl="3">
      <w:start w:val="0"/>
      <w:numFmt w:val="bullet"/>
      <w:lvlText w:val="•"/>
      <w:lvlJc w:val="left"/>
      <w:pPr>
        <w:ind w:left="2637" w:hanging="264"/>
      </w:pPr>
      <w:rPr>
        <w:rFonts w:hint="default"/>
        <w:lang w:val="en-US" w:eastAsia="zh-CN" w:bidi="ar-SA"/>
      </w:rPr>
    </w:lvl>
    <w:lvl w:ilvl="4">
      <w:start w:val="0"/>
      <w:numFmt w:val="bullet"/>
      <w:lvlText w:val="•"/>
      <w:lvlJc w:val="left"/>
      <w:pPr>
        <w:ind w:left="3483" w:hanging="264"/>
      </w:pPr>
      <w:rPr>
        <w:rFonts w:hint="default"/>
        <w:lang w:val="en-US" w:eastAsia="zh-CN" w:bidi="ar-SA"/>
      </w:rPr>
    </w:lvl>
    <w:lvl w:ilvl="5">
      <w:start w:val="0"/>
      <w:numFmt w:val="bullet"/>
      <w:lvlText w:val="•"/>
      <w:lvlJc w:val="left"/>
      <w:pPr>
        <w:ind w:left="4329" w:hanging="264"/>
      </w:pPr>
      <w:rPr>
        <w:rFonts w:hint="default"/>
        <w:lang w:val="en-US" w:eastAsia="zh-CN" w:bidi="ar-SA"/>
      </w:rPr>
    </w:lvl>
    <w:lvl w:ilvl="6">
      <w:start w:val="0"/>
      <w:numFmt w:val="bullet"/>
      <w:lvlText w:val="•"/>
      <w:lvlJc w:val="left"/>
      <w:pPr>
        <w:ind w:left="5175" w:hanging="264"/>
      </w:pPr>
      <w:rPr>
        <w:rFonts w:hint="default"/>
        <w:lang w:val="en-US" w:eastAsia="zh-CN" w:bidi="ar-SA"/>
      </w:rPr>
    </w:lvl>
    <w:lvl w:ilvl="7">
      <w:start w:val="0"/>
      <w:numFmt w:val="bullet"/>
      <w:lvlText w:val="•"/>
      <w:lvlJc w:val="left"/>
      <w:pPr>
        <w:ind w:left="6021" w:hanging="264"/>
      </w:pPr>
      <w:rPr>
        <w:rFonts w:hint="default"/>
        <w:lang w:val="en-US" w:eastAsia="zh-CN" w:bidi="ar-SA"/>
      </w:rPr>
    </w:lvl>
    <w:lvl w:ilvl="8">
      <w:start w:val="0"/>
      <w:numFmt w:val="bullet"/>
      <w:lvlText w:val="•"/>
      <w:lvlJc w:val="left"/>
      <w:pPr>
        <w:ind w:left="6867" w:hanging="264"/>
      </w:pPr>
      <w:rPr>
        <w:rFonts w:hint="default"/>
        <w:lang w:val="en-US" w:eastAsia="zh-CN" w:bidi="ar-SA"/>
      </w:rPr>
    </w:lvl>
  </w:abstractNum>
  <w:abstractNum w:abstractNumId="14">
    <w:nsid w:val="E3C01079"/>
    <w:multiLevelType w:val="multilevel"/>
    <w:tmpl w:val="E3C01079"/>
    <w:lvl w:ilvl="0">
      <w:start w:val="1"/>
      <w:numFmt w:val="decimal"/>
      <w:lvlText w:val="%1）"/>
      <w:lvlJc w:val="left"/>
      <w:pPr>
        <w:ind w:left="870" w:hanging="444"/>
        <w:jc w:val="left"/>
      </w:pPr>
      <w:rPr>
        <w:rFonts w:ascii="微软雅黑" w:eastAsia="微软雅黑" w:hAnsi="微软雅黑" w:cs="微软雅黑" w:hint="default"/>
        <w:b/>
        <w:bCs/>
        <w:i w:val="0"/>
        <w:iCs w:val="0"/>
        <w:color w:val="C00000"/>
        <w:w w:val="99"/>
        <w:sz w:val="21"/>
        <w:szCs w:val="21"/>
        <w:lang w:val="en-US" w:eastAsia="zh-CN" w:bidi="ar-SA"/>
      </w:rPr>
    </w:lvl>
    <w:lvl w:ilvl="1">
      <w:start w:val="1"/>
      <w:numFmt w:val="decimal"/>
      <w:lvlText w:val="（%2）"/>
      <w:lvlJc w:val="left"/>
      <w:pPr>
        <w:ind w:left="1179" w:hanging="545"/>
        <w:jc w:val="right"/>
      </w:pPr>
      <w:rPr>
        <w:rFonts w:ascii="微软雅黑" w:eastAsia="微软雅黑" w:hAnsi="微软雅黑" w:cs="微软雅黑" w:hint="default"/>
        <w:b w:val="0"/>
        <w:bCs w:val="0"/>
        <w:i w:val="0"/>
        <w:iCs w:val="0"/>
        <w:spacing w:val="-1"/>
        <w:w w:val="99"/>
        <w:sz w:val="19"/>
        <w:szCs w:val="19"/>
        <w:lang w:val="en-US" w:eastAsia="zh-CN" w:bidi="ar-SA"/>
      </w:rPr>
    </w:lvl>
    <w:lvl w:ilvl="2">
      <w:start w:val="1"/>
      <w:numFmt w:val="decimal"/>
      <w:lvlText w:val="%3）"/>
      <w:lvlJc w:val="left"/>
      <w:pPr>
        <w:ind w:left="215" w:hanging="335"/>
        <w:jc w:val="left"/>
      </w:pPr>
      <w:rPr>
        <w:rFonts w:ascii="微软雅黑" w:eastAsia="微软雅黑" w:hAnsi="微软雅黑" w:cs="微软雅黑" w:hint="default"/>
        <w:b w:val="0"/>
        <w:bCs w:val="0"/>
        <w:i w:val="0"/>
        <w:iCs w:val="0"/>
        <w:spacing w:val="-29"/>
        <w:w w:val="99"/>
        <w:sz w:val="19"/>
        <w:szCs w:val="19"/>
        <w:lang w:val="en-US" w:eastAsia="zh-CN" w:bidi="ar-SA"/>
      </w:rPr>
    </w:lvl>
    <w:lvl w:ilvl="3">
      <w:start w:val="0"/>
      <w:numFmt w:val="bullet"/>
      <w:lvlText w:val="•"/>
      <w:lvlJc w:val="left"/>
      <w:pPr>
        <w:ind w:left="2363" w:hanging="335"/>
      </w:pPr>
      <w:rPr>
        <w:rFonts w:hint="default"/>
        <w:lang w:val="en-US" w:eastAsia="zh-CN" w:bidi="ar-SA"/>
      </w:rPr>
    </w:lvl>
    <w:lvl w:ilvl="4">
      <w:start w:val="0"/>
      <w:numFmt w:val="bullet"/>
      <w:lvlText w:val="•"/>
      <w:lvlJc w:val="left"/>
      <w:pPr>
        <w:ind w:left="3546" w:hanging="335"/>
      </w:pPr>
      <w:rPr>
        <w:rFonts w:hint="default"/>
        <w:lang w:val="en-US" w:eastAsia="zh-CN" w:bidi="ar-SA"/>
      </w:rPr>
    </w:lvl>
    <w:lvl w:ilvl="5">
      <w:start w:val="0"/>
      <w:numFmt w:val="bullet"/>
      <w:lvlText w:val="•"/>
      <w:lvlJc w:val="left"/>
      <w:pPr>
        <w:ind w:left="4729" w:hanging="335"/>
      </w:pPr>
      <w:rPr>
        <w:rFonts w:hint="default"/>
        <w:lang w:val="en-US" w:eastAsia="zh-CN" w:bidi="ar-SA"/>
      </w:rPr>
    </w:lvl>
    <w:lvl w:ilvl="6">
      <w:start w:val="0"/>
      <w:numFmt w:val="bullet"/>
      <w:lvlText w:val="•"/>
      <w:lvlJc w:val="left"/>
      <w:pPr>
        <w:ind w:left="5912" w:hanging="335"/>
      </w:pPr>
      <w:rPr>
        <w:rFonts w:hint="default"/>
        <w:lang w:val="en-US" w:eastAsia="zh-CN" w:bidi="ar-SA"/>
      </w:rPr>
    </w:lvl>
    <w:lvl w:ilvl="7">
      <w:start w:val="0"/>
      <w:numFmt w:val="bullet"/>
      <w:lvlText w:val="•"/>
      <w:lvlJc w:val="left"/>
      <w:pPr>
        <w:ind w:left="7095" w:hanging="335"/>
      </w:pPr>
      <w:rPr>
        <w:rFonts w:hint="default"/>
        <w:lang w:val="en-US" w:eastAsia="zh-CN" w:bidi="ar-SA"/>
      </w:rPr>
    </w:lvl>
    <w:lvl w:ilvl="8">
      <w:start w:val="0"/>
      <w:numFmt w:val="bullet"/>
      <w:lvlText w:val="•"/>
      <w:lvlJc w:val="left"/>
      <w:pPr>
        <w:ind w:left="8278" w:hanging="335"/>
      </w:pPr>
      <w:rPr>
        <w:rFonts w:hint="default"/>
        <w:lang w:val="en-US" w:eastAsia="zh-CN" w:bidi="ar-SA"/>
      </w:rPr>
    </w:lvl>
  </w:abstractNum>
  <w:abstractNum w:abstractNumId="15">
    <w:nsid w:val="E4D8E422"/>
    <w:multiLevelType w:val="multilevel"/>
    <w:tmpl w:val="E4D8E422"/>
    <w:lvl w:ilvl="0">
      <w:start w:val="1"/>
      <w:numFmt w:val="decimal"/>
      <w:lvlText w:val="（%1）"/>
      <w:lvlJc w:val="left"/>
      <w:pPr>
        <w:ind w:left="76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8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2">
      <w:start w:val="0"/>
      <w:numFmt w:val="bullet"/>
      <w:lvlText w:val="•"/>
      <w:lvlJc w:val="left"/>
      <w:pPr>
        <w:ind w:left="2231" w:hanging="545"/>
      </w:pPr>
      <w:rPr>
        <w:rFonts w:hint="default"/>
        <w:lang w:val="en-US" w:eastAsia="zh-CN" w:bidi="ar-SA"/>
      </w:rPr>
    </w:lvl>
    <w:lvl w:ilvl="3">
      <w:start w:val="0"/>
      <w:numFmt w:val="bullet"/>
      <w:lvlText w:val="•"/>
      <w:lvlJc w:val="left"/>
      <w:pPr>
        <w:ind w:left="3283" w:hanging="545"/>
      </w:pPr>
      <w:rPr>
        <w:rFonts w:hint="default"/>
        <w:lang w:val="en-US" w:eastAsia="zh-CN" w:bidi="ar-SA"/>
      </w:rPr>
    </w:lvl>
    <w:lvl w:ilvl="4">
      <w:start w:val="0"/>
      <w:numFmt w:val="bullet"/>
      <w:lvlText w:val="•"/>
      <w:lvlJc w:val="left"/>
      <w:pPr>
        <w:ind w:left="4335" w:hanging="545"/>
      </w:pPr>
      <w:rPr>
        <w:rFonts w:hint="default"/>
        <w:lang w:val="en-US" w:eastAsia="zh-CN" w:bidi="ar-SA"/>
      </w:rPr>
    </w:lvl>
    <w:lvl w:ilvl="5">
      <w:start w:val="0"/>
      <w:numFmt w:val="bullet"/>
      <w:lvlText w:val="•"/>
      <w:lvlJc w:val="left"/>
      <w:pPr>
        <w:ind w:left="5386" w:hanging="545"/>
      </w:pPr>
      <w:rPr>
        <w:rFonts w:hint="default"/>
        <w:lang w:val="en-US" w:eastAsia="zh-CN" w:bidi="ar-SA"/>
      </w:rPr>
    </w:lvl>
    <w:lvl w:ilvl="6">
      <w:start w:val="0"/>
      <w:numFmt w:val="bullet"/>
      <w:lvlText w:val="•"/>
      <w:lvlJc w:val="left"/>
      <w:pPr>
        <w:ind w:left="6438" w:hanging="545"/>
      </w:pPr>
      <w:rPr>
        <w:rFonts w:hint="default"/>
        <w:lang w:val="en-US" w:eastAsia="zh-CN" w:bidi="ar-SA"/>
      </w:rPr>
    </w:lvl>
    <w:lvl w:ilvl="7">
      <w:start w:val="0"/>
      <w:numFmt w:val="bullet"/>
      <w:lvlText w:val="•"/>
      <w:lvlJc w:val="left"/>
      <w:pPr>
        <w:ind w:left="7490" w:hanging="545"/>
      </w:pPr>
      <w:rPr>
        <w:rFonts w:hint="default"/>
        <w:lang w:val="en-US" w:eastAsia="zh-CN" w:bidi="ar-SA"/>
      </w:rPr>
    </w:lvl>
    <w:lvl w:ilvl="8">
      <w:start w:val="0"/>
      <w:numFmt w:val="bullet"/>
      <w:lvlText w:val="•"/>
      <w:lvlJc w:val="left"/>
      <w:pPr>
        <w:ind w:left="8541" w:hanging="545"/>
      </w:pPr>
      <w:rPr>
        <w:rFonts w:hint="default"/>
        <w:lang w:val="en-US" w:eastAsia="zh-CN" w:bidi="ar-SA"/>
      </w:rPr>
    </w:lvl>
  </w:abstractNum>
  <w:abstractNum w:abstractNumId="16">
    <w:nsid w:val="E8106D4C"/>
    <w:multiLevelType w:val="multilevel"/>
    <w:tmpl w:val="E8106D4C"/>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22"/>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17">
    <w:nsid w:val="F0AE400A"/>
    <w:multiLevelType w:val="multilevel"/>
    <w:tmpl w:val="F0AE400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44"/>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18">
    <w:nsid w:val="F815003A"/>
    <w:multiLevelType w:val="multilevel"/>
    <w:tmpl w:val="F815003A"/>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19">
    <w:nsid w:val="03B6F3FC"/>
    <w:multiLevelType w:val="multilevel"/>
    <w:tmpl w:val="03B6F3FC"/>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3"/>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20">
    <w:nsid w:val="04EBC333"/>
    <w:multiLevelType w:val="multilevel"/>
    <w:tmpl w:val="6C740873"/>
    <w:lvl w:ilvl="0">
      <w:start w:val="1"/>
      <w:numFmt w:val="decimal"/>
      <w:lvlText w:val="（%1）"/>
      <w:lvlJc w:val="left"/>
      <w:pPr>
        <w:ind w:left="1180" w:hanging="545"/>
        <w:jc w:val="righ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78" w:hanging="544"/>
        <w:jc w:val="left"/>
      </w:pPr>
      <w:rPr>
        <w:rFonts w:ascii="微软雅黑" w:eastAsia="微软雅黑" w:hAnsi="微软雅黑" w:cs="微软雅黑" w:hint="default"/>
        <w:b w:val="0"/>
        <w:bCs w:val="0"/>
        <w:i w:val="0"/>
        <w:iCs w:val="0"/>
        <w:spacing w:val="-30"/>
        <w:w w:val="99"/>
        <w:sz w:val="19"/>
        <w:szCs w:val="19"/>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21">
    <w:nsid w:val="05734AB5"/>
    <w:multiLevelType w:val="multilevel"/>
    <w:tmpl w:val="E4D8E422"/>
    <w:lvl w:ilvl="0">
      <w:start w:val="1"/>
      <w:numFmt w:val="decimal"/>
      <w:lvlText w:val="（%1）"/>
      <w:lvlJc w:val="left"/>
      <w:pPr>
        <w:ind w:left="76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8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2">
      <w:start w:val="0"/>
      <w:numFmt w:val="bullet"/>
      <w:lvlText w:val="•"/>
      <w:lvlJc w:val="left"/>
      <w:pPr>
        <w:ind w:left="2231" w:hanging="545"/>
      </w:pPr>
      <w:rPr>
        <w:rFonts w:hint="default"/>
        <w:lang w:val="en-US" w:eastAsia="zh-CN" w:bidi="ar-SA"/>
      </w:rPr>
    </w:lvl>
    <w:lvl w:ilvl="3">
      <w:start w:val="0"/>
      <w:numFmt w:val="bullet"/>
      <w:lvlText w:val="•"/>
      <w:lvlJc w:val="left"/>
      <w:pPr>
        <w:ind w:left="3283" w:hanging="545"/>
      </w:pPr>
      <w:rPr>
        <w:rFonts w:hint="default"/>
        <w:lang w:val="en-US" w:eastAsia="zh-CN" w:bidi="ar-SA"/>
      </w:rPr>
    </w:lvl>
    <w:lvl w:ilvl="4">
      <w:start w:val="0"/>
      <w:numFmt w:val="bullet"/>
      <w:lvlText w:val="•"/>
      <w:lvlJc w:val="left"/>
      <w:pPr>
        <w:ind w:left="4335" w:hanging="545"/>
      </w:pPr>
      <w:rPr>
        <w:rFonts w:hint="default"/>
        <w:lang w:val="en-US" w:eastAsia="zh-CN" w:bidi="ar-SA"/>
      </w:rPr>
    </w:lvl>
    <w:lvl w:ilvl="5">
      <w:start w:val="0"/>
      <w:numFmt w:val="bullet"/>
      <w:lvlText w:val="•"/>
      <w:lvlJc w:val="left"/>
      <w:pPr>
        <w:ind w:left="5386" w:hanging="545"/>
      </w:pPr>
      <w:rPr>
        <w:rFonts w:hint="default"/>
        <w:lang w:val="en-US" w:eastAsia="zh-CN" w:bidi="ar-SA"/>
      </w:rPr>
    </w:lvl>
    <w:lvl w:ilvl="6">
      <w:start w:val="0"/>
      <w:numFmt w:val="bullet"/>
      <w:lvlText w:val="•"/>
      <w:lvlJc w:val="left"/>
      <w:pPr>
        <w:ind w:left="6438" w:hanging="545"/>
      </w:pPr>
      <w:rPr>
        <w:rFonts w:hint="default"/>
        <w:lang w:val="en-US" w:eastAsia="zh-CN" w:bidi="ar-SA"/>
      </w:rPr>
    </w:lvl>
    <w:lvl w:ilvl="7">
      <w:start w:val="0"/>
      <w:numFmt w:val="bullet"/>
      <w:lvlText w:val="•"/>
      <w:lvlJc w:val="left"/>
      <w:pPr>
        <w:ind w:left="7490" w:hanging="545"/>
      </w:pPr>
      <w:rPr>
        <w:rFonts w:hint="default"/>
        <w:lang w:val="en-US" w:eastAsia="zh-CN" w:bidi="ar-SA"/>
      </w:rPr>
    </w:lvl>
    <w:lvl w:ilvl="8">
      <w:start w:val="0"/>
      <w:numFmt w:val="bullet"/>
      <w:lvlText w:val="•"/>
      <w:lvlJc w:val="left"/>
      <w:pPr>
        <w:ind w:left="8541" w:hanging="545"/>
      </w:pPr>
      <w:rPr>
        <w:rFonts w:hint="default"/>
        <w:lang w:val="en-US" w:eastAsia="zh-CN" w:bidi="ar-SA"/>
      </w:rPr>
    </w:lvl>
  </w:abstractNum>
  <w:abstractNum w:abstractNumId="22">
    <w:nsid w:val="126A90BD"/>
    <w:multiLevelType w:val="multilevel"/>
    <w:tmpl w:val="532FCC4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5"/>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23">
    <w:nsid w:val="12991016"/>
    <w:multiLevelType w:val="multilevel"/>
    <w:tmpl w:val="E8106D4C"/>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22"/>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24">
    <w:nsid w:val="13FE0044"/>
    <w:multiLevelType w:val="multilevel"/>
    <w:tmpl w:val="5EFCBBDA"/>
    <w:lvl w:ilvl="0">
      <w:start w:val="1"/>
      <w:numFmt w:val="decimal"/>
      <w:lvlText w:val="（%1）"/>
      <w:lvlJc w:val="left"/>
      <w:pPr>
        <w:ind w:left="215"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1262" w:hanging="545"/>
      </w:pPr>
      <w:rPr>
        <w:rFonts w:hint="default"/>
        <w:lang w:val="en-US" w:eastAsia="zh-CN" w:bidi="ar-SA"/>
      </w:rPr>
    </w:lvl>
    <w:lvl w:ilvl="2">
      <w:start w:val="0"/>
      <w:numFmt w:val="bullet"/>
      <w:lvlText w:val="•"/>
      <w:lvlJc w:val="left"/>
      <w:pPr>
        <w:ind w:left="2305" w:hanging="545"/>
      </w:pPr>
      <w:rPr>
        <w:rFonts w:hint="default"/>
        <w:lang w:val="en-US" w:eastAsia="zh-CN" w:bidi="ar-SA"/>
      </w:rPr>
    </w:lvl>
    <w:lvl w:ilvl="3">
      <w:start w:val="0"/>
      <w:numFmt w:val="bullet"/>
      <w:lvlText w:val="•"/>
      <w:lvlJc w:val="left"/>
      <w:pPr>
        <w:ind w:left="3347" w:hanging="545"/>
      </w:pPr>
      <w:rPr>
        <w:rFonts w:hint="default"/>
        <w:lang w:val="en-US" w:eastAsia="zh-CN" w:bidi="ar-SA"/>
      </w:rPr>
    </w:lvl>
    <w:lvl w:ilvl="4">
      <w:start w:val="0"/>
      <w:numFmt w:val="bullet"/>
      <w:lvlText w:val="•"/>
      <w:lvlJc w:val="left"/>
      <w:pPr>
        <w:ind w:left="4390" w:hanging="545"/>
      </w:pPr>
      <w:rPr>
        <w:rFonts w:hint="default"/>
        <w:lang w:val="en-US" w:eastAsia="zh-CN" w:bidi="ar-SA"/>
      </w:rPr>
    </w:lvl>
    <w:lvl w:ilvl="5">
      <w:start w:val="0"/>
      <w:numFmt w:val="bullet"/>
      <w:lvlText w:val="•"/>
      <w:lvlJc w:val="left"/>
      <w:pPr>
        <w:ind w:left="5432" w:hanging="545"/>
      </w:pPr>
      <w:rPr>
        <w:rFonts w:hint="default"/>
        <w:lang w:val="en-US" w:eastAsia="zh-CN" w:bidi="ar-SA"/>
      </w:rPr>
    </w:lvl>
    <w:lvl w:ilvl="6">
      <w:start w:val="0"/>
      <w:numFmt w:val="bullet"/>
      <w:lvlText w:val="•"/>
      <w:lvlJc w:val="left"/>
      <w:pPr>
        <w:ind w:left="6475" w:hanging="545"/>
      </w:pPr>
      <w:rPr>
        <w:rFonts w:hint="default"/>
        <w:lang w:val="en-US" w:eastAsia="zh-CN" w:bidi="ar-SA"/>
      </w:rPr>
    </w:lvl>
    <w:lvl w:ilvl="7">
      <w:start w:val="0"/>
      <w:numFmt w:val="bullet"/>
      <w:lvlText w:val="•"/>
      <w:lvlJc w:val="left"/>
      <w:pPr>
        <w:ind w:left="7517" w:hanging="545"/>
      </w:pPr>
      <w:rPr>
        <w:rFonts w:hint="default"/>
        <w:lang w:val="en-US" w:eastAsia="zh-CN" w:bidi="ar-SA"/>
      </w:rPr>
    </w:lvl>
    <w:lvl w:ilvl="8">
      <w:start w:val="0"/>
      <w:numFmt w:val="bullet"/>
      <w:lvlText w:val="•"/>
      <w:lvlJc w:val="left"/>
      <w:pPr>
        <w:ind w:left="8560" w:hanging="545"/>
      </w:pPr>
      <w:rPr>
        <w:rFonts w:hint="default"/>
        <w:lang w:val="en-US" w:eastAsia="zh-CN" w:bidi="ar-SA"/>
      </w:rPr>
    </w:lvl>
  </w:abstractNum>
  <w:abstractNum w:abstractNumId="25">
    <w:nsid w:val="23BE88EB"/>
    <w:multiLevelType w:val="multilevel"/>
    <w:tmpl w:val="23BE88EB"/>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26">
    <w:nsid w:val="296034FB"/>
    <w:multiLevelType w:val="multilevel"/>
    <w:tmpl w:val="8FB0CBB5"/>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215" w:hanging="548"/>
        <w:jc w:val="left"/>
      </w:pPr>
      <w:rPr>
        <w:rFonts w:ascii="微软雅黑" w:eastAsia="微软雅黑" w:hAnsi="微软雅黑" w:cs="微软雅黑" w:hint="default"/>
        <w:b w:val="0"/>
        <w:bCs w:val="0"/>
        <w:i w:val="0"/>
        <w:iCs w:val="0"/>
        <w:spacing w:val="2"/>
        <w:w w:val="99"/>
        <w:sz w:val="19"/>
        <w:szCs w:val="19"/>
        <w:lang w:val="en-US" w:eastAsia="zh-CN" w:bidi="ar-SA"/>
      </w:rPr>
    </w:lvl>
    <w:lvl w:ilvl="2">
      <w:start w:val="1"/>
      <w:numFmt w:val="decimal"/>
      <w:lvlText w:val="（%3）"/>
      <w:lvlJc w:val="left"/>
      <w:pPr>
        <w:ind w:left="1284"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3">
      <w:start w:val="0"/>
      <w:numFmt w:val="bullet"/>
      <w:lvlText w:val="•"/>
      <w:lvlJc w:val="left"/>
      <w:pPr>
        <w:ind w:left="2450" w:hanging="544"/>
      </w:pPr>
      <w:rPr>
        <w:rFonts w:hint="default"/>
        <w:lang w:val="en-US" w:eastAsia="zh-CN" w:bidi="ar-SA"/>
      </w:rPr>
    </w:lvl>
    <w:lvl w:ilvl="4">
      <w:start w:val="0"/>
      <w:numFmt w:val="bullet"/>
      <w:lvlText w:val="•"/>
      <w:lvlJc w:val="left"/>
      <w:pPr>
        <w:ind w:left="3621" w:hanging="544"/>
      </w:pPr>
      <w:rPr>
        <w:rFonts w:hint="default"/>
        <w:lang w:val="en-US" w:eastAsia="zh-CN" w:bidi="ar-SA"/>
      </w:rPr>
    </w:lvl>
    <w:lvl w:ilvl="5">
      <w:start w:val="0"/>
      <w:numFmt w:val="bullet"/>
      <w:lvlText w:val="•"/>
      <w:lvlJc w:val="left"/>
      <w:pPr>
        <w:ind w:left="4791" w:hanging="544"/>
      </w:pPr>
      <w:rPr>
        <w:rFonts w:hint="default"/>
        <w:lang w:val="en-US" w:eastAsia="zh-CN" w:bidi="ar-SA"/>
      </w:rPr>
    </w:lvl>
    <w:lvl w:ilvl="6">
      <w:start w:val="0"/>
      <w:numFmt w:val="bullet"/>
      <w:lvlText w:val="•"/>
      <w:lvlJc w:val="left"/>
      <w:pPr>
        <w:ind w:left="5962" w:hanging="544"/>
      </w:pPr>
      <w:rPr>
        <w:rFonts w:hint="default"/>
        <w:lang w:val="en-US" w:eastAsia="zh-CN" w:bidi="ar-SA"/>
      </w:rPr>
    </w:lvl>
    <w:lvl w:ilvl="7">
      <w:start w:val="0"/>
      <w:numFmt w:val="bullet"/>
      <w:lvlText w:val="•"/>
      <w:lvlJc w:val="left"/>
      <w:pPr>
        <w:ind w:left="7133" w:hanging="544"/>
      </w:pPr>
      <w:rPr>
        <w:rFonts w:hint="default"/>
        <w:lang w:val="en-US" w:eastAsia="zh-CN" w:bidi="ar-SA"/>
      </w:rPr>
    </w:lvl>
    <w:lvl w:ilvl="8">
      <w:start w:val="0"/>
      <w:numFmt w:val="bullet"/>
      <w:lvlText w:val="•"/>
      <w:lvlJc w:val="left"/>
      <w:pPr>
        <w:ind w:left="8303" w:hanging="544"/>
      </w:pPr>
      <w:rPr>
        <w:rFonts w:hint="default"/>
        <w:lang w:val="en-US" w:eastAsia="zh-CN" w:bidi="ar-SA"/>
      </w:rPr>
    </w:lvl>
  </w:abstractNum>
  <w:abstractNum w:abstractNumId="27">
    <w:nsid w:val="2E1EDEFF"/>
    <w:multiLevelType w:val="multilevel"/>
    <w:tmpl w:val="60054CB4"/>
    <w:lvl w:ilvl="0">
      <w:start w:val="1"/>
      <w:numFmt w:val="decimal"/>
      <w:lvlText w:val="（%1）"/>
      <w:lvlJc w:val="left"/>
      <w:pPr>
        <w:ind w:left="1179"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5"/>
      </w:pPr>
      <w:rPr>
        <w:rFonts w:hint="default"/>
        <w:lang w:val="en-US" w:eastAsia="zh-CN" w:bidi="ar-SA"/>
      </w:rPr>
    </w:lvl>
    <w:lvl w:ilvl="2">
      <w:start w:val="0"/>
      <w:numFmt w:val="bullet"/>
      <w:lvlText w:val="•"/>
      <w:lvlJc w:val="left"/>
      <w:pPr>
        <w:ind w:left="3073" w:hanging="545"/>
      </w:pPr>
      <w:rPr>
        <w:rFonts w:hint="default"/>
        <w:lang w:val="en-US" w:eastAsia="zh-CN" w:bidi="ar-SA"/>
      </w:rPr>
    </w:lvl>
    <w:lvl w:ilvl="3">
      <w:start w:val="0"/>
      <w:numFmt w:val="bullet"/>
      <w:lvlText w:val="•"/>
      <w:lvlJc w:val="left"/>
      <w:pPr>
        <w:ind w:left="4019" w:hanging="545"/>
      </w:pPr>
      <w:rPr>
        <w:rFonts w:hint="default"/>
        <w:lang w:val="en-US" w:eastAsia="zh-CN" w:bidi="ar-SA"/>
      </w:rPr>
    </w:lvl>
    <w:lvl w:ilvl="4">
      <w:start w:val="0"/>
      <w:numFmt w:val="bullet"/>
      <w:lvlText w:val="•"/>
      <w:lvlJc w:val="left"/>
      <w:pPr>
        <w:ind w:left="4966" w:hanging="545"/>
      </w:pPr>
      <w:rPr>
        <w:rFonts w:hint="default"/>
        <w:lang w:val="en-US" w:eastAsia="zh-CN" w:bidi="ar-SA"/>
      </w:rPr>
    </w:lvl>
    <w:lvl w:ilvl="5">
      <w:start w:val="0"/>
      <w:numFmt w:val="bullet"/>
      <w:lvlText w:val="•"/>
      <w:lvlJc w:val="left"/>
      <w:pPr>
        <w:ind w:left="5912" w:hanging="545"/>
      </w:pPr>
      <w:rPr>
        <w:rFonts w:hint="default"/>
        <w:lang w:val="en-US" w:eastAsia="zh-CN" w:bidi="ar-SA"/>
      </w:rPr>
    </w:lvl>
    <w:lvl w:ilvl="6">
      <w:start w:val="0"/>
      <w:numFmt w:val="bullet"/>
      <w:lvlText w:val="•"/>
      <w:lvlJc w:val="left"/>
      <w:pPr>
        <w:ind w:left="6859" w:hanging="545"/>
      </w:pPr>
      <w:rPr>
        <w:rFonts w:hint="default"/>
        <w:lang w:val="en-US" w:eastAsia="zh-CN" w:bidi="ar-SA"/>
      </w:rPr>
    </w:lvl>
    <w:lvl w:ilvl="7">
      <w:start w:val="0"/>
      <w:numFmt w:val="bullet"/>
      <w:lvlText w:val="•"/>
      <w:lvlJc w:val="left"/>
      <w:pPr>
        <w:ind w:left="7805" w:hanging="545"/>
      </w:pPr>
      <w:rPr>
        <w:rFonts w:hint="default"/>
        <w:lang w:val="en-US" w:eastAsia="zh-CN" w:bidi="ar-SA"/>
      </w:rPr>
    </w:lvl>
    <w:lvl w:ilvl="8">
      <w:start w:val="0"/>
      <w:numFmt w:val="bullet"/>
      <w:lvlText w:val="•"/>
      <w:lvlJc w:val="left"/>
      <w:pPr>
        <w:ind w:left="8752" w:hanging="545"/>
      </w:pPr>
      <w:rPr>
        <w:rFonts w:hint="default"/>
        <w:lang w:val="en-US" w:eastAsia="zh-CN" w:bidi="ar-SA"/>
      </w:rPr>
    </w:lvl>
  </w:abstractNum>
  <w:abstractNum w:abstractNumId="28">
    <w:nsid w:val="37FA3CB1"/>
    <w:multiLevelType w:val="multilevel"/>
    <w:tmpl w:val="532FCC4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5"/>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29">
    <w:nsid w:val="4415A508"/>
    <w:multiLevelType w:val="multilevel"/>
    <w:tmpl w:val="4415A508"/>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44"/>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0">
    <w:nsid w:val="532FCC4A"/>
    <w:multiLevelType w:val="multilevel"/>
    <w:tmpl w:val="532FCC4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5"/>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1">
    <w:nsid w:val="54738A7E"/>
    <w:multiLevelType w:val="multilevel"/>
    <w:tmpl w:val="F0AE400A"/>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44"/>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2">
    <w:nsid w:val="55AEA6E2"/>
    <w:multiLevelType w:val="multilevel"/>
    <w:tmpl w:val="6B20502E"/>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8"/>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3">
    <w:nsid w:val="56408E0B"/>
    <w:multiLevelType w:val="multilevel"/>
    <w:tmpl w:val="23BE88EB"/>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34">
    <w:nsid w:val="57202AA4"/>
    <w:multiLevelType w:val="multilevel"/>
    <w:tmpl w:val="CE6FB43A"/>
    <w:lvl w:ilvl="0">
      <w:start w:val="1"/>
      <w:numFmt w:val="decimal"/>
      <w:lvlText w:val="（%1）"/>
      <w:lvlJc w:val="left"/>
      <w:pPr>
        <w:ind w:left="760"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215" w:hanging="544"/>
        <w:jc w:val="left"/>
      </w:pPr>
      <w:rPr>
        <w:rFonts w:ascii="微软雅黑" w:eastAsia="微软雅黑" w:hAnsi="微软雅黑" w:cs="微软雅黑" w:hint="default"/>
        <w:b w:val="0"/>
        <w:bCs w:val="0"/>
        <w:i w:val="0"/>
        <w:iCs w:val="0"/>
        <w:spacing w:val="-15"/>
        <w:w w:val="99"/>
        <w:sz w:val="19"/>
        <w:szCs w:val="19"/>
        <w:lang w:val="en-US" w:eastAsia="zh-CN" w:bidi="ar-SA"/>
      </w:rPr>
    </w:lvl>
    <w:lvl w:ilvl="2">
      <w:start w:val="0"/>
      <w:numFmt w:val="bullet"/>
      <w:lvlText w:val="•"/>
      <w:lvlJc w:val="left"/>
      <w:pPr>
        <w:ind w:left="1858" w:hanging="544"/>
      </w:pPr>
      <w:rPr>
        <w:rFonts w:hint="default"/>
        <w:lang w:val="en-US" w:eastAsia="zh-CN" w:bidi="ar-SA"/>
      </w:rPr>
    </w:lvl>
    <w:lvl w:ilvl="3">
      <w:start w:val="0"/>
      <w:numFmt w:val="bullet"/>
      <w:lvlText w:val="•"/>
      <w:lvlJc w:val="left"/>
      <w:pPr>
        <w:ind w:left="2956" w:hanging="544"/>
      </w:pPr>
      <w:rPr>
        <w:rFonts w:hint="default"/>
        <w:lang w:val="en-US" w:eastAsia="zh-CN" w:bidi="ar-SA"/>
      </w:rPr>
    </w:lvl>
    <w:lvl w:ilvl="4">
      <w:start w:val="0"/>
      <w:numFmt w:val="bullet"/>
      <w:lvlText w:val="•"/>
      <w:lvlJc w:val="left"/>
      <w:pPr>
        <w:ind w:left="4055" w:hanging="544"/>
      </w:pPr>
      <w:rPr>
        <w:rFonts w:hint="default"/>
        <w:lang w:val="en-US" w:eastAsia="zh-CN" w:bidi="ar-SA"/>
      </w:rPr>
    </w:lvl>
    <w:lvl w:ilvl="5">
      <w:start w:val="0"/>
      <w:numFmt w:val="bullet"/>
      <w:lvlText w:val="•"/>
      <w:lvlJc w:val="left"/>
      <w:pPr>
        <w:ind w:left="5153" w:hanging="544"/>
      </w:pPr>
      <w:rPr>
        <w:rFonts w:hint="default"/>
        <w:lang w:val="en-US" w:eastAsia="zh-CN" w:bidi="ar-SA"/>
      </w:rPr>
    </w:lvl>
    <w:lvl w:ilvl="6">
      <w:start w:val="0"/>
      <w:numFmt w:val="bullet"/>
      <w:lvlText w:val="•"/>
      <w:lvlJc w:val="left"/>
      <w:pPr>
        <w:ind w:left="6251" w:hanging="544"/>
      </w:pPr>
      <w:rPr>
        <w:rFonts w:hint="default"/>
        <w:lang w:val="en-US" w:eastAsia="zh-CN" w:bidi="ar-SA"/>
      </w:rPr>
    </w:lvl>
    <w:lvl w:ilvl="7">
      <w:start w:val="0"/>
      <w:numFmt w:val="bullet"/>
      <w:lvlText w:val="•"/>
      <w:lvlJc w:val="left"/>
      <w:pPr>
        <w:ind w:left="7350" w:hanging="544"/>
      </w:pPr>
      <w:rPr>
        <w:rFonts w:hint="default"/>
        <w:lang w:val="en-US" w:eastAsia="zh-CN" w:bidi="ar-SA"/>
      </w:rPr>
    </w:lvl>
    <w:lvl w:ilvl="8">
      <w:start w:val="0"/>
      <w:numFmt w:val="bullet"/>
      <w:lvlText w:val="•"/>
      <w:lvlJc w:val="left"/>
      <w:pPr>
        <w:ind w:left="8448" w:hanging="544"/>
      </w:pPr>
      <w:rPr>
        <w:rFonts w:hint="default"/>
        <w:lang w:val="en-US" w:eastAsia="zh-CN" w:bidi="ar-SA"/>
      </w:rPr>
    </w:lvl>
  </w:abstractNum>
  <w:abstractNum w:abstractNumId="35">
    <w:nsid w:val="5EFCBBDA"/>
    <w:multiLevelType w:val="multilevel"/>
    <w:tmpl w:val="5EFCBBDA"/>
    <w:lvl w:ilvl="0">
      <w:start w:val="1"/>
      <w:numFmt w:val="decimal"/>
      <w:lvlText w:val="（%1）"/>
      <w:lvlJc w:val="left"/>
      <w:pPr>
        <w:ind w:left="215"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1262" w:hanging="545"/>
      </w:pPr>
      <w:rPr>
        <w:rFonts w:hint="default"/>
        <w:lang w:val="en-US" w:eastAsia="zh-CN" w:bidi="ar-SA"/>
      </w:rPr>
    </w:lvl>
    <w:lvl w:ilvl="2">
      <w:start w:val="0"/>
      <w:numFmt w:val="bullet"/>
      <w:lvlText w:val="•"/>
      <w:lvlJc w:val="left"/>
      <w:pPr>
        <w:ind w:left="2305" w:hanging="545"/>
      </w:pPr>
      <w:rPr>
        <w:rFonts w:hint="default"/>
        <w:lang w:val="en-US" w:eastAsia="zh-CN" w:bidi="ar-SA"/>
      </w:rPr>
    </w:lvl>
    <w:lvl w:ilvl="3">
      <w:start w:val="0"/>
      <w:numFmt w:val="bullet"/>
      <w:lvlText w:val="•"/>
      <w:lvlJc w:val="left"/>
      <w:pPr>
        <w:ind w:left="3347" w:hanging="545"/>
      </w:pPr>
      <w:rPr>
        <w:rFonts w:hint="default"/>
        <w:lang w:val="en-US" w:eastAsia="zh-CN" w:bidi="ar-SA"/>
      </w:rPr>
    </w:lvl>
    <w:lvl w:ilvl="4">
      <w:start w:val="0"/>
      <w:numFmt w:val="bullet"/>
      <w:lvlText w:val="•"/>
      <w:lvlJc w:val="left"/>
      <w:pPr>
        <w:ind w:left="4390" w:hanging="545"/>
      </w:pPr>
      <w:rPr>
        <w:rFonts w:hint="default"/>
        <w:lang w:val="en-US" w:eastAsia="zh-CN" w:bidi="ar-SA"/>
      </w:rPr>
    </w:lvl>
    <w:lvl w:ilvl="5">
      <w:start w:val="0"/>
      <w:numFmt w:val="bullet"/>
      <w:lvlText w:val="•"/>
      <w:lvlJc w:val="left"/>
      <w:pPr>
        <w:ind w:left="5432" w:hanging="545"/>
      </w:pPr>
      <w:rPr>
        <w:rFonts w:hint="default"/>
        <w:lang w:val="en-US" w:eastAsia="zh-CN" w:bidi="ar-SA"/>
      </w:rPr>
    </w:lvl>
    <w:lvl w:ilvl="6">
      <w:start w:val="0"/>
      <w:numFmt w:val="bullet"/>
      <w:lvlText w:val="•"/>
      <w:lvlJc w:val="left"/>
      <w:pPr>
        <w:ind w:left="6475" w:hanging="545"/>
      </w:pPr>
      <w:rPr>
        <w:rFonts w:hint="default"/>
        <w:lang w:val="en-US" w:eastAsia="zh-CN" w:bidi="ar-SA"/>
      </w:rPr>
    </w:lvl>
    <w:lvl w:ilvl="7">
      <w:start w:val="0"/>
      <w:numFmt w:val="bullet"/>
      <w:lvlText w:val="•"/>
      <w:lvlJc w:val="left"/>
      <w:pPr>
        <w:ind w:left="7517" w:hanging="545"/>
      </w:pPr>
      <w:rPr>
        <w:rFonts w:hint="default"/>
        <w:lang w:val="en-US" w:eastAsia="zh-CN" w:bidi="ar-SA"/>
      </w:rPr>
    </w:lvl>
    <w:lvl w:ilvl="8">
      <w:start w:val="0"/>
      <w:numFmt w:val="bullet"/>
      <w:lvlText w:val="•"/>
      <w:lvlJc w:val="left"/>
      <w:pPr>
        <w:ind w:left="8560" w:hanging="545"/>
      </w:pPr>
      <w:rPr>
        <w:rFonts w:hint="default"/>
        <w:lang w:val="en-US" w:eastAsia="zh-CN" w:bidi="ar-SA"/>
      </w:rPr>
    </w:lvl>
  </w:abstractNum>
  <w:abstractNum w:abstractNumId="36">
    <w:nsid w:val="60054CB4"/>
    <w:multiLevelType w:val="multilevel"/>
    <w:tmpl w:val="60054CB4"/>
    <w:lvl w:ilvl="0">
      <w:start w:val="1"/>
      <w:numFmt w:val="decimal"/>
      <w:lvlText w:val="（%1）"/>
      <w:lvlJc w:val="left"/>
      <w:pPr>
        <w:ind w:left="1179" w:hanging="545"/>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5"/>
      </w:pPr>
      <w:rPr>
        <w:rFonts w:hint="default"/>
        <w:lang w:val="en-US" w:eastAsia="zh-CN" w:bidi="ar-SA"/>
      </w:rPr>
    </w:lvl>
    <w:lvl w:ilvl="2">
      <w:start w:val="0"/>
      <w:numFmt w:val="bullet"/>
      <w:lvlText w:val="•"/>
      <w:lvlJc w:val="left"/>
      <w:pPr>
        <w:ind w:left="3073" w:hanging="545"/>
      </w:pPr>
      <w:rPr>
        <w:rFonts w:hint="default"/>
        <w:lang w:val="en-US" w:eastAsia="zh-CN" w:bidi="ar-SA"/>
      </w:rPr>
    </w:lvl>
    <w:lvl w:ilvl="3">
      <w:start w:val="0"/>
      <w:numFmt w:val="bullet"/>
      <w:lvlText w:val="•"/>
      <w:lvlJc w:val="left"/>
      <w:pPr>
        <w:ind w:left="4019" w:hanging="545"/>
      </w:pPr>
      <w:rPr>
        <w:rFonts w:hint="default"/>
        <w:lang w:val="en-US" w:eastAsia="zh-CN" w:bidi="ar-SA"/>
      </w:rPr>
    </w:lvl>
    <w:lvl w:ilvl="4">
      <w:start w:val="0"/>
      <w:numFmt w:val="bullet"/>
      <w:lvlText w:val="•"/>
      <w:lvlJc w:val="left"/>
      <w:pPr>
        <w:ind w:left="4966" w:hanging="545"/>
      </w:pPr>
      <w:rPr>
        <w:rFonts w:hint="default"/>
        <w:lang w:val="en-US" w:eastAsia="zh-CN" w:bidi="ar-SA"/>
      </w:rPr>
    </w:lvl>
    <w:lvl w:ilvl="5">
      <w:start w:val="0"/>
      <w:numFmt w:val="bullet"/>
      <w:lvlText w:val="•"/>
      <w:lvlJc w:val="left"/>
      <w:pPr>
        <w:ind w:left="5912" w:hanging="545"/>
      </w:pPr>
      <w:rPr>
        <w:rFonts w:hint="default"/>
        <w:lang w:val="en-US" w:eastAsia="zh-CN" w:bidi="ar-SA"/>
      </w:rPr>
    </w:lvl>
    <w:lvl w:ilvl="6">
      <w:start w:val="0"/>
      <w:numFmt w:val="bullet"/>
      <w:lvlText w:val="•"/>
      <w:lvlJc w:val="left"/>
      <w:pPr>
        <w:ind w:left="6859" w:hanging="545"/>
      </w:pPr>
      <w:rPr>
        <w:rFonts w:hint="default"/>
        <w:lang w:val="en-US" w:eastAsia="zh-CN" w:bidi="ar-SA"/>
      </w:rPr>
    </w:lvl>
    <w:lvl w:ilvl="7">
      <w:start w:val="0"/>
      <w:numFmt w:val="bullet"/>
      <w:lvlText w:val="•"/>
      <w:lvlJc w:val="left"/>
      <w:pPr>
        <w:ind w:left="7805" w:hanging="545"/>
      </w:pPr>
      <w:rPr>
        <w:rFonts w:hint="default"/>
        <w:lang w:val="en-US" w:eastAsia="zh-CN" w:bidi="ar-SA"/>
      </w:rPr>
    </w:lvl>
    <w:lvl w:ilvl="8">
      <w:start w:val="0"/>
      <w:numFmt w:val="bullet"/>
      <w:lvlText w:val="•"/>
      <w:lvlJc w:val="left"/>
      <w:pPr>
        <w:ind w:left="8752" w:hanging="545"/>
      </w:pPr>
      <w:rPr>
        <w:rFonts w:hint="default"/>
        <w:lang w:val="en-US" w:eastAsia="zh-CN" w:bidi="ar-SA"/>
      </w:rPr>
    </w:lvl>
  </w:abstractNum>
  <w:abstractNum w:abstractNumId="37">
    <w:nsid w:val="6B20502E"/>
    <w:multiLevelType w:val="multilevel"/>
    <w:tmpl w:val="6B20502E"/>
    <w:lvl w:ilvl="0">
      <w:start w:val="1"/>
      <w:numFmt w:val="decimal"/>
      <w:lvlText w:val="（%1）"/>
      <w:lvlJc w:val="left"/>
      <w:pPr>
        <w:ind w:left="215" w:hanging="544"/>
        <w:jc w:val="left"/>
      </w:pPr>
      <w:rPr>
        <w:rFonts w:ascii="微软雅黑" w:eastAsia="微软雅黑" w:hAnsi="微软雅黑" w:cs="微软雅黑" w:hint="default"/>
        <w:b w:val="0"/>
        <w:bCs w:val="0"/>
        <w:i w:val="0"/>
        <w:iCs w:val="0"/>
        <w:spacing w:val="-18"/>
        <w:w w:val="99"/>
        <w:sz w:val="19"/>
        <w:szCs w:val="19"/>
        <w:lang w:val="en-US" w:eastAsia="zh-CN" w:bidi="ar-SA"/>
      </w:rPr>
    </w:lvl>
    <w:lvl w:ilvl="1">
      <w:start w:val="0"/>
      <w:numFmt w:val="bullet"/>
      <w:lvlText w:val="•"/>
      <w:lvlJc w:val="left"/>
      <w:pPr>
        <w:ind w:left="1262" w:hanging="544"/>
      </w:pPr>
      <w:rPr>
        <w:rFonts w:hint="default"/>
        <w:lang w:val="en-US" w:eastAsia="zh-CN" w:bidi="ar-SA"/>
      </w:rPr>
    </w:lvl>
    <w:lvl w:ilvl="2">
      <w:start w:val="0"/>
      <w:numFmt w:val="bullet"/>
      <w:lvlText w:val="•"/>
      <w:lvlJc w:val="left"/>
      <w:pPr>
        <w:ind w:left="2305" w:hanging="544"/>
      </w:pPr>
      <w:rPr>
        <w:rFonts w:hint="default"/>
        <w:lang w:val="en-US" w:eastAsia="zh-CN" w:bidi="ar-SA"/>
      </w:rPr>
    </w:lvl>
    <w:lvl w:ilvl="3">
      <w:start w:val="0"/>
      <w:numFmt w:val="bullet"/>
      <w:lvlText w:val="•"/>
      <w:lvlJc w:val="left"/>
      <w:pPr>
        <w:ind w:left="3347" w:hanging="544"/>
      </w:pPr>
      <w:rPr>
        <w:rFonts w:hint="default"/>
        <w:lang w:val="en-US" w:eastAsia="zh-CN" w:bidi="ar-SA"/>
      </w:rPr>
    </w:lvl>
    <w:lvl w:ilvl="4">
      <w:start w:val="0"/>
      <w:numFmt w:val="bullet"/>
      <w:lvlText w:val="•"/>
      <w:lvlJc w:val="left"/>
      <w:pPr>
        <w:ind w:left="4390" w:hanging="544"/>
      </w:pPr>
      <w:rPr>
        <w:rFonts w:hint="default"/>
        <w:lang w:val="en-US" w:eastAsia="zh-CN" w:bidi="ar-SA"/>
      </w:rPr>
    </w:lvl>
    <w:lvl w:ilvl="5">
      <w:start w:val="0"/>
      <w:numFmt w:val="bullet"/>
      <w:lvlText w:val="•"/>
      <w:lvlJc w:val="left"/>
      <w:pPr>
        <w:ind w:left="5432" w:hanging="544"/>
      </w:pPr>
      <w:rPr>
        <w:rFonts w:hint="default"/>
        <w:lang w:val="en-US" w:eastAsia="zh-CN" w:bidi="ar-SA"/>
      </w:rPr>
    </w:lvl>
    <w:lvl w:ilvl="6">
      <w:start w:val="0"/>
      <w:numFmt w:val="bullet"/>
      <w:lvlText w:val="•"/>
      <w:lvlJc w:val="left"/>
      <w:pPr>
        <w:ind w:left="6475" w:hanging="544"/>
      </w:pPr>
      <w:rPr>
        <w:rFonts w:hint="default"/>
        <w:lang w:val="en-US" w:eastAsia="zh-CN" w:bidi="ar-SA"/>
      </w:rPr>
    </w:lvl>
    <w:lvl w:ilvl="7">
      <w:start w:val="0"/>
      <w:numFmt w:val="bullet"/>
      <w:lvlText w:val="•"/>
      <w:lvlJc w:val="left"/>
      <w:pPr>
        <w:ind w:left="7517" w:hanging="544"/>
      </w:pPr>
      <w:rPr>
        <w:rFonts w:hint="default"/>
        <w:lang w:val="en-US" w:eastAsia="zh-CN" w:bidi="ar-SA"/>
      </w:rPr>
    </w:lvl>
    <w:lvl w:ilvl="8">
      <w:start w:val="0"/>
      <w:numFmt w:val="bullet"/>
      <w:lvlText w:val="•"/>
      <w:lvlJc w:val="left"/>
      <w:pPr>
        <w:ind w:left="8560" w:hanging="544"/>
      </w:pPr>
      <w:rPr>
        <w:rFonts w:hint="default"/>
        <w:lang w:val="en-US" w:eastAsia="zh-CN" w:bidi="ar-SA"/>
      </w:rPr>
    </w:lvl>
  </w:abstractNum>
  <w:abstractNum w:abstractNumId="38">
    <w:nsid w:val="6C740873"/>
    <w:multiLevelType w:val="multilevel"/>
    <w:tmpl w:val="6C740873"/>
    <w:lvl w:ilvl="0">
      <w:start w:val="1"/>
      <w:numFmt w:val="decimal"/>
      <w:lvlText w:val="（%1）"/>
      <w:lvlJc w:val="left"/>
      <w:pPr>
        <w:ind w:left="1180" w:hanging="545"/>
        <w:jc w:val="right"/>
      </w:pPr>
      <w:rPr>
        <w:rFonts w:ascii="微软雅黑" w:eastAsia="微软雅黑" w:hAnsi="微软雅黑" w:cs="微软雅黑" w:hint="default"/>
        <w:b w:val="0"/>
        <w:bCs w:val="0"/>
        <w:i w:val="0"/>
        <w:iCs w:val="0"/>
        <w:spacing w:val="-1"/>
        <w:w w:val="99"/>
        <w:sz w:val="19"/>
        <w:szCs w:val="19"/>
        <w:lang w:val="en-US" w:eastAsia="zh-CN" w:bidi="ar-SA"/>
      </w:rPr>
    </w:lvl>
    <w:lvl w:ilvl="1">
      <w:start w:val="1"/>
      <w:numFmt w:val="decimal"/>
      <w:lvlText w:val="（%2）"/>
      <w:lvlJc w:val="left"/>
      <w:pPr>
        <w:ind w:left="1178" w:hanging="544"/>
        <w:jc w:val="left"/>
      </w:pPr>
      <w:rPr>
        <w:rFonts w:ascii="微软雅黑" w:eastAsia="微软雅黑" w:hAnsi="微软雅黑" w:cs="微软雅黑" w:hint="default"/>
        <w:b w:val="0"/>
        <w:bCs w:val="0"/>
        <w:i w:val="0"/>
        <w:iCs w:val="0"/>
        <w:spacing w:val="-30"/>
        <w:w w:val="99"/>
        <w:sz w:val="19"/>
        <w:szCs w:val="19"/>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39">
    <w:nsid w:val="72E803E3"/>
    <w:multiLevelType w:val="multilevel"/>
    <w:tmpl w:val="72E803E3"/>
    <w:lvl w:ilvl="0">
      <w:start w:val="1"/>
      <w:numFmt w:val="decimal"/>
      <w:lvlText w:val="%1）"/>
      <w:lvlJc w:val="left"/>
      <w:pPr>
        <w:ind w:left="554" w:hanging="340"/>
        <w:jc w:val="left"/>
      </w:pPr>
      <w:rPr>
        <w:rFonts w:ascii="微软雅黑" w:eastAsia="微软雅黑" w:hAnsi="微软雅黑" w:cs="微软雅黑" w:hint="default"/>
        <w:b/>
        <w:bCs/>
        <w:i w:val="0"/>
        <w:iCs w:val="0"/>
        <w:color w:val="C00000"/>
        <w:spacing w:val="-1"/>
        <w:w w:val="99"/>
        <w:sz w:val="19"/>
        <w:szCs w:val="19"/>
        <w:lang w:val="en-US" w:eastAsia="zh-CN" w:bidi="ar-SA"/>
      </w:rPr>
    </w:lvl>
    <w:lvl w:ilvl="1">
      <w:start w:val="0"/>
      <w:numFmt w:val="bullet"/>
      <w:lvlText w:val="•"/>
      <w:lvlJc w:val="left"/>
      <w:pPr>
        <w:ind w:left="1568" w:hanging="340"/>
      </w:pPr>
      <w:rPr>
        <w:rFonts w:hint="default"/>
        <w:lang w:val="en-US" w:eastAsia="zh-CN" w:bidi="ar-SA"/>
      </w:rPr>
    </w:lvl>
    <w:lvl w:ilvl="2">
      <w:start w:val="0"/>
      <w:numFmt w:val="bullet"/>
      <w:lvlText w:val="•"/>
      <w:lvlJc w:val="left"/>
      <w:pPr>
        <w:ind w:left="2577" w:hanging="340"/>
      </w:pPr>
      <w:rPr>
        <w:rFonts w:hint="default"/>
        <w:lang w:val="en-US" w:eastAsia="zh-CN" w:bidi="ar-SA"/>
      </w:rPr>
    </w:lvl>
    <w:lvl w:ilvl="3">
      <w:start w:val="0"/>
      <w:numFmt w:val="bullet"/>
      <w:lvlText w:val="•"/>
      <w:lvlJc w:val="left"/>
      <w:pPr>
        <w:ind w:left="3585" w:hanging="340"/>
      </w:pPr>
      <w:rPr>
        <w:rFonts w:hint="default"/>
        <w:lang w:val="en-US" w:eastAsia="zh-CN" w:bidi="ar-SA"/>
      </w:rPr>
    </w:lvl>
    <w:lvl w:ilvl="4">
      <w:start w:val="0"/>
      <w:numFmt w:val="bullet"/>
      <w:lvlText w:val="•"/>
      <w:lvlJc w:val="left"/>
      <w:pPr>
        <w:ind w:left="4594" w:hanging="340"/>
      </w:pPr>
      <w:rPr>
        <w:rFonts w:hint="default"/>
        <w:lang w:val="en-US" w:eastAsia="zh-CN" w:bidi="ar-SA"/>
      </w:rPr>
    </w:lvl>
    <w:lvl w:ilvl="5">
      <w:start w:val="0"/>
      <w:numFmt w:val="bullet"/>
      <w:lvlText w:val="•"/>
      <w:lvlJc w:val="left"/>
      <w:pPr>
        <w:ind w:left="5602" w:hanging="340"/>
      </w:pPr>
      <w:rPr>
        <w:rFonts w:hint="default"/>
        <w:lang w:val="en-US" w:eastAsia="zh-CN" w:bidi="ar-SA"/>
      </w:rPr>
    </w:lvl>
    <w:lvl w:ilvl="6">
      <w:start w:val="0"/>
      <w:numFmt w:val="bullet"/>
      <w:lvlText w:val="•"/>
      <w:lvlJc w:val="left"/>
      <w:pPr>
        <w:ind w:left="6611" w:hanging="340"/>
      </w:pPr>
      <w:rPr>
        <w:rFonts w:hint="default"/>
        <w:lang w:val="en-US" w:eastAsia="zh-CN" w:bidi="ar-SA"/>
      </w:rPr>
    </w:lvl>
    <w:lvl w:ilvl="7">
      <w:start w:val="0"/>
      <w:numFmt w:val="bullet"/>
      <w:lvlText w:val="•"/>
      <w:lvlJc w:val="left"/>
      <w:pPr>
        <w:ind w:left="7619" w:hanging="340"/>
      </w:pPr>
      <w:rPr>
        <w:rFonts w:hint="default"/>
        <w:lang w:val="en-US" w:eastAsia="zh-CN" w:bidi="ar-SA"/>
      </w:rPr>
    </w:lvl>
    <w:lvl w:ilvl="8">
      <w:start w:val="0"/>
      <w:numFmt w:val="bullet"/>
      <w:lvlText w:val="•"/>
      <w:lvlJc w:val="left"/>
      <w:pPr>
        <w:ind w:left="8628" w:hanging="340"/>
      </w:pPr>
      <w:rPr>
        <w:rFonts w:hint="default"/>
        <w:lang w:val="en-US" w:eastAsia="zh-CN" w:bidi="ar-SA"/>
      </w:rPr>
    </w:lvl>
  </w:abstractNum>
  <w:abstractNum w:abstractNumId="40">
    <w:nsid w:val="75C77F0D"/>
    <w:multiLevelType w:val="multilevel"/>
    <w:tmpl w:val="75C77F0D"/>
    <w:lvl w:ilvl="0">
      <w:start w:val="1"/>
      <w:numFmt w:val="decimal"/>
      <w:lvlText w:val="（%1）"/>
      <w:lvlJc w:val="left"/>
      <w:pPr>
        <w:ind w:left="117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2126" w:hanging="544"/>
      </w:pPr>
      <w:rPr>
        <w:rFonts w:hint="default"/>
        <w:lang w:val="en-US" w:eastAsia="zh-CN" w:bidi="ar-SA"/>
      </w:rPr>
    </w:lvl>
    <w:lvl w:ilvl="2">
      <w:start w:val="0"/>
      <w:numFmt w:val="bullet"/>
      <w:lvlText w:val="•"/>
      <w:lvlJc w:val="left"/>
      <w:pPr>
        <w:ind w:left="3073" w:hanging="544"/>
      </w:pPr>
      <w:rPr>
        <w:rFonts w:hint="default"/>
        <w:lang w:val="en-US" w:eastAsia="zh-CN" w:bidi="ar-SA"/>
      </w:rPr>
    </w:lvl>
    <w:lvl w:ilvl="3">
      <w:start w:val="0"/>
      <w:numFmt w:val="bullet"/>
      <w:lvlText w:val="•"/>
      <w:lvlJc w:val="left"/>
      <w:pPr>
        <w:ind w:left="4019" w:hanging="544"/>
      </w:pPr>
      <w:rPr>
        <w:rFonts w:hint="default"/>
        <w:lang w:val="en-US" w:eastAsia="zh-CN" w:bidi="ar-SA"/>
      </w:rPr>
    </w:lvl>
    <w:lvl w:ilvl="4">
      <w:start w:val="0"/>
      <w:numFmt w:val="bullet"/>
      <w:lvlText w:val="•"/>
      <w:lvlJc w:val="left"/>
      <w:pPr>
        <w:ind w:left="4966" w:hanging="544"/>
      </w:pPr>
      <w:rPr>
        <w:rFonts w:hint="default"/>
        <w:lang w:val="en-US" w:eastAsia="zh-CN" w:bidi="ar-SA"/>
      </w:rPr>
    </w:lvl>
    <w:lvl w:ilvl="5">
      <w:start w:val="0"/>
      <w:numFmt w:val="bullet"/>
      <w:lvlText w:val="•"/>
      <w:lvlJc w:val="left"/>
      <w:pPr>
        <w:ind w:left="5912" w:hanging="544"/>
      </w:pPr>
      <w:rPr>
        <w:rFonts w:hint="default"/>
        <w:lang w:val="en-US" w:eastAsia="zh-CN" w:bidi="ar-SA"/>
      </w:rPr>
    </w:lvl>
    <w:lvl w:ilvl="6">
      <w:start w:val="0"/>
      <w:numFmt w:val="bullet"/>
      <w:lvlText w:val="•"/>
      <w:lvlJc w:val="left"/>
      <w:pPr>
        <w:ind w:left="6859" w:hanging="544"/>
      </w:pPr>
      <w:rPr>
        <w:rFonts w:hint="default"/>
        <w:lang w:val="en-US" w:eastAsia="zh-CN" w:bidi="ar-SA"/>
      </w:rPr>
    </w:lvl>
    <w:lvl w:ilvl="7">
      <w:start w:val="0"/>
      <w:numFmt w:val="bullet"/>
      <w:lvlText w:val="•"/>
      <w:lvlJc w:val="left"/>
      <w:pPr>
        <w:ind w:left="7805" w:hanging="544"/>
      </w:pPr>
      <w:rPr>
        <w:rFonts w:hint="default"/>
        <w:lang w:val="en-US" w:eastAsia="zh-CN" w:bidi="ar-SA"/>
      </w:rPr>
    </w:lvl>
    <w:lvl w:ilvl="8">
      <w:start w:val="0"/>
      <w:numFmt w:val="bullet"/>
      <w:lvlText w:val="•"/>
      <w:lvlJc w:val="left"/>
      <w:pPr>
        <w:ind w:left="8752" w:hanging="544"/>
      </w:pPr>
      <w:rPr>
        <w:rFonts w:hint="default"/>
        <w:lang w:val="en-US" w:eastAsia="zh-CN" w:bidi="ar-SA"/>
      </w:rPr>
    </w:lvl>
  </w:abstractNum>
  <w:abstractNum w:abstractNumId="41">
    <w:nsid w:val="7657892B"/>
    <w:multiLevelType w:val="multilevel"/>
    <w:tmpl w:val="7657892B"/>
    <w:lvl w:ilvl="0">
      <w:start w:val="1"/>
      <w:numFmt w:val="decimal"/>
      <w:lvlText w:val="（%1）"/>
      <w:lvlJc w:val="left"/>
      <w:pPr>
        <w:ind w:left="758" w:hanging="544"/>
        <w:jc w:val="left"/>
      </w:pPr>
      <w:rPr>
        <w:rFonts w:ascii="微软雅黑" w:eastAsia="微软雅黑" w:hAnsi="微软雅黑" w:cs="微软雅黑" w:hint="default"/>
        <w:b w:val="0"/>
        <w:bCs w:val="0"/>
        <w:i w:val="0"/>
        <w:iCs w:val="0"/>
        <w:spacing w:val="-1"/>
        <w:w w:val="99"/>
        <w:sz w:val="19"/>
        <w:szCs w:val="19"/>
        <w:lang w:val="en-US" w:eastAsia="zh-CN" w:bidi="ar-SA"/>
      </w:rPr>
    </w:lvl>
    <w:lvl w:ilvl="1">
      <w:start w:val="0"/>
      <w:numFmt w:val="bullet"/>
      <w:lvlText w:val="•"/>
      <w:lvlJc w:val="left"/>
      <w:pPr>
        <w:ind w:left="1748" w:hanging="544"/>
      </w:pPr>
      <w:rPr>
        <w:rFonts w:hint="default"/>
        <w:lang w:val="en-US" w:eastAsia="zh-CN" w:bidi="ar-SA"/>
      </w:rPr>
    </w:lvl>
    <w:lvl w:ilvl="2">
      <w:start w:val="0"/>
      <w:numFmt w:val="bullet"/>
      <w:lvlText w:val="•"/>
      <w:lvlJc w:val="left"/>
      <w:pPr>
        <w:ind w:left="2737" w:hanging="544"/>
      </w:pPr>
      <w:rPr>
        <w:rFonts w:hint="default"/>
        <w:lang w:val="en-US" w:eastAsia="zh-CN" w:bidi="ar-SA"/>
      </w:rPr>
    </w:lvl>
    <w:lvl w:ilvl="3">
      <w:start w:val="0"/>
      <w:numFmt w:val="bullet"/>
      <w:lvlText w:val="•"/>
      <w:lvlJc w:val="left"/>
      <w:pPr>
        <w:ind w:left="3725" w:hanging="544"/>
      </w:pPr>
      <w:rPr>
        <w:rFonts w:hint="default"/>
        <w:lang w:val="en-US" w:eastAsia="zh-CN" w:bidi="ar-SA"/>
      </w:rPr>
    </w:lvl>
    <w:lvl w:ilvl="4">
      <w:start w:val="0"/>
      <w:numFmt w:val="bullet"/>
      <w:lvlText w:val="•"/>
      <w:lvlJc w:val="left"/>
      <w:pPr>
        <w:ind w:left="4714" w:hanging="544"/>
      </w:pPr>
      <w:rPr>
        <w:rFonts w:hint="default"/>
        <w:lang w:val="en-US" w:eastAsia="zh-CN" w:bidi="ar-SA"/>
      </w:rPr>
    </w:lvl>
    <w:lvl w:ilvl="5">
      <w:start w:val="0"/>
      <w:numFmt w:val="bullet"/>
      <w:lvlText w:val="•"/>
      <w:lvlJc w:val="left"/>
      <w:pPr>
        <w:ind w:left="5702" w:hanging="544"/>
      </w:pPr>
      <w:rPr>
        <w:rFonts w:hint="default"/>
        <w:lang w:val="en-US" w:eastAsia="zh-CN" w:bidi="ar-SA"/>
      </w:rPr>
    </w:lvl>
    <w:lvl w:ilvl="6">
      <w:start w:val="0"/>
      <w:numFmt w:val="bullet"/>
      <w:lvlText w:val="•"/>
      <w:lvlJc w:val="left"/>
      <w:pPr>
        <w:ind w:left="6691" w:hanging="544"/>
      </w:pPr>
      <w:rPr>
        <w:rFonts w:hint="default"/>
        <w:lang w:val="en-US" w:eastAsia="zh-CN" w:bidi="ar-SA"/>
      </w:rPr>
    </w:lvl>
    <w:lvl w:ilvl="7">
      <w:start w:val="0"/>
      <w:numFmt w:val="bullet"/>
      <w:lvlText w:val="•"/>
      <w:lvlJc w:val="left"/>
      <w:pPr>
        <w:ind w:left="7679" w:hanging="544"/>
      </w:pPr>
      <w:rPr>
        <w:rFonts w:hint="default"/>
        <w:lang w:val="en-US" w:eastAsia="zh-CN" w:bidi="ar-SA"/>
      </w:rPr>
    </w:lvl>
    <w:lvl w:ilvl="8">
      <w:start w:val="0"/>
      <w:numFmt w:val="bullet"/>
      <w:lvlText w:val="•"/>
      <w:lvlJc w:val="left"/>
      <w:pPr>
        <w:ind w:left="8668" w:hanging="544"/>
      </w:pPr>
      <w:rPr>
        <w:rFonts w:hint="default"/>
        <w:lang w:val="en-US" w:eastAsia="zh-CN" w:bidi="ar-SA"/>
      </w:rPr>
    </w:lvl>
  </w:abstractNum>
  <w:num w:numId="1">
    <w:abstractNumId w:val="36"/>
  </w:num>
  <w:num w:numId="2">
    <w:abstractNumId w:val="14"/>
  </w:num>
  <w:num w:numId="3">
    <w:abstractNumId w:val="39"/>
  </w:num>
  <w:num w:numId="4">
    <w:abstractNumId w:val="37"/>
  </w:num>
  <w:num w:numId="5">
    <w:abstractNumId w:val="0"/>
  </w:num>
  <w:num w:numId="6">
    <w:abstractNumId w:val="16"/>
  </w:num>
  <w:num w:numId="7">
    <w:abstractNumId w:val="11"/>
  </w:num>
  <w:num w:numId="8">
    <w:abstractNumId w:val="12"/>
  </w:num>
  <w:num w:numId="9">
    <w:abstractNumId w:val="2"/>
  </w:num>
  <w:num w:numId="10">
    <w:abstractNumId w:val="8"/>
  </w:num>
  <w:num w:numId="11">
    <w:abstractNumId w:val="35"/>
  </w:num>
  <w:num w:numId="12">
    <w:abstractNumId w:val="3"/>
  </w:num>
  <w:num w:numId="13">
    <w:abstractNumId w:val="30"/>
  </w:num>
  <w:num w:numId="14">
    <w:abstractNumId w:val="17"/>
  </w:num>
  <w:num w:numId="15">
    <w:abstractNumId w:val="15"/>
  </w:num>
  <w:num w:numId="16">
    <w:abstractNumId w:val="7"/>
  </w:num>
  <w:num w:numId="17">
    <w:abstractNumId w:val="38"/>
  </w:num>
  <w:num w:numId="18">
    <w:abstractNumId w:val="25"/>
  </w:num>
  <w:num w:numId="19">
    <w:abstractNumId w:val="9"/>
  </w:num>
  <w:num w:numId="20">
    <w:abstractNumId w:val="5"/>
  </w:num>
  <w:num w:numId="21">
    <w:abstractNumId w:val="13"/>
  </w:num>
  <w:num w:numId="22">
    <w:abstractNumId w:val="1"/>
  </w:num>
  <w:num w:numId="23">
    <w:abstractNumId w:val="10"/>
  </w:num>
  <w:num w:numId="24">
    <w:abstractNumId w:val="41"/>
  </w:num>
  <w:num w:numId="25">
    <w:abstractNumId w:val="6"/>
  </w:num>
  <w:num w:numId="26">
    <w:abstractNumId w:val="18"/>
  </w:num>
  <w:num w:numId="27">
    <w:abstractNumId w:val="29"/>
  </w:num>
  <w:num w:numId="28">
    <w:abstractNumId w:val="4"/>
  </w:num>
  <w:num w:numId="29">
    <w:abstractNumId w:val="40"/>
  </w:num>
  <w:num w:numId="30">
    <w:abstractNumId w:val="19"/>
  </w:num>
  <w:num w:numId="31">
    <w:abstractNumId w:val="27"/>
  </w:num>
  <w:num w:numId="32">
    <w:abstractNumId w:val="32"/>
  </w:num>
  <w:num w:numId="33">
    <w:abstractNumId w:val="23"/>
  </w:num>
  <w:num w:numId="34">
    <w:abstractNumId w:val="34"/>
  </w:num>
  <w:num w:numId="35">
    <w:abstractNumId w:val="24"/>
  </w:num>
  <w:num w:numId="36">
    <w:abstractNumId w:val="26"/>
  </w:num>
  <w:num w:numId="37">
    <w:abstractNumId w:val="28"/>
  </w:num>
  <w:num w:numId="38">
    <w:abstractNumId w:val="22"/>
  </w:num>
  <w:num w:numId="39">
    <w:abstractNumId w:val="31"/>
  </w:num>
  <w:num w:numId="40">
    <w:abstractNumId w:val="21"/>
  </w:num>
  <w:num w:numId="41">
    <w:abstractNumId w:val="20"/>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7892F56"/>
    <w:rsid w:val="3A83412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微软雅黑" w:eastAsia="微软雅黑" w:hAnsi="微软雅黑" w:cs="微软雅黑"/>
      <w:sz w:val="22"/>
      <w:szCs w:val="22"/>
      <w:lang w:val="en-US" w:eastAsia="zh-CN" w:bidi="ar-SA"/>
    </w:rPr>
  </w:style>
  <w:style w:type="paragraph" w:styleId="Heading1">
    <w:name w:val="heading 1"/>
    <w:basedOn w:val="Normal"/>
    <w:next w:val="Normal"/>
    <w:uiPriority w:val="1"/>
    <w:qFormat/>
    <w:pPr>
      <w:spacing w:before="37"/>
      <w:ind w:left="215"/>
      <w:outlineLvl w:val="0"/>
    </w:pPr>
    <w:rPr>
      <w:rFonts w:ascii="微软雅黑" w:eastAsia="微软雅黑" w:hAnsi="微软雅黑" w:cs="微软雅黑"/>
      <w:b/>
      <w:bCs/>
      <w:sz w:val="24"/>
      <w:szCs w:val="24"/>
      <w:lang w:val="en-US" w:eastAsia="zh-CN" w:bidi="ar-SA"/>
    </w:rPr>
  </w:style>
  <w:style w:type="paragraph" w:styleId="Heading2">
    <w:name w:val="heading 2"/>
    <w:basedOn w:val="Normal"/>
    <w:next w:val="Normal"/>
    <w:uiPriority w:val="1"/>
    <w:qFormat/>
    <w:pPr>
      <w:spacing w:before="58"/>
      <w:ind w:left="215"/>
      <w:outlineLvl w:val="1"/>
    </w:pPr>
    <w:rPr>
      <w:rFonts w:ascii="微软雅黑" w:eastAsia="微软雅黑" w:hAnsi="微软雅黑" w:cs="微软雅黑"/>
      <w:b/>
      <w:bCs/>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微软雅黑" w:eastAsia="微软雅黑" w:hAnsi="微软雅黑" w:cs="微软雅黑"/>
      <w:sz w:val="21"/>
      <w:szCs w:val="21"/>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itle">
    <w:name w:val="Title"/>
    <w:basedOn w:val="Normal"/>
    <w:uiPriority w:val="1"/>
    <w:qFormat/>
    <w:pPr>
      <w:spacing w:before="133"/>
      <w:ind w:right="99"/>
      <w:jc w:val="center"/>
    </w:pPr>
    <w:rPr>
      <w:rFonts w:ascii="华文行楷" w:eastAsia="华文行楷" w:hAnsi="华文行楷" w:cs="华文行楷"/>
      <w:b/>
      <w:bCs/>
      <w:sz w:val="44"/>
      <w:szCs w:val="44"/>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74"/>
      <w:ind w:left="1178" w:hanging="544"/>
    </w:pPr>
    <w:rPr>
      <w:rFonts w:ascii="微软雅黑" w:eastAsia="微软雅黑" w:hAnsi="微软雅黑" w:cs="微软雅黑"/>
      <w:lang w:val="en-US" w:eastAsia="zh-CN" w:bidi="ar-SA"/>
    </w:rPr>
  </w:style>
  <w:style w:type="paragraph" w:customStyle="1" w:styleId="TableParagraph">
    <w:name w:val="Table Paragraph"/>
    <w:basedOn w:val="Normal"/>
    <w:uiPriority w:val="1"/>
    <w:qFormat/>
    <w:pPr>
      <w:spacing w:line="280" w:lineRule="exact"/>
      <w:jc w:val="center"/>
    </w:pPr>
    <w:rPr>
      <w:rFonts w:ascii="微软雅黑" w:eastAsia="微软雅黑" w:hAnsi="微软雅黑" w:cs="微软雅黑"/>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hyperlink" Target="https://d.book118.com/926130220242010032" TargetMode="External" /><Relationship Id="rId31" Type="http://schemas.openxmlformats.org/officeDocument/2006/relationships/footer" Target="footer26.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8"/>
    <customShpInfo spid="_x0000_s1029"/>
    <customShpInfo spid="_x0000_s1027"/>
    <customShpInfo spid="_x0000_s1031"/>
    <customShpInfo spid="_x0000_s1032"/>
    <customShpInfo spid="_x0000_s1030"/>
    <customShpInfo spid="_x0000_s1033"/>
    <customShpInfo spid="_x0000_s1035"/>
    <customShpInfo spid="_x0000_s1036"/>
    <customShpInfo spid="_x0000_s1034"/>
    <customShpInfo spid="_x0000_s1038"/>
    <customShpInfo spid="_x0000_s1039"/>
    <customShpInfo spid="_x0000_s1037"/>
    <customShpInfo spid="_x0000_s1040"/>
    <customShpInfo spid="_x0000_s1042"/>
    <customShpInfo spid="_x0000_s1043"/>
    <customShpInfo spid="_x0000_s1041"/>
    <customShpInfo spid="_x0000_s1045"/>
    <customShpInfo spid="_x0000_s1046"/>
    <customShpInfo spid="_x0000_s1044"/>
    <customShpInfo spid="_x0000_s1047"/>
    <customShpInfo spid="_x0000_s1049"/>
    <customShpInfo spid="_x0000_s1050"/>
    <customShpInfo spid="_x0000_s1048"/>
    <customShpInfo spid="_x0000_s1052"/>
    <customShpInfo spid="_x0000_s1053"/>
    <customShpInfo spid="_x0000_s1051"/>
    <customShpInfo spid="_x0000_s1055"/>
    <customShpInfo spid="_x0000_s1056"/>
    <customShpInfo spid="_x0000_s1054"/>
    <customShpInfo spid="_x0000_s1058"/>
    <customShpInfo spid="_x0000_s1059"/>
    <customShpInfo spid="_x0000_s1057"/>
    <customShpInfo spid="_x0000_s1061"/>
    <customShpInfo spid="_x0000_s1062"/>
    <customShpInfo spid="_x0000_s1060"/>
    <customShpInfo spid="_x0000_s1064"/>
    <customShpInfo spid="_x0000_s1065"/>
    <customShpInfo spid="_x0000_s1063"/>
    <customShpInfo spid="_x0000_s1067"/>
    <customShpInfo spid="_x0000_s1068"/>
    <customShpInfo spid="_x0000_s1066"/>
    <customShpInfo spid="_x0000_s1070"/>
    <customShpInfo spid="_x0000_s1071"/>
    <customShpInfo spid="_x0000_s1069"/>
    <customShpInfo spid="_x0000_s1073"/>
    <customShpInfo spid="_x0000_s1074"/>
    <customShpInfo spid="_x0000_s1072"/>
    <customShpInfo spid="_x0000_s1076"/>
    <customShpInfo spid="_x0000_s1077"/>
    <customShpInfo spid="_x0000_s1075"/>
    <customShpInfo spid="_x0000_s1079"/>
    <customShpInfo spid="_x0000_s1080"/>
    <customShpInfo spid="_x0000_s1078"/>
    <customShpInfo spid="_x0000_s1082"/>
    <customShpInfo spid="_x0000_s1083"/>
    <customShpInfo spid="_x0000_s1081"/>
    <customShpInfo spid="_x0000_s1085"/>
    <customShpInfo spid="_x0000_s1086"/>
    <customShpInfo spid="_x0000_s1084"/>
    <customShpInfo spid="_x0000_s1088"/>
    <customShpInfo spid="_x0000_s1089"/>
    <customShpInfo spid="_x0000_s1087"/>
    <customShpInfo spid="_x0000_s1091"/>
    <customShpInfo spid="_x0000_s1092"/>
    <customShpInfo spid="_x0000_s1090"/>
    <customShpInfo spid="_x0000_s1094"/>
    <customShpInfo spid="_x0000_s1095"/>
    <customShpInfo spid="_x0000_s1093"/>
    <customShpInfo spid="_x0000_s1097"/>
    <customShpInfo spid="_x0000_s1098"/>
    <customShpInfo spid="_x0000_s1096"/>
    <customShpInfo spid="_x0000_s1100"/>
    <customShpInfo spid="_x0000_s1101"/>
    <customShpInfo spid="_x0000_s1099"/>
    <customShpInfo spid="_x0000_s1103"/>
    <customShpInfo spid="_x0000_s1104"/>
    <customShpInfo spid="_x0000_s1102"/>
    <customShpInfo spid="_x0000_s1106"/>
    <customShpInfo spid="_x0000_s1107"/>
    <customShpInfo spid="_x0000_s1105"/>
    <customShpInfo spid="_x0000_s1109"/>
    <customShpInfo spid="_x0000_s1110"/>
    <customShpInfo spid="_x0000_s1108"/>
    <customShpInfo spid="_x0000_s1112"/>
    <customShpInfo spid="_x0000_s1113"/>
    <customShpInfo spid="_x0000_s1111"/>
    <customShpInfo spid="_x0000_s1114"/>
    <customShpInfo spid="_x0000_s1116"/>
    <customShpInfo spid="_x0000_s1117"/>
    <customShpInfo spid="_x0000_s1115"/>
    <customShpInfo spid="_x0000_s1119"/>
    <customShpInfo spid="_x0000_s1120"/>
    <customShpInfo spid="_x0000_s1118"/>
    <customShpInfo spid="_x0000_s1122"/>
    <customShpInfo spid="_x0000_s1123"/>
    <customShpInfo spid="_x0000_s1121"/>
    <customShpInfo spid="_x0000_s1125"/>
    <customShpInfo spid="_x0000_s1126"/>
    <customShpInfo spid="_x0000_s1124"/>
    <customShpInfo spid="_x0000_s1128"/>
    <customShpInfo spid="_x0000_s1129"/>
    <customShpInfo spid="_x0000_s1127"/>
    <customShpInfo spid="_x0000_s1131"/>
    <customShpInfo spid="_x0000_s1132"/>
    <customShpInfo spid="_x0000_s1130"/>
    <customShpInfo spid="_x0000_s1134"/>
    <customShpInfo spid="_x0000_s1135"/>
    <customShpInfo spid="_x0000_s1133"/>
    <customShpInfo spid="_x0000_s1137"/>
    <customShpInfo spid="_x0000_s1138"/>
    <customShpInfo spid="_x0000_s1136"/>
    <customShpInfo spid="_x0000_s1140"/>
    <customShpInfo spid="_x0000_s1141"/>
    <customShpInfo spid="_x0000_s1139"/>
    <customShpInfo spid="_x0000_s1143"/>
    <customShpInfo spid="_x0000_s1144"/>
    <customShpInfo spid="_x0000_s1142"/>
    <customShpInfo spid="_x0000_s1146"/>
    <customShpInfo spid="_x0000_s1147"/>
    <customShpInfo spid="_x0000_s1145"/>
    <customShpInfo spid="_x0000_s1149"/>
    <customShpInfo spid="_x0000_s1150"/>
    <customShpInfo spid="_x0000_s1148"/>
    <customShpInfo spid="_x0000_s1152"/>
    <customShpInfo spid="_x0000_s1153"/>
    <customShpInfo spid="_x0000_s1151"/>
    <customShpInfo spid="_x0000_s1155"/>
    <customShpInfo spid="_x0000_s1156"/>
    <customShpInfo spid="_x0000_s1154"/>
    <customShpInfo spid="_x0000_s1158"/>
    <customShpInfo spid="_x0000_s1159"/>
    <customShpInfo spid="_x0000_s1157"/>
    <customShpInfo spid="_x0000_s1161"/>
    <customShpInfo spid="_x0000_s1162"/>
    <customShpInfo spid="_x0000_s1160"/>
    <customShpInfo spid="_x0000_s1164"/>
    <customShpInfo spid="_x0000_s1165"/>
    <customShpInfo spid="_x0000_s1163"/>
    <customShpInfo spid="_x0000_s1167"/>
    <customShpInfo spid="_x0000_s1168"/>
    <customShpInfo spid="_x0000_s1166"/>
    <customShpInfo spid="_x0000_s1170"/>
    <customShpInfo spid="_x0000_s1171"/>
    <customShpInfo spid="_x0000_s1169"/>
    <customShpInfo spid="_x0000_s1173"/>
    <customShpInfo spid="_x0000_s1174"/>
    <customShpInfo spid="_x0000_s1172"/>
    <customShpInfo spid="_x0000_s1176"/>
    <customShpInfo spid="_x0000_s1177"/>
    <customShpInfo spid="_x0000_s1175"/>
    <customShpInfo spid="_x0000_s1179"/>
    <customShpInfo spid="_x0000_s1180"/>
    <customShpInfo spid="_x0000_s1178"/>
    <customShpInfo spid="_x0000_s1182"/>
    <customShpInfo spid="_x0000_s1183"/>
    <customShpInfo spid="_x0000_s1181"/>
    <customShpInfo spid="_x0000_s1185"/>
    <customShpInfo spid="_x0000_s1186"/>
    <customShpInfo spid="_x0000_s1184"/>
    <customShpInfo spid="_x0000_s1188"/>
    <customShpInfo spid="_x0000_s1189"/>
    <customShpInfo spid="_x0000_s1187"/>
    <customShpInfo spid="_x0000_s1191"/>
    <customShpInfo spid="_x0000_s1192"/>
    <customShpInfo spid="_x0000_s1190"/>
    <customShpInfo spid="_x0000_s1194"/>
    <customShpInfo spid="_x0000_s1195"/>
    <customShpInfo spid="_x0000_s1193"/>
    <customShpInfo spid="_x0000_s1197"/>
    <customShpInfo spid="_x0000_s1198"/>
    <customShpInfo spid="_x0000_s1196"/>
    <customShpInfo spid="_x0000_s1200"/>
    <customShpInfo spid="_x0000_s1201"/>
    <customShpInfo spid="_x0000_s1199"/>
    <customShpInfo spid="_x0000_s1203"/>
    <customShpInfo spid="_x0000_s1204"/>
    <customShpInfo spid="_x0000_s1202"/>
    <customShpInfo spid="_x0000_s1206"/>
    <customShpInfo spid="_x0000_s1207"/>
    <customShpInfo spid="_x0000_s1205"/>
    <customShpInfo spid="_x0000_s1209"/>
    <customShpInfo spid="_x0000_s1210"/>
    <customShpInfo spid="_x0000_s1208"/>
    <customShpInfo spid="_x0000_s1212"/>
    <customShpInfo spid="_x0000_s1213"/>
    <customShpInfo spid="_x0000_s1211"/>
    <customShpInfo spid="_x0000_s1215"/>
    <customShpInfo spid="_x0000_s1216"/>
    <customShpInfo spid="_x0000_s1214"/>
    <customShpInfo spid="_x0000_s1218"/>
    <customShpInfo spid="_x0000_s1219"/>
    <customShpInfo spid="_x0000_s1217"/>
    <customShpInfo spid="_x0000_s1221"/>
    <customShpInfo spid="_x0000_s1222"/>
    <customShpInfo spid="_x0000_s1220"/>
    <customShpInfo spid="_x0000_s1224"/>
    <customShpInfo spid="_x0000_s1225"/>
    <customShpInfo spid="_x0000_s1223"/>
    <customShpInfo spid="_x0000_s1227"/>
    <customShpInfo spid="_x0000_s1228"/>
    <customShpInfo spid="_x0000_s1226"/>
    <customShpInfo spid="_x0000_s1230"/>
    <customShpInfo spid="_x0000_s1231"/>
    <customShpInfo spid="_x0000_s1229"/>
    <customShpInfo spid="_x0000_s1233"/>
    <customShpInfo spid="_x0000_s1234"/>
    <customShpInfo spid="_x0000_s1232"/>
    <customShpInfo spid="_x0000_s1236"/>
    <customShpInfo spid="_x0000_s1237"/>
    <customShpInfo spid="_x0000_s1235"/>
    <customShpInfo spid="_x0000_s1239"/>
    <customShpInfo spid="_x0000_s1240"/>
    <customShpInfo spid="_x0000_s1238"/>
    <customShpInfo spid="_x0000_s1242"/>
    <customShpInfo spid="_x0000_s1243"/>
    <customShpInfo spid="_x0000_s1241"/>
    <customShpInfo spid="_x0000_s1245"/>
    <customShpInfo spid="_x0000_s1246"/>
    <customShpInfo spid="_x0000_s1244"/>
    <customShpInfo spid="_x0000_s1247"/>
    <customShpInfo spid="_x0000_s1249"/>
    <customShpInfo spid="_x0000_s1250"/>
    <customShpInfo spid="_x0000_s1248"/>
    <customShpInfo spid="_x0000_s1252"/>
    <customShpInfo spid="_x0000_s1253"/>
    <customShpInfo spid="_x0000_s1251"/>
    <customShpInfo spid="_x0000_s1255"/>
    <customShpInfo spid="_x0000_s1256"/>
    <customShpInfo spid="_x0000_s1254"/>
    <customShpInfo spid="_x0000_s1258"/>
    <customShpInfo spid="_x0000_s1259"/>
    <customShpInfo spid="_x0000_s1257"/>
    <customShpInfo spid="_x0000_s1261"/>
    <customShpInfo spid="_x0000_s1262"/>
    <customShpInfo spid="_x0000_s1260"/>
    <customShpInfo spid="_x0000_s1264"/>
    <customShpInfo spid="_x0000_s1265"/>
    <customShpInfo spid="_x0000_s1263"/>
    <customShpInfo spid="_x0000_s1267"/>
    <customShpInfo spid="_x0000_s1268"/>
    <customShpInfo spid="_x0000_s1266"/>
    <customShpInfo spid="_x0000_s1270"/>
    <customShpInfo spid="_x0000_s1271"/>
    <customShpInfo spid="_x0000_s1269"/>
    <customShpInfo spid="_x0000_s1273"/>
    <customShpInfo spid="_x0000_s1274"/>
    <customShpInfo spid="_x0000_s1272"/>
    <customShpInfo spid="_x0000_s1276"/>
    <customShpInfo spid="_x0000_s1277"/>
    <customShpInfo spid="_x0000_s1275"/>
    <customShpInfo spid="_x0000_s1279"/>
    <customShpInfo spid="_x0000_s1280"/>
    <customShpInfo spid="_x0000_s1278"/>
    <customShpInfo spid="_x0000_s1282"/>
    <customShpInfo spid="_x0000_s1283"/>
    <customShpInfo spid="_x0000_s1281"/>
    <customShpInfo spid="_x0000_s1285"/>
    <customShpInfo spid="_x0000_s1286"/>
    <customShpInfo spid="_x0000_s1284"/>
    <customShpInfo spid="_x0000_s1288"/>
    <customShpInfo spid="_x0000_s1289"/>
    <customShpInfo spid="_x0000_s1287"/>
    <customShpInfo spid="_x0000_s1291"/>
    <customShpInfo spid="_x0000_s1292"/>
    <customShpInfo spid="_x0000_s1290"/>
    <customShpInfo spid="_x0000_s1294"/>
    <customShpInfo spid="_x0000_s1295"/>
    <customShpInfo spid="_x0000_s1293"/>
    <customShpInfo spid="_x0000_s1297"/>
    <customShpInfo spid="_x0000_s1298"/>
    <customShpInfo spid="_x0000_s1296"/>
    <customShpInfo spid="_x0000_s1300"/>
    <customShpInfo spid="_x0000_s1301"/>
    <customShpInfo spid="_x0000_s1299"/>
    <customShpInfo spid="_x0000_s1303"/>
    <customShpInfo spid="_x0000_s1304"/>
    <customShpInfo spid="_x0000_s1302"/>
    <customShpInfo spid="_x0000_s1306"/>
    <customShpInfo spid="_x0000_s1307"/>
    <customShpInfo spid="_x0000_s1305"/>
    <customShpInfo spid="_x0000_s1309"/>
    <customShpInfo spid="_x0000_s1310"/>
    <customShpInfo spid="_x0000_s1308"/>
    <customShpInfo spid="_x0000_s1312"/>
    <customShpInfo spid="_x0000_s1313"/>
    <customShpInfo spid="_x0000_s1311"/>
    <customShpInfo spid="_x0000_s1315"/>
    <customShpInfo spid="_x0000_s1316"/>
    <customShpInfo spid="_x0000_s1314"/>
    <customShpInfo spid="_x0000_s1318"/>
    <customShpInfo spid="_x0000_s1319"/>
    <customShpInfo spid="_x0000_s1317"/>
    <customShpInfo spid="_x0000_s1321"/>
    <customShpInfo spid="_x0000_s1322"/>
    <customShpInfo spid="_x0000_s1320"/>
    <customShpInfo spid="_x0000_s1324"/>
    <customShpInfo spid="_x0000_s1325"/>
    <customShpInfo spid="_x0000_s1323"/>
    <customShpInfo spid="_x0000_s1327"/>
    <customShpInfo spid="_x0000_s1328"/>
    <customShpInfo spid="_x0000_s1326"/>
    <customShpInfo spid="_x0000_s1330"/>
    <customShpInfo spid="_x0000_s1331"/>
    <customShpInfo spid="_x0000_s1329"/>
    <customShpInfo spid="_x0000_s1333"/>
    <customShpInfo spid="_x0000_s1334"/>
    <customShpInfo spid="_x0000_s1332"/>
    <customShpInfo spid="_x0000_s1336"/>
    <customShpInfo spid="_x0000_s1337"/>
    <customShpInfo spid="_x0000_s1335"/>
    <customShpInfo spid="_x0000_s1339"/>
    <customShpInfo spid="_x0000_s1340"/>
    <customShpInfo spid="_x0000_s1338"/>
    <customShpInfo spid="_x0000_s1342"/>
    <customShpInfo spid="_x0000_s1343"/>
    <customShpInfo spid="_x0000_s1341"/>
    <customShpInfo spid="_x0000_s1345"/>
    <customShpInfo spid="_x0000_s1346"/>
    <customShpInfo spid="_x0000_s1344"/>
    <customShpInfo spid="_x0000_s1348"/>
    <customShpInfo spid="_x0000_s1349"/>
    <customShpInfo spid="_x0000_s1347"/>
    <customShpInfo spid="_x0000_s1351"/>
    <customShpInfo spid="_x0000_s1352"/>
    <customShpInfo spid="_x0000_s1350"/>
    <customShpInfo spid="_x0000_s1354"/>
    <customShpInfo spid="_x0000_s1355"/>
    <customShpInfo spid="_x0000_s1353"/>
    <customShpInfo spid="_x0000_s1357"/>
    <customShpInfo spid="_x0000_s1358"/>
    <customShpInfo spid="_x0000_s1356"/>
    <customShpInfo spid="_x0000_s1360"/>
    <customShpInfo spid="_x0000_s1361"/>
    <customShpInfo spid="_x0000_s1359"/>
    <customShpInfo spid="_x0000_s1363"/>
    <customShpInfo spid="_x0000_s1364"/>
    <customShpInfo spid="_x0000_s1362"/>
    <customShpInfo spid="_x0000_s1366"/>
    <customShpInfo spid="_x0000_s1367"/>
    <customShpInfo spid="_x0000_s1365"/>
    <customShpInfo spid="_x0000_s1369"/>
    <customShpInfo spid="_x0000_s1370"/>
    <customShpInfo spid="_x0000_s1368"/>
    <customShpInfo spid="_x0000_s1372"/>
    <customShpInfo spid="_x0000_s1373"/>
    <customShpInfo spid="_x0000_s1371"/>
    <customShpInfo spid="_x0000_s1375"/>
    <customShpInfo spid="_x0000_s1376"/>
    <customShpInfo spid="_x0000_s1374"/>
    <customShpInfo spid="_x0000_s1378"/>
    <customShpInfo spid="_x0000_s1379"/>
    <customShpInfo spid="_x0000_s1377"/>
    <customShpInfo spid="_x0000_s1381"/>
    <customShpInfo spid="_x0000_s1382"/>
    <customShpInfo spid="_x0000_s1380"/>
    <customShpInfo spid="_x0000_s1384"/>
    <customShpInfo spid="_x0000_s1385"/>
    <customShpInfo spid="_x0000_s1383"/>
    <customShpInfo spid="_x0000_s1387"/>
    <customShpInfo spid="_x0000_s1388"/>
    <customShpInfo spid="_x0000_s1386"/>
    <customShpInfo spid="_x0000_s1390"/>
    <customShpInfo spid="_x0000_s1391"/>
    <customShpInfo spid="_x0000_s1389"/>
    <customShpInfo spid="_x0000_s1393"/>
    <customShpInfo spid="_x0000_s1394"/>
    <customShpInfo spid="_x0000_s1392"/>
    <customShpInfo spid="_x0000_s1396"/>
    <customShpInfo spid="_x0000_s1397"/>
    <customShpInfo spid="_x0000_s1395"/>
    <customShpInfo spid="_x0000_s1399"/>
    <customShpInfo spid="_x0000_s1400"/>
    <customShpInfo spid="_x0000_s1398"/>
    <customShpInfo spid="_x0000_s1402"/>
    <customShpInfo spid="_x0000_s1403"/>
    <customShpInfo spid="_x0000_s1401"/>
    <customShpInfo spid="_x0000_s1405"/>
    <customShpInfo spid="_x0000_s1406"/>
    <customShpInfo spid="_x0000_s1404"/>
    <customShpInfo spid="_x0000_s1408"/>
    <customShpInfo spid="_x0000_s1409"/>
    <customShpInfo spid="_x0000_s1407"/>
    <customShpInfo spid="_x0000_s1411"/>
    <customShpInfo spid="_x0000_s1412"/>
    <customShpInfo spid="_x0000_s1410"/>
    <customShpInfo spid="_x0000_s1414"/>
    <customShpInfo spid="_x0000_s1415"/>
    <customShpInfo spid="_x0000_s1413"/>
    <customShpInfo spid="_x0000_s1417"/>
    <customShpInfo spid="_x0000_s1418"/>
    <customShpInfo spid="_x0000_s1416"/>
    <customShpInfo spid="_x0000_s1420"/>
    <customShpInfo spid="_x0000_s1421"/>
    <customShpInfo spid="_x0000_s1419"/>
    <customShpInfo spid="_x0000_s1423"/>
    <customShpInfo spid="_x0000_s1424"/>
    <customShpInfo spid="_x0000_s1422"/>
    <customShpInfo spid="_x0000_s1426"/>
    <customShpInfo spid="_x0000_s1427"/>
    <customShpInfo spid="_x0000_s1425"/>
    <customShpInfo spid="_x0000_s1429"/>
    <customShpInfo spid="_x0000_s1430"/>
    <customShpInfo spid="_x0000_s1428"/>
    <customShpInfo spid="_x0000_s1432"/>
    <customShpInfo spid="_x0000_s1433"/>
    <customShpInfo spid="_x0000_s1431"/>
    <customShpInfo spid="_x0000_s1435"/>
    <customShpInfo spid="_x0000_s1436"/>
    <customShpInfo spid="_x0000_s1434"/>
    <customShpInfo spid="_x0000_s1438"/>
    <customShpInfo spid="_x0000_s1439"/>
    <customShpInfo spid="_x0000_s14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俏俏</dc:creator>
  <cp:lastModifiedBy>lyp</cp:lastModifiedBy>
  <cp:revision>0</cp:revision>
  <dcterms:created xsi:type="dcterms:W3CDTF">2024-01-09T13:16:00Z</dcterms:created>
  <dcterms:modified xsi:type="dcterms:W3CDTF">2024-01-10T04:57:44Z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2022-03-28T00:00:00Z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2024-01-09T00:00:00Z</vt:filetime>
  </property>
</Properties>
</file>