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基因工程乙型肝炎疫苗(酵母)项目规划设计蓝图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7372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_Toc17372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210" w:history="1">
        <w:r>
          <w:rPr>
            <w:rFonts w:ascii="仿宋" w:eastAsia="仿宋" w:hAnsi="仿宋" w:cs="仿宋" w:hint="eastAsia"/>
            <w:lang w:eastAsia="zh-CN"/>
          </w:rPr>
          <w:t>一、基因工程乙型肝炎疫苗(酵母)项目危机管理</w:t>
        </w:r>
        <w:r>
          <w:tab/>
        </w:r>
        <w:r>
          <w:fldChar w:fldCharType="begin"/>
        </w:r>
        <w:r>
          <w:instrText xml:space="preserve"> PAGEREF _Toc4210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43" w:history="1">
        <w:r>
          <w:rPr>
            <w:rFonts w:ascii="仿宋" w:eastAsia="仿宋" w:hAnsi="仿宋" w:cs="仿宋" w:hint="eastAsia"/>
            <w:lang w:eastAsia="zh-CN"/>
          </w:rPr>
          <w:t>(一)、危机预警与识别</w:t>
        </w:r>
        <w:r>
          <w:tab/>
        </w:r>
        <w:r>
          <w:fldChar w:fldCharType="begin"/>
        </w:r>
        <w:r>
          <w:instrText xml:space="preserve"> PAGEREF _Toc10943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0" w:history="1">
        <w:r>
          <w:rPr>
            <w:rFonts w:ascii="仿宋" w:eastAsia="仿宋" w:hAnsi="仿宋" w:cs="仿宋" w:hint="eastAsia"/>
            <w:lang w:eastAsia="zh-CN"/>
          </w:rPr>
          <w:t>(二)、危机应对与恢复</w:t>
        </w:r>
        <w:r>
          <w:tab/>
        </w:r>
        <w:r>
          <w:fldChar w:fldCharType="begin"/>
        </w:r>
        <w:r>
          <w:instrText xml:space="preserve"> PAGEREF _Toc350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516" w:history="1">
        <w:r>
          <w:rPr>
            <w:rFonts w:ascii="仿宋" w:eastAsia="仿宋" w:hAnsi="仿宋" w:cs="仿宋" w:hint="eastAsia"/>
            <w:lang w:eastAsia="zh-CN"/>
          </w:rPr>
          <w:t>二、基因工程乙型肝炎疫苗(酵母)项目建设单位说明</w:t>
        </w:r>
        <w:r>
          <w:tab/>
        </w:r>
        <w:r>
          <w:fldChar w:fldCharType="begin"/>
        </w:r>
        <w:r>
          <w:instrText xml:space="preserve"> PAGEREF _Toc23516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2" w:history="1">
        <w:r>
          <w:rPr>
            <w:rFonts w:ascii="仿宋" w:eastAsia="仿宋" w:hAnsi="仿宋" w:cs="仿宋" w:hint="eastAsia"/>
            <w:lang w:eastAsia="zh-CN"/>
          </w:rPr>
          <w:t>(一)、基因工程乙型肝炎疫苗(酵母)项目承办单位基本情况</w:t>
        </w:r>
        <w:r>
          <w:tab/>
        </w:r>
        <w:r>
          <w:fldChar w:fldCharType="begin"/>
        </w:r>
        <w:r>
          <w:instrText xml:space="preserve"> PAGEREF _Toc1152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08" w:history="1">
        <w:r>
          <w:rPr>
            <w:rFonts w:ascii="仿宋" w:eastAsia="仿宋" w:hAnsi="仿宋" w:cs="仿宋" w:hint="eastAsia"/>
            <w:lang w:eastAsia="zh-CN"/>
          </w:rPr>
          <w:t>(二)、公司经济效益分析</w:t>
        </w:r>
        <w:r>
          <w:tab/>
        </w:r>
        <w:r>
          <w:fldChar w:fldCharType="begin"/>
        </w:r>
        <w:r>
          <w:instrText xml:space="preserve"> PAGEREF _Toc10408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133" w:history="1">
        <w:r>
          <w:rPr>
            <w:rFonts w:ascii="仿宋" w:eastAsia="仿宋" w:hAnsi="仿宋" w:cs="仿宋" w:hint="eastAsia"/>
            <w:lang w:eastAsia="zh-CN"/>
          </w:rPr>
          <w:t>三、工艺说明</w:t>
        </w:r>
        <w:r>
          <w:tab/>
        </w:r>
        <w:r>
          <w:fldChar w:fldCharType="begin"/>
        </w:r>
        <w:r>
          <w:instrText xml:space="preserve"> PAGEREF _Toc20133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97" w:history="1">
        <w:r>
          <w:rPr>
            <w:rFonts w:ascii="仿宋" w:eastAsia="仿宋" w:hAnsi="仿宋" w:cs="仿宋" w:hint="eastAsia"/>
            <w:lang w:eastAsia="zh-CN"/>
          </w:rPr>
          <w:t>(一)、技术管理特点</w:t>
        </w:r>
        <w:r>
          <w:tab/>
        </w:r>
        <w:r>
          <w:fldChar w:fldCharType="begin"/>
        </w:r>
        <w:r>
          <w:instrText xml:space="preserve"> PAGEREF _Toc7997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28" w:history="1">
        <w:r>
          <w:rPr>
            <w:rFonts w:ascii="仿宋" w:eastAsia="仿宋" w:hAnsi="仿宋" w:cs="仿宋" w:hint="eastAsia"/>
            <w:lang w:eastAsia="zh-CN"/>
          </w:rPr>
          <w:t>(二)、基因工程乙型肝炎疫苗(酵母)项目工艺技术设计方案</w:t>
        </w:r>
        <w:r>
          <w:tab/>
        </w:r>
        <w:r>
          <w:fldChar w:fldCharType="begin"/>
        </w:r>
        <w:r>
          <w:instrText xml:space="preserve"> PAGEREF _Toc14328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61" w:history="1">
        <w:r>
          <w:rPr>
            <w:rFonts w:ascii="仿宋" w:eastAsia="仿宋" w:hAnsi="仿宋" w:cs="仿宋" w:hint="eastAsia"/>
            <w:lang w:eastAsia="zh-CN"/>
          </w:rPr>
          <w:t>(三)、设备选型方案</w:t>
        </w:r>
        <w:r>
          <w:tab/>
        </w:r>
        <w:r>
          <w:fldChar w:fldCharType="begin"/>
        </w:r>
        <w:r>
          <w:instrText xml:space="preserve"> PAGEREF _Toc6061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209" w:history="1">
        <w:r>
          <w:rPr>
            <w:rFonts w:ascii="仿宋" w:eastAsia="仿宋" w:hAnsi="仿宋" w:cs="仿宋" w:hint="eastAsia"/>
            <w:lang w:eastAsia="zh-CN"/>
          </w:rPr>
          <w:t>四、基因工程乙型肝炎疫苗(酵母)项目可持续发展</w:t>
        </w:r>
        <w:r>
          <w:tab/>
        </w:r>
        <w:r>
          <w:fldChar w:fldCharType="begin"/>
        </w:r>
        <w:r>
          <w:instrText xml:space="preserve"> PAGEREF _Toc24209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59" w:history="1">
        <w:r>
          <w:rPr>
            <w:rFonts w:ascii="仿宋" w:eastAsia="仿宋" w:hAnsi="仿宋" w:cs="仿宋" w:hint="eastAsia"/>
            <w:lang w:eastAsia="zh-CN"/>
          </w:rPr>
          <w:t>(一)、可持续战略与实践</w:t>
        </w:r>
        <w:r>
          <w:tab/>
        </w:r>
        <w:r>
          <w:fldChar w:fldCharType="begin"/>
        </w:r>
        <w:r>
          <w:instrText xml:space="preserve"> PAGEREF _Toc27859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67" w:history="1">
        <w:r>
          <w:rPr>
            <w:rFonts w:ascii="仿宋" w:eastAsia="仿宋" w:hAnsi="仿宋" w:cs="仿宋" w:hint="eastAsia"/>
            <w:lang w:eastAsia="zh-CN"/>
          </w:rPr>
          <w:t>(二)、环保与社会责任</w:t>
        </w:r>
        <w:r>
          <w:tab/>
        </w:r>
        <w:r>
          <w:fldChar w:fldCharType="begin"/>
        </w:r>
        <w:r>
          <w:instrText xml:space="preserve"> PAGEREF _Toc6767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630" w:history="1">
        <w:r>
          <w:rPr>
            <w:rFonts w:ascii="仿宋" w:eastAsia="仿宋" w:hAnsi="仿宋" w:cs="仿宋" w:hint="eastAsia"/>
            <w:lang w:eastAsia="zh-CN"/>
          </w:rPr>
          <w:t>五、基因工程乙型肝炎疫苗(酵母)项目绩效评估</w:t>
        </w:r>
        <w:r>
          <w:tab/>
        </w:r>
        <w:r>
          <w:fldChar w:fldCharType="begin"/>
        </w:r>
        <w:r>
          <w:instrText xml:space="preserve"> PAGEREF _Toc17630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46" w:history="1">
        <w:r>
          <w:rPr>
            <w:rFonts w:ascii="仿宋" w:eastAsia="仿宋" w:hAnsi="仿宋" w:cs="仿宋" w:hint="eastAsia"/>
            <w:lang w:eastAsia="zh-CN"/>
          </w:rPr>
          <w:t>(一)、绩效评估指标</w:t>
        </w:r>
        <w:r>
          <w:tab/>
        </w:r>
        <w:r>
          <w:fldChar w:fldCharType="begin"/>
        </w:r>
        <w:r>
          <w:instrText xml:space="preserve"> PAGEREF _Toc13946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99" w:history="1">
        <w:r>
          <w:rPr>
            <w:rFonts w:ascii="仿宋" w:eastAsia="仿宋" w:hAnsi="仿宋" w:cs="仿宋" w:hint="eastAsia"/>
            <w:lang w:eastAsia="zh-CN"/>
          </w:rPr>
          <w:t>(二)、绩效评估方法</w:t>
        </w:r>
        <w:r>
          <w:tab/>
        </w:r>
        <w:r>
          <w:fldChar w:fldCharType="begin"/>
        </w:r>
        <w:r>
          <w:instrText xml:space="preserve"> PAGEREF _Toc11999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22" w:history="1">
        <w:r>
          <w:rPr>
            <w:rFonts w:ascii="仿宋" w:eastAsia="仿宋" w:hAnsi="仿宋" w:cs="仿宋" w:hint="eastAsia"/>
            <w:lang w:eastAsia="zh-CN"/>
          </w:rPr>
          <w:t>(三)、绩效评估周期</w:t>
        </w:r>
        <w:r>
          <w:tab/>
        </w:r>
        <w:r>
          <w:fldChar w:fldCharType="begin"/>
        </w:r>
        <w:r>
          <w:instrText xml:space="preserve"> PAGEREF _Toc15922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957" w:history="1">
        <w:r>
          <w:rPr>
            <w:rFonts w:ascii="仿宋" w:eastAsia="仿宋" w:hAnsi="仿宋" w:cs="仿宋" w:hint="eastAsia"/>
            <w:lang w:eastAsia="zh-CN"/>
          </w:rPr>
          <w:t>六、基因工程乙型肝炎疫苗(酵母)项目文档管理</w:t>
        </w:r>
        <w:r>
          <w:tab/>
        </w:r>
        <w:r>
          <w:fldChar w:fldCharType="begin"/>
        </w:r>
        <w:r>
          <w:instrText xml:space="preserve"> PAGEREF _Toc17957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15" w:history="1">
        <w:r>
          <w:rPr>
            <w:rFonts w:ascii="仿宋" w:eastAsia="仿宋" w:hAnsi="仿宋" w:cs="仿宋" w:hint="eastAsia"/>
            <w:lang w:eastAsia="zh-CN"/>
          </w:rPr>
          <w:t>(一)、文档编制与审查</w:t>
        </w:r>
        <w:r>
          <w:tab/>
        </w:r>
        <w:r>
          <w:fldChar w:fldCharType="begin"/>
        </w:r>
        <w:r>
          <w:instrText xml:space="preserve"> PAGEREF _Toc28215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86" w:history="1">
        <w:r>
          <w:rPr>
            <w:rFonts w:ascii="仿宋" w:eastAsia="仿宋" w:hAnsi="仿宋" w:cs="仿宋" w:hint="eastAsia"/>
            <w:lang w:eastAsia="zh-CN"/>
          </w:rPr>
          <w:t>(二)、文档发布与分发</w:t>
        </w:r>
        <w:r>
          <w:tab/>
        </w:r>
        <w:r>
          <w:fldChar w:fldCharType="begin"/>
        </w:r>
        <w:r>
          <w:instrText xml:space="preserve"> PAGEREF _Toc20786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8" w:history="1">
        <w:r>
          <w:rPr>
            <w:rFonts w:ascii="仿宋" w:eastAsia="仿宋" w:hAnsi="仿宋" w:cs="仿宋" w:hint="eastAsia"/>
            <w:lang w:eastAsia="zh-CN"/>
          </w:rPr>
          <w:t>(三)、文档存档与归档</w:t>
        </w:r>
        <w:r>
          <w:tab/>
        </w:r>
        <w:r>
          <w:fldChar w:fldCharType="begin"/>
        </w:r>
        <w:r>
          <w:instrText xml:space="preserve"> PAGEREF _Toc1498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774" w:history="1">
        <w:r>
          <w:rPr>
            <w:rFonts w:ascii="仿宋" w:eastAsia="仿宋" w:hAnsi="仿宋" w:cs="仿宋" w:hint="eastAsia"/>
            <w:lang w:eastAsia="zh-CN"/>
          </w:rPr>
          <w:t>七、基因工程乙型肝炎疫苗(酵母)项目人力资源培养与发展</w:t>
        </w:r>
        <w:r>
          <w:tab/>
        </w:r>
        <w:r>
          <w:fldChar w:fldCharType="begin"/>
        </w:r>
        <w:r>
          <w:instrText xml:space="preserve"> PAGEREF _Toc16774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09" w:history="1">
        <w:r>
          <w:rPr>
            <w:rFonts w:ascii="仿宋" w:eastAsia="仿宋" w:hAnsi="仿宋" w:cs="仿宋" w:hint="eastAsia"/>
            <w:lang w:eastAsia="zh-CN"/>
          </w:rPr>
          <w:t>(一)、人才需求与规划</w:t>
        </w:r>
        <w:r>
          <w:tab/>
        </w:r>
        <w:r>
          <w:fldChar w:fldCharType="begin"/>
        </w:r>
        <w:r>
          <w:instrText xml:space="preserve"> PAGEREF _Toc27209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38" w:history="1">
        <w:r>
          <w:rPr>
            <w:rFonts w:ascii="仿宋" w:eastAsia="仿宋" w:hAnsi="仿宋" w:cs="仿宋" w:hint="eastAsia"/>
            <w:lang w:eastAsia="zh-CN"/>
          </w:rPr>
          <w:t>(二)、培训与发展计划</w:t>
        </w:r>
        <w:r>
          <w:tab/>
        </w:r>
        <w:r>
          <w:fldChar w:fldCharType="begin"/>
        </w:r>
        <w:r>
          <w:instrText xml:space="preserve"> PAGEREF _Toc25238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512" w:history="1">
        <w:r>
          <w:rPr>
            <w:rFonts w:ascii="仿宋" w:eastAsia="仿宋" w:hAnsi="仿宋" w:cs="仿宋" w:hint="eastAsia"/>
            <w:lang w:eastAsia="zh-CN"/>
          </w:rPr>
          <w:t>八、生产安全保护</w:t>
        </w:r>
        <w:r>
          <w:tab/>
        </w:r>
        <w:r>
          <w:fldChar w:fldCharType="begin"/>
        </w:r>
        <w:r>
          <w:instrText xml:space="preserve"> PAGEREF _Toc20512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58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_Toc14758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3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_Toc1623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61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_Toc25961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18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_Toc5618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6" w:history="1">
        <w:r>
          <w:rPr>
            <w:rFonts w:ascii="仿宋" w:eastAsia="仿宋" w:hAnsi="仿宋" w:cs="仿宋" w:hint="eastAsia"/>
            <w:lang w:eastAsia="zh-CN"/>
          </w:rPr>
          <w:t>(五)、防尘防毒措施</w:t>
        </w:r>
        <w:r>
          <w:tab/>
        </w:r>
        <w:r>
          <w:fldChar w:fldCharType="begin"/>
        </w:r>
        <w:r>
          <w:instrText xml:space="preserve"> PAGEREF _Toc906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71" w:history="1">
        <w:r>
          <w:rPr>
            <w:rFonts w:ascii="仿宋" w:eastAsia="仿宋" w:hAnsi="仿宋" w:cs="仿宋" w:hint="eastAsia"/>
            <w:lang w:eastAsia="zh-CN"/>
          </w:rPr>
          <w:t>(六)、防静电、触电防护及防雷措施</w:t>
        </w:r>
        <w:r>
          <w:tab/>
        </w:r>
        <w:r>
          <w:fldChar w:fldCharType="begin"/>
        </w:r>
        <w:r>
          <w:instrText xml:space="preserve"> PAGEREF _Toc17371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03" w:history="1">
        <w:r>
          <w:rPr>
            <w:rFonts w:ascii="仿宋" w:eastAsia="仿宋" w:hAnsi="仿宋" w:cs="仿宋" w:hint="eastAsia"/>
            <w:lang w:eastAsia="zh-CN"/>
          </w:rPr>
          <w:t>(七)、机械设备安全保障措施</w:t>
        </w:r>
        <w:r>
          <w:tab/>
        </w:r>
        <w:r>
          <w:fldChar w:fldCharType="begin"/>
        </w:r>
        <w:r>
          <w:instrText xml:space="preserve"> PAGEREF _Toc5003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974" w:history="1">
        <w:r>
          <w:rPr>
            <w:rFonts w:ascii="仿宋" w:eastAsia="仿宋" w:hAnsi="仿宋" w:cs="仿宋" w:hint="eastAsia"/>
            <w:lang w:eastAsia="zh-CN"/>
          </w:rPr>
          <w:t>九、基因工程乙型肝炎疫苗(酵母)项目计划安排</w:t>
        </w:r>
        <w:r>
          <w:tab/>
        </w:r>
        <w:r>
          <w:fldChar w:fldCharType="begin"/>
        </w:r>
        <w:r>
          <w:instrText xml:space="preserve"> PAGEREF _Toc11974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50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_Toc18850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62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_Toc20762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23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_Toc6523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78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_Toc12078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390" w:history="1">
        <w:r>
          <w:rPr>
            <w:rFonts w:ascii="仿宋" w:eastAsia="仿宋" w:hAnsi="仿宋" w:cs="仿宋" w:hint="eastAsia"/>
            <w:lang w:eastAsia="zh-CN"/>
          </w:rPr>
          <w:t>十、基因工程乙型肝炎疫苗(酵母)项目创新与研发</w:t>
        </w:r>
        <w:r>
          <w:tab/>
        </w:r>
        <w:r>
          <w:fldChar w:fldCharType="begin"/>
        </w:r>
        <w:r>
          <w:instrText xml:space="preserve"> PAGEREF _Toc16390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33" w:history="1">
        <w:r>
          <w:rPr>
            <w:rFonts w:ascii="仿宋" w:eastAsia="仿宋" w:hAnsi="仿宋" w:cs="仿宋" w:hint="eastAsia"/>
            <w:lang w:eastAsia="zh-CN"/>
          </w:rPr>
          <w:t>(一)、创新策略与方向</w:t>
        </w:r>
        <w:r>
          <w:tab/>
        </w:r>
        <w:r>
          <w:fldChar w:fldCharType="begin"/>
        </w:r>
        <w:r>
          <w:instrText xml:space="preserve"> PAGEREF _Toc31833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0" w:history="1">
        <w:r>
          <w:rPr>
            <w:rFonts w:ascii="仿宋" w:eastAsia="仿宋" w:hAnsi="仿宋" w:cs="仿宋" w:hint="eastAsia"/>
            <w:lang w:eastAsia="zh-CN"/>
          </w:rPr>
          <w:t>(二)、研发规划与投入</w:t>
        </w:r>
        <w:r>
          <w:tab/>
        </w:r>
        <w:r>
          <w:fldChar w:fldCharType="begin"/>
        </w:r>
        <w:r>
          <w:instrText xml:space="preserve"> PAGEREF _Toc3260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5548" w:history="1">
        <w:r>
          <w:rPr>
            <w:rFonts w:ascii="仿宋" w:eastAsia="仿宋" w:hAnsi="仿宋" w:cs="仿宋" w:hint="eastAsia"/>
            <w:lang w:eastAsia="zh-CN"/>
          </w:rPr>
          <w:t>十一、基因工程乙型肝炎疫苗(酵母)项目投资规划</w:t>
        </w:r>
        <w:r>
          <w:tab/>
        </w:r>
        <w:r>
          <w:fldChar w:fldCharType="begin"/>
        </w:r>
        <w:r>
          <w:instrText xml:space="preserve"> PAGEREF _Toc5548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59" w:history="1">
        <w:r>
          <w:rPr>
            <w:rFonts w:ascii="仿宋" w:eastAsia="仿宋" w:hAnsi="仿宋" w:cs="仿宋" w:hint="eastAsia"/>
            <w:lang w:eastAsia="zh-CN"/>
          </w:rPr>
          <w:t>(一)、基因工程乙型肝炎疫苗(酵母)项目总投资估算</w:t>
        </w:r>
        <w:r>
          <w:tab/>
        </w:r>
        <w:r>
          <w:fldChar w:fldCharType="begin"/>
        </w:r>
        <w:r>
          <w:instrText xml:space="preserve"> PAGEREF _Toc28159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46" w:history="1">
        <w:r>
          <w:rPr>
            <w:rFonts w:ascii="仿宋" w:eastAsia="仿宋" w:hAnsi="仿宋" w:cs="仿宋" w:hint="eastAsia"/>
            <w:lang w:eastAsia="zh-CN"/>
          </w:rPr>
          <w:t>(二)、资金筹措</w:t>
        </w:r>
        <w:r>
          <w:tab/>
        </w:r>
        <w:r>
          <w:fldChar w:fldCharType="begin"/>
        </w:r>
        <w:r>
          <w:instrText xml:space="preserve"> PAGEREF _Toc26446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574" w:history="1">
        <w:r>
          <w:rPr>
            <w:rFonts w:ascii="仿宋" w:eastAsia="仿宋" w:hAnsi="仿宋" w:cs="仿宋" w:hint="eastAsia"/>
            <w:lang w:eastAsia="zh-CN"/>
          </w:rPr>
          <w:t>十二、基因工程乙型肝炎疫苗(酵母)项目人力资源管理</w:t>
        </w:r>
        <w:r>
          <w:tab/>
        </w:r>
        <w:r>
          <w:fldChar w:fldCharType="begin"/>
        </w:r>
        <w:r>
          <w:instrText xml:space="preserve"> PAGEREF _Toc8574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92" w:history="1">
        <w:r>
          <w:rPr>
            <w:rFonts w:ascii="仿宋" w:eastAsia="仿宋" w:hAnsi="仿宋" w:cs="仿宋" w:hint="eastAsia"/>
            <w:lang w:eastAsia="zh-CN"/>
          </w:rPr>
          <w:t>(一)、建立健全的预算管理制度</w:t>
        </w:r>
        <w:r>
          <w:tab/>
        </w:r>
        <w:r>
          <w:fldChar w:fldCharType="begin"/>
        </w:r>
        <w:r>
          <w:instrText xml:space="preserve"> PAGEREF _Toc14792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89" w:history="1">
        <w:r>
          <w:rPr>
            <w:rFonts w:ascii="仿宋" w:eastAsia="仿宋" w:hAnsi="仿宋" w:cs="仿宋" w:hint="eastAsia"/>
            <w:lang w:eastAsia="zh-CN"/>
          </w:rPr>
          <w:t>(二)、加强资金流动监控</w:t>
        </w:r>
        <w:r>
          <w:tab/>
        </w:r>
        <w:r>
          <w:fldChar w:fldCharType="begin"/>
        </w:r>
        <w:r>
          <w:instrText xml:space="preserve"> PAGEREF _Toc12489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97" w:history="1">
        <w:r>
          <w:rPr>
            <w:rFonts w:ascii="仿宋" w:eastAsia="仿宋" w:hAnsi="仿宋" w:cs="仿宋" w:hint="eastAsia"/>
            <w:lang w:eastAsia="zh-CN"/>
          </w:rPr>
          <w:t>(三)、制定完善的风险控制机制</w:t>
        </w:r>
        <w:r>
          <w:tab/>
        </w:r>
        <w:r>
          <w:fldChar w:fldCharType="begin"/>
        </w:r>
        <w:r>
          <w:instrText xml:space="preserve"> PAGEREF _Toc3797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66" w:history="1">
        <w:r>
          <w:rPr>
            <w:rFonts w:ascii="仿宋" w:eastAsia="仿宋" w:hAnsi="仿宋" w:cs="仿宋" w:hint="eastAsia"/>
            <w:lang w:eastAsia="zh-CN"/>
          </w:rPr>
          <w:t>(四)、优化成本管理</w:t>
        </w:r>
        <w:r>
          <w:tab/>
        </w:r>
        <w:r>
          <w:fldChar w:fldCharType="begin"/>
        </w:r>
        <w:r>
          <w:instrText xml:space="preserve"> PAGEREF _Toc25466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641" w:history="1">
        <w:r>
          <w:rPr>
            <w:rFonts w:ascii="仿宋" w:eastAsia="仿宋" w:hAnsi="仿宋" w:cs="仿宋" w:hint="eastAsia"/>
            <w:lang w:eastAsia="zh-CN"/>
          </w:rPr>
          <w:t>十三、风险识别与分类</w:t>
        </w:r>
        <w:r>
          <w:tab/>
        </w:r>
        <w:r>
          <w:fldChar w:fldCharType="begin"/>
        </w:r>
        <w:r>
          <w:instrText xml:space="preserve"> PAGEREF _Toc12641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47" w:history="1">
        <w:r>
          <w:rPr>
            <w:rFonts w:ascii="仿宋" w:eastAsia="仿宋" w:hAnsi="仿宋" w:cs="仿宋" w:hint="eastAsia"/>
            <w:lang w:eastAsia="zh-CN"/>
          </w:rPr>
          <w:t>(一)、风险识别</w:t>
        </w:r>
        <w:r>
          <w:tab/>
        </w:r>
        <w:r>
          <w:fldChar w:fldCharType="begin"/>
        </w:r>
        <w:r>
          <w:instrText xml:space="preserve"> PAGEREF _Toc23447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60" w:history="1">
        <w:r>
          <w:rPr>
            <w:rFonts w:ascii="仿宋" w:eastAsia="仿宋" w:hAnsi="仿宋" w:cs="仿宋" w:hint="eastAsia"/>
            <w:lang w:eastAsia="zh-CN"/>
          </w:rPr>
          <w:t>(二)、风险分类</w:t>
        </w:r>
        <w:r>
          <w:tab/>
        </w:r>
        <w:r>
          <w:fldChar w:fldCharType="begin"/>
        </w:r>
        <w:r>
          <w:instrText xml:space="preserve"> PAGEREF _Toc31460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238" w:history="1">
        <w:r>
          <w:rPr>
            <w:rFonts w:ascii="仿宋" w:eastAsia="仿宋" w:hAnsi="仿宋" w:cs="仿宋" w:hint="eastAsia"/>
            <w:lang w:eastAsia="zh-CN"/>
          </w:rPr>
          <w:t>十四、质量管理体系</w:t>
        </w:r>
        <w:r>
          <w:tab/>
        </w:r>
        <w:r>
          <w:fldChar w:fldCharType="begin"/>
        </w:r>
        <w:r>
          <w:instrText xml:space="preserve"> PAGEREF _Toc30238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57" w:history="1">
        <w:r>
          <w:rPr>
            <w:rFonts w:ascii="仿宋" w:eastAsia="仿宋" w:hAnsi="仿宋" w:cs="仿宋" w:hint="eastAsia"/>
            <w:lang w:eastAsia="zh-CN"/>
          </w:rPr>
          <w:t>(一)、质量目标与方针</w:t>
        </w:r>
        <w:r>
          <w:tab/>
        </w:r>
        <w:r>
          <w:fldChar w:fldCharType="begin"/>
        </w:r>
        <w:r>
          <w:instrText xml:space="preserve"> PAGEREF _Toc8257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60" w:history="1">
        <w:r>
          <w:rPr>
            <w:rFonts w:ascii="仿宋" w:eastAsia="仿宋" w:hAnsi="仿宋" w:cs="仿宋" w:hint="eastAsia"/>
            <w:lang w:eastAsia="zh-CN"/>
          </w:rPr>
          <w:t>(二)、质量管理责任</w:t>
        </w:r>
        <w:r>
          <w:tab/>
        </w:r>
        <w:r>
          <w:fldChar w:fldCharType="begin"/>
        </w:r>
        <w:r>
          <w:instrText xml:space="preserve"> PAGEREF _Toc6360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45" w:history="1">
        <w:r>
          <w:rPr>
            <w:rFonts w:ascii="仿宋" w:eastAsia="仿宋" w:hAnsi="仿宋" w:cs="仿宋" w:hint="eastAsia"/>
            <w:lang w:eastAsia="zh-CN"/>
          </w:rPr>
          <w:t>(三)、质量管理体系文件</w:t>
        </w:r>
        <w:r>
          <w:tab/>
        </w:r>
        <w:r>
          <w:fldChar w:fldCharType="begin"/>
        </w:r>
        <w:r>
          <w:instrText xml:space="preserve"> PAGEREF _Toc10945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70" w:history="1">
        <w:r>
          <w:rPr>
            <w:rFonts w:ascii="仿宋" w:eastAsia="仿宋" w:hAnsi="仿宋" w:cs="仿宋" w:hint="eastAsia"/>
            <w:lang w:eastAsia="zh-CN"/>
          </w:rPr>
          <w:t>(四)、质量培训与教育</w:t>
        </w:r>
        <w:r>
          <w:tab/>
        </w:r>
        <w:r>
          <w:fldChar w:fldCharType="begin"/>
        </w:r>
        <w:r>
          <w:instrText xml:space="preserve"> PAGEREF _Toc8170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16" w:history="1">
        <w:r>
          <w:rPr>
            <w:rFonts w:ascii="仿宋" w:eastAsia="仿宋" w:hAnsi="仿宋" w:cs="仿宋" w:hint="eastAsia"/>
            <w:lang w:eastAsia="zh-CN"/>
          </w:rPr>
          <w:t>(五)、质量审核与评价</w:t>
        </w:r>
        <w:r>
          <w:tab/>
        </w:r>
        <w:r>
          <w:fldChar w:fldCharType="begin"/>
        </w:r>
        <w:r>
          <w:instrText xml:space="preserve"> PAGEREF _Toc9716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57" w:history="1">
        <w:r>
          <w:rPr>
            <w:rFonts w:ascii="仿宋" w:eastAsia="仿宋" w:hAnsi="仿宋" w:cs="仿宋" w:hint="eastAsia"/>
            <w:lang w:eastAsia="zh-CN"/>
          </w:rPr>
          <w:t>(六)、不符合与纠正措施</w:t>
        </w:r>
        <w:r>
          <w:tab/>
        </w:r>
        <w:r>
          <w:fldChar w:fldCharType="begin"/>
        </w:r>
        <w:r>
          <w:instrText xml:space="preserve"> PAGEREF _Toc28857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466" w:history="1">
        <w:r>
          <w:rPr>
            <w:rFonts w:ascii="仿宋" w:eastAsia="仿宋" w:hAnsi="仿宋" w:cs="仿宋" w:hint="eastAsia"/>
            <w:lang w:eastAsia="zh-CN"/>
          </w:rPr>
          <w:t>十五、利益相关者分析与沟通计划</w:t>
        </w:r>
        <w:r>
          <w:tab/>
        </w:r>
        <w:r>
          <w:fldChar w:fldCharType="begin"/>
        </w:r>
        <w:r>
          <w:instrText xml:space="preserve"> PAGEREF _Toc4466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98" w:history="1">
        <w:r>
          <w:rPr>
            <w:rFonts w:ascii="仿宋" w:eastAsia="仿宋" w:hAnsi="仿宋" w:cs="仿宋" w:hint="eastAsia"/>
            <w:lang w:eastAsia="zh-CN"/>
          </w:rPr>
          <w:t>(一)、利益相关者分析</w:t>
        </w:r>
        <w:r>
          <w:tab/>
        </w:r>
        <w:r>
          <w:fldChar w:fldCharType="begin"/>
        </w:r>
        <w:r>
          <w:instrText xml:space="preserve"> PAGEREF _Toc9498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25" w:history="1">
        <w:r>
          <w:rPr>
            <w:rFonts w:ascii="仿宋" w:eastAsia="仿宋" w:hAnsi="仿宋" w:cs="仿宋" w:hint="eastAsia"/>
            <w:lang w:eastAsia="zh-CN"/>
          </w:rPr>
          <w:t>(二)、沟通计划</w:t>
        </w:r>
        <w:r>
          <w:tab/>
        </w:r>
        <w:r>
          <w:fldChar w:fldCharType="begin"/>
        </w:r>
        <w:r>
          <w:instrText xml:space="preserve"> PAGEREF _Toc24025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379" w:history="1">
        <w:r>
          <w:rPr>
            <w:rFonts w:ascii="仿宋" w:eastAsia="仿宋" w:hAnsi="仿宋" w:cs="仿宋" w:hint="eastAsia"/>
            <w:lang w:eastAsia="zh-CN"/>
          </w:rPr>
          <w:t>十六、基因工程乙型肝炎疫苗(酵母)项目工程方案分析</w:t>
        </w:r>
        <w:r>
          <w:tab/>
        </w:r>
        <w:r>
          <w:fldChar w:fldCharType="begin"/>
        </w:r>
        <w:r>
          <w:instrText xml:space="preserve"> PAGEREF _Toc6379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42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_Toc13942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01" w:history="1">
        <w:r>
          <w:rPr>
            <w:rFonts w:ascii="仿宋" w:eastAsia="仿宋" w:hAnsi="仿宋" w:cs="仿宋" w:hint="eastAsia"/>
            <w:lang w:eastAsia="zh-CN"/>
          </w:rPr>
          <w:t>(二)、土建工程建设指标</w:t>
        </w:r>
        <w:r>
          <w:tab/>
        </w:r>
        <w:r>
          <w:fldChar w:fldCharType="begin"/>
        </w:r>
        <w:r>
          <w:instrText xml:space="preserve"> PAGEREF _Toc13701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593" w:history="1">
        <w:r>
          <w:rPr>
            <w:rFonts w:ascii="仿宋" w:eastAsia="仿宋" w:hAnsi="仿宋" w:cs="仿宋" w:hint="eastAsia"/>
            <w:lang w:eastAsia="zh-CN"/>
          </w:rPr>
          <w:t>十七、基因工程乙型肝炎疫苗(酵母)项目实施保障措施</w:t>
        </w:r>
        <w:r>
          <w:tab/>
        </w:r>
        <w:r>
          <w:fldChar w:fldCharType="begin"/>
        </w:r>
        <w:r>
          <w:instrText xml:space="preserve"> PAGEREF _Toc9593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94" w:history="1">
        <w:r>
          <w:rPr>
            <w:rFonts w:ascii="仿宋" w:eastAsia="仿宋" w:hAnsi="仿宋" w:cs="仿宋" w:hint="eastAsia"/>
            <w:lang w:eastAsia="zh-CN"/>
          </w:rPr>
          <w:t>(一)、基因工程乙型肝炎疫苗(酵母)项目实施保障机制</w:t>
        </w:r>
        <w:r>
          <w:tab/>
        </w:r>
        <w:r>
          <w:fldChar w:fldCharType="begin"/>
        </w:r>
        <w:r>
          <w:instrText xml:space="preserve"> PAGEREF _Toc29094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46" w:history="1">
        <w:r>
          <w:rPr>
            <w:rFonts w:ascii="仿宋" w:eastAsia="仿宋" w:hAnsi="仿宋" w:cs="仿宋" w:hint="eastAsia"/>
            <w:lang w:eastAsia="zh-CN"/>
          </w:rPr>
          <w:t>(二)、基因工程乙型肝炎疫苗(酵母)项目法律合规要求</w:t>
        </w:r>
        <w:r>
          <w:tab/>
        </w:r>
        <w:r>
          <w:fldChar w:fldCharType="begin"/>
        </w:r>
        <w:r>
          <w:instrText xml:space="preserve"> PAGEREF _Toc20146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25" w:history="1">
        <w:r>
          <w:rPr>
            <w:rFonts w:ascii="仿宋" w:eastAsia="仿宋" w:hAnsi="仿宋" w:cs="仿宋" w:hint="eastAsia"/>
            <w:lang w:eastAsia="zh-CN"/>
          </w:rPr>
          <w:t>(三)、基因工程乙型肝炎疫苗(酵母)项目合同管理与法律事务</w:t>
        </w:r>
        <w:r>
          <w:tab/>
        </w:r>
        <w:r>
          <w:fldChar w:fldCharType="begin"/>
        </w:r>
        <w:r>
          <w:instrText xml:space="preserve"> PAGEREF _Toc29125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48" w:history="1">
        <w:r>
          <w:rPr>
            <w:rFonts w:ascii="仿宋" w:eastAsia="仿宋" w:hAnsi="仿宋" w:cs="仿宋" w:hint="eastAsia"/>
            <w:lang w:eastAsia="zh-CN"/>
          </w:rPr>
          <w:t>(四)、基因工程乙型肝炎疫苗(酵母)项目知识产权保护策略</w:t>
        </w:r>
        <w:r>
          <w:tab/>
        </w:r>
        <w:r>
          <w:fldChar w:fldCharType="begin"/>
        </w:r>
        <w:r>
          <w:instrText xml:space="preserve"> PAGEREF _Toc7448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7372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规划设计方案旨在为项目的顺利开展提供指导和参考，确保项目进展符合规范标准。在此，特别声明本方案的不可做为商业用途，仅限于学习交流之目的。通过合理的项目规划和设计，我们将为项目的实施提供详尽的计划和策略，以期达成预期的目标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4210"/>
      <w:r>
        <w:rPr>
          <w:rFonts w:ascii="仿宋" w:eastAsia="仿宋" w:hAnsi="仿宋" w:cs="仿宋" w:hint="eastAsia"/>
          <w:sz w:val="28"/>
          <w:lang w:eastAsia="zh-CN"/>
        </w:rPr>
        <w:t>一、基因工程乙型肝炎疫苗(酵母)项目危机管理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0943"/>
      <w:r>
        <w:rPr>
          <w:rFonts w:ascii="仿宋" w:eastAsia="仿宋" w:hAnsi="仿宋" w:cs="仿宋" w:hint="eastAsia"/>
          <w:lang w:eastAsia="zh-CN"/>
        </w:rPr>
        <w:t>(一)、危机预警与识别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基因工程乙型肝炎疫苗(酵母)项目危机管理中，危机预警与识别是确保基因工程乙型肝炎疫苗(酵母)项目稳健运行的核心步骤。通过建立全面的监测机制，基因工程乙型肝炎疫苗(酵母)项目团队旨在及时发现和理解潜在的风险和危机因素，以便采取及时的预防和应对措施，确保基因工程乙型肝炎疫苗(酵母)项目持续处于可控状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首先，通过深入的风险评估，基因工程乙型肝炎疫苗(酵母)项目团队全面分析了整个基因工程乙型肝炎疫苗(酵母)项目和各个阶段可能存在的威胁。这包括准确评估每个潜在风险的发生概率和可能影响的程度，为后续危机预警提供了有力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其次，制定敏感指标和预警机制，基因工程乙型肝炎疫苗(酵母)项目团队着重于明确定义基因工程乙型肝炎疫苗(酵母)项目进展中的关键节点和相关指标，以便迅速察觉潜在问题。通过建立预警系统，团队能够更早地发现可能导致危机的迹象，并及时采取必要的行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监测作为危机预警的关键手段，通过对基因工程乙型肝炎疫苗(酵母)项目进展的持续监控，团队能够及时发现潜在问题并作出迅速反应。基因工程乙型肝炎疫苗(酵母)项目管理工具、定期进度报告以及团队会议等方式都被纳入监测体系，确保信息能够流畅传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这一阶段，团队的专业素养和反应速度将发挥至关重要的作用，以确保潜在危机能够在初期得到有效的处理，最大程度地减轻负面影响。通过危机预警与识别，基因工程乙型肝炎疫苗(酵母)项目得以更有序、可控地推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350"/>
      <w:r>
        <w:rPr>
          <w:rFonts w:ascii="仿宋" w:eastAsia="仿宋" w:hAnsi="仿宋" w:cs="仿宋" w:hint="eastAsia"/>
          <w:sz w:val="28"/>
          <w:lang w:eastAsia="zh-CN"/>
        </w:rPr>
        <w:t>(二)、危机应对与恢复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紧急应对措施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在危机发生时，基因工程乙型肝炎疫苗(酵母)项目团队立即行动，成立了应急小组。该小组的任务是迅速制定并实施紧急应对措施，以最小化潜在损失。以下是采取的主要措施：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暂停基因工程乙型肝炎疫苗(酵母)项目进度：为遏制危机蔓延，基因工程乙型肝炎疫苗(酵母)项目暂时停止进行，以便全面评估当前状况。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资源重新分配：重新评估基因工程乙型肝炎疫苗(酵母)项目资源的分配，确保最大限度地减小损失。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实时沟通：与关键利益相关者建立实时沟通机制，向他们传递基因工程乙型肝炎疫苗(酵母)项目危机的实际状况，保障基因工程乙型肝炎疫苗(酵母)项目核心利益。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团队协作与沟通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在紧急应对的同时，基因工程乙型肝炎疫苗(酵母)项目团队强调了团队协作和有效沟通的重要性。以下是团队协作的关键举措：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应急小组成员职责明确：每位成员清晰了解自己在应急小组中的任务，保证任务执行的高效协同。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信息共享机制：建立了信息共享平台，确保团队成员能够及时获取基因工程乙型肝炎疫苗(酵母)项目危机的实时信息。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领导者沟通：基因工程乙型肝炎疫苗(酵母)项目领导者通过定期会议和即时沟通工具，指导团队应对危机，保持团队稳定运行。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恢复计划制定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随着危机得到初步控制，基因工程乙型肝炎疫苗(酵母)项目团队转向制定恢复计划，以确保基因工程乙型肝炎疫苗(酵母)项目能够从中迅速恢复。主要恢复计划包括：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修复受损的进度计划：重新评估基因工程乙型肝炎疫苗(酵母)项目进度，制定修复计划，确保基因工程乙型肝炎疫苗(酵母)项目尽快回归正常进程。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重新调整资源分配：优化资源分配，确保基因工程乙型肝炎疫苗(酵母)项目在有限资源下高效运转。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风险管理机制加强：对基因工程乙型肝炎疫苗(酵母)项目风险进行全面评估，制定更强化的风险管理策略，以预防未来可能的危机。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3516"/>
      <w:r>
        <w:rPr>
          <w:rFonts w:ascii="仿宋" w:eastAsia="仿宋" w:hAnsi="仿宋" w:cs="仿宋" w:hint="eastAsia"/>
          <w:sz w:val="28"/>
          <w:lang w:eastAsia="zh-CN"/>
        </w:rPr>
        <w:t>二、基因工程乙型肝炎疫苗(酵母)项目建设单位说明</w:t>
      </w:r>
      <w:bookmarkEnd w:id="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6" w:name="_Toc1152"/>
      <w:r>
        <w:rPr>
          <w:rFonts w:ascii="仿宋" w:eastAsia="仿宋" w:hAnsi="仿宋" w:cs="仿宋" w:hint="eastAsia"/>
          <w:lang w:eastAsia="zh-CN"/>
        </w:rPr>
        <w:t>(一)、基因工程乙型肝炎疫苗(酵母)项目承办单位基本情况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公司名称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公司名称：某某公司有限公司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注册地址：XX省XX市XX区XX街XX号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注册资本：XXX万元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成立日期：20XX年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公司性质：民营/国有/合资公司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公司简介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某某公司有限公司是一家领先的企业，专注于[公司主要业务领域]。公司成立于20XX年，凭借多年来在[行业领域]的卓越表现，已经成为该行业的领先者之一。公司以创新、质量和可持续性为核心价值观，致力于满足客户的需求并推动行业的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10408"/>
      <w:r>
        <w:rPr>
          <w:rFonts w:ascii="仿宋" w:eastAsia="仿宋" w:hAnsi="仿宋" w:cs="仿宋" w:hint="eastAsia"/>
          <w:sz w:val="28"/>
          <w:lang w:eastAsia="zh-CN"/>
        </w:rPr>
        <w:t>(二)、公司经济效益分析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3.1 收入与利润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作为基因工程乙型肝炎疫苗(酵母)项目承办单位的XXXX，我们着眼于实现可持续的经济效益。通过技术创新和解决方案的提供，公司预计在基因工程乙型肝炎疫苗(酵母)项目执行期间将获得可观的收入增长。这一收入来源主要包括基因工程乙型肝炎疫苗(酵母)项目交付、技术服务和解决方案的销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同时，我们注重成本控制和效率提升，以确保基因工程乙型肝炎疫苗(酵母)项目的可持续盈利。透过精细的管理和资源优化，公司期望实现基因工程乙型肝炎疫苗(酵母)项目利润最大化。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3.2 投资回报率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将对基因工程乙型肝炎疫苗(酵母)项目实施进行全面的投资评估，包括基因工程乙型肝炎疫苗(酵母)项目启动阶段的资金投入和后续运营成本。通过对基因工程乙型肝炎疫苗(酵母)项目的全生命周期进行经济分析，公司将确保投资回报率（ROI）能够满足预期目标，保障投资的合理性和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3.3 现金流分析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确保公司在基因工程乙型肝炎疫苗(酵母)项目实施过程中具备足够的资金流动性，公司将进行详尽的现金流分析。这包括资金需求的合理预测、基因工程乙型肝炎疫苗(酵母)项目周期内的资金峰谷分析以及灵活的财务管理策略，以应对各种潜在的经济变动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20133"/>
      <w:r>
        <w:rPr>
          <w:rFonts w:ascii="仿宋" w:eastAsia="仿宋" w:hAnsi="仿宋" w:cs="仿宋" w:hint="eastAsia"/>
          <w:sz w:val="28"/>
          <w:lang w:eastAsia="zh-CN"/>
        </w:rPr>
        <w:t>三、工艺说明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7997"/>
      <w:r>
        <w:rPr>
          <w:rFonts w:ascii="仿宋" w:eastAsia="仿宋" w:hAnsi="仿宋" w:cs="仿宋" w:hint="eastAsia"/>
          <w:lang w:eastAsia="zh-CN"/>
        </w:rPr>
        <w:t>(一)、技术管理特点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基因工程乙型肝炎疫苗(酵母)项目的技术管理特点体现在其创新导向。通过引入最先进的技术趋势和解决方案，基因工程乙型肝炎疫苗(酵母)项目致力于提升科技含量、提高质量和效率水平。这意味着我们将采用最新的工具和方法，确保基因工程乙型肝炎疫苗(酵母)项目在技术层面始终走在前沿，从而在竞争激烈的市场中脱颖而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其次，整合性策略是基因工程乙型肝炎疫苗(酵母)项目技术管理的显著特征。通过整合不同领域的技术资源，我们实现了跨学科的协同工作。这有助于优化技术架构，提高整体效能。此外，整合性策略还促进了不同技术团队之间的紧密沟通和高效合作，确保基因工程乙型肝炎疫苗(酵母)项目各方面的技术都能得到协同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管理的第三个显著特点是持续优化。为了保持竞争力，我们将建立健全的技术监测体系，定期评估和更新基因工程乙型肝炎疫苗(酵母)项目所采用的技术。通过不断优化技术方案，基因工程乙型肝炎疫苗(酵母)项目将能够灵活应对市场和行业的变化，确保技术一直处于领先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另一方面，风险管理在技术管理中也占据重要地位。基因工程乙型肝炎疫苗(酵母)项目团队将在基因工程乙型肝炎疫苗(酵母)项目初期识别可能的技术风险，并采取相应的预防和应对措施。通过建立健全的风险评估机制，基因工程乙型肝炎疫苗(酵母)项目能够在实施过程中及时发现并解决潜在的技术问题，保障基因工程乙型肝炎疫苗(酵母)项目技术实施的平稳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通过这些独特的技术管理特点，我们确信在基因工程乙型肝炎疫苗(酵母)项目中，技术将成为基因工程乙型肝炎疫苗(酵母)项目成功的有力支持。这一深度剖析揭示了技术管理在基因工程乙型肝炎疫苗(酵母)项目实施中的关键作用，为基因工程乙型肝炎疫苗(酵母)项目的技术基础奠定了坚实的基础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14328"/>
      <w:r>
        <w:rPr>
          <w:rFonts w:ascii="仿宋" w:eastAsia="仿宋" w:hAnsi="仿宋" w:cs="仿宋" w:hint="eastAsia"/>
          <w:sz w:val="28"/>
          <w:lang w:eastAsia="zh-CN"/>
        </w:rPr>
        <w:t>(二)、基因工程乙型肝炎疫苗(酵母)项目工艺技术设计方案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生产技术方案的选用，基因工程乙型肝炎疫苗(酵母)项目将遵循“利用资源”的原则，选择当前较先进的集散型控制系统。这系统能够全面掌控整个生产线的各项工艺参数，确保产品质量稳定在高水平，同时降低物料的消耗。这一决策旨在通过高效的控制系统实现生产过程的优化，提高产品生产的效率和质量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产经营活动方面，基因工程乙型肝炎疫苗(酵母)项目将严格按照相关行业规范要求进行组织。通过有效控制产品质量，基因工程乙型肝炎疫苗(酵母)项目将致力于为顾客提供优质的基因工程乙型肝炎疫苗(酵母)项目产品和良好的服务。这体现了基因工程乙型肝炎疫苗(酵母)项目对于生产活动合规性和质量标准的高度重视，为基因工程乙型肝炎疫苗(酵母)项目的可持续发展和顾客满意度奠定了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工艺技术方面，基因工程乙型肝炎疫苗(酵母)项目注重生态效益和清洁生产原则。基因工程乙型肝炎疫苗(酵母)项目建设将紧密结合地方特色经济发展，与社会经济发展规划和区域环境保护规划方案相协调一致。通过与当地区域自然生态系统的结合，基因工程乙型肝炎疫苗(酵母)项目将实施可持续发展的产业结构调整和传统产业的升级改造，以提高资源利用效率，减少污染物产生和对环境的压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产品方面，基因工程乙型肝炎疫苗(酵母)项目产品具有多样化的客户需求和个性化的特点。因此，基因工程乙型肝炎疫苗(酵母)项目产品规格品种多样，且单批生产数量较小。为满足这一特点，基因工程乙型肝炎疫苗(酵母)项目承办单位将建设先进的柔性制造生产线。通过广泛应用柔性制造技术，基因工程乙型肝炎疫苗(酵母)项目能够在照顾客户个性化要求的同时，保持生产规模优势和高水平的质量控制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总体而言，基因工程乙型肝炎疫苗(酵母)项目采用的技术具有较高的技术含量和自动化水平，处于国内先进水平。这一技术选用不仅体现了对生产效率、质量和环境友好性的高标准要求，同时为基因工程乙型肝炎疫苗(酵母)项目的可持续发展奠定了坚实的基础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6061"/>
      <w:r>
        <w:rPr>
          <w:rFonts w:ascii="仿宋" w:eastAsia="仿宋" w:hAnsi="仿宋" w:cs="仿宋" w:hint="eastAsia"/>
          <w:sz w:val="28"/>
          <w:lang w:eastAsia="zh-CN"/>
        </w:rPr>
        <w:t>(三)、设备选型方案</w:t>
      </w:r>
      <w:bookmarkEnd w:id="1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为确保基因工程乙型肝炎疫苗(酵母)项目的高效生产和技术实施，我们制定了一套精心设计的设备选型方案，以满足基因工程乙型肝炎疫苗(酵母)项目生产、质量和环保的要求。该方案的主要特点如下：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先进控制系统选用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产技术方案的选用中，我们决定采用先进的集散型控制系统。这一系统将负责监控和控制整个生产线的工艺参数，确保产品的生产过程得到精准控制。通过引入这一控制系统，我们能够实现生产线的高度自动化和数字化，提高生产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设备智能化水平提升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在设备选型中，我们注重提高设备的智能化水平。通过选择智能化设备，可以实现设备之间的联动，减少人工干预，降低操作成本。同时，这也有助于提高设备的故障诊断和维护效率，确保生产线的稳定运行。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遵循清洁生产原则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备选型中，我们将严格遵循清洁生产原则。选择符合环保标准的设备，以减少对环境的影响。设备的能效和资源利用率将得到优化，降低能源消耗和废弃物产生。这有助于基因工程乙型肝炎疫苗(酵母)项目在生产过程中实现更高的生态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柔性制造生产线建设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基因工程乙型肝炎疫苗(酵母)项目产品的多样性和小批量生产的特点，我们将建设柔性制造生产线。通过在设备选型中考虑柔性制造技术，可以灵活应对不同产品规格和生产需求，实现生产线的高度灵活性和适应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设备质量和耐久性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在设备选型中，我们将优先选择质量可靠、耐久性强的设备。这有助于减少设备故障和维护频率，确保生产线的稳定运行，最大程度地提高设备的使用寿命。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2" w:name="_Toc24209"/>
      <w:r>
        <w:rPr>
          <w:rFonts w:ascii="仿宋" w:eastAsia="仿宋" w:hAnsi="仿宋" w:cs="仿宋" w:hint="eastAsia"/>
          <w:sz w:val="28"/>
          <w:lang w:eastAsia="zh-CN"/>
        </w:rPr>
        <w:t>四、基因工程乙型肝炎疫苗(酵母)项目可持续发展</w:t>
      </w:r>
      <w:bookmarkEnd w:id="1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3" w:name="_Toc27859"/>
      <w:r>
        <w:rPr>
          <w:rFonts w:ascii="仿宋" w:eastAsia="仿宋" w:hAnsi="仿宋" w:cs="仿宋" w:hint="eastAsia"/>
          <w:lang w:eastAsia="zh-CN"/>
        </w:rPr>
        <w:t>(一)、可持续战略与实践</w:t>
      </w:r>
      <w:bookmarkEnd w:id="1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1.1 制定可持续发展目标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6"/>
          <w:footerReference w:type="default" r:id="rId27"/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基因工程乙型肝炎疫苗(酵母)项目中，基因工程乙型肝炎疫苗(酵母)项目团队着眼于未来，明确了可持续发展的战略方向。制定的具体可持续发展目标包括降低资源使用、采用环保技术、最大化社会效益等。这一步骤不仅有助于基因工程乙型肝炎疫苗(酵母)项目在环保和社会责任方面达到最高标准，也为未来提供了明确的指引，确保基因工程乙型肝炎疫苗(酵母)项目的发展符合可持续性原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1.2 可持续实践的融入基因工程乙型肝炎疫苗(酵母)项目管理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实践已经贯穿于整个基因工程乙型肝炎疫苗(酵母)项目管理周期。从基因工程乙型肝炎疫苗(酵母)项目规划开始，基因工程乙型肝炎疫苗(酵母)项目团队就考虑了环境和社会的因素。在执行阶段，基因工程乙型肝炎疫苗(酵母)项目团队积极推动绿色技术的应用，优化资源利用。此外，关注员工的社会责任，通过培训和沟通活动提高员工对可持续发展的认知，使他们能够在日常工作中践行可持续实践。这些举措不仅为基因工程乙型肝炎疫苗(酵母)项目的可持续性打下了坚实基础，也为行业树立了榜样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4" w:name="_Toc6767"/>
      <w:r>
        <w:rPr>
          <w:rFonts w:ascii="仿宋" w:eastAsia="仿宋" w:hAnsi="仿宋" w:cs="仿宋" w:hint="eastAsia"/>
          <w:sz w:val="28"/>
          <w:lang w:eastAsia="zh-CN"/>
        </w:rPr>
        <w:t>(二)、环保与社会责任</w:t>
      </w:r>
      <w:bookmarkEnd w:id="1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扎根于基因工程乙型肝炎疫苗(酵母)项目的可持续发展理念，我们深信环保与社会责任是基因工程乙型肝炎疫苗(酵母)项目成功的关键支柱。在基因工程乙型肝炎疫苗(酵母)项目的每一步，我们都致力于通过创新和实践，履行对环境和社会的坚定责任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环保措施的实施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8"/>
          <w:footerReference w:type="default" r:id="rId29"/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基因工程乙型肝炎疫苗(酵母)项目团队通过引入先进的环保技术、建立高效的废物处理系统以及推动能源节约措施，积极履行环保责任。定期的环保监测和评估确保基因工程乙型肝炎疫苗(酵母)项目活动对环境的影响得到最小化，并努力达到或超过相关环境法规和标准的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社会责任的践行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基因工程乙型肝炎疫苗(酵母)项目不仅致力于自身可持续发展，还注重对社会的回馈。通过支持社区基因工程乙型肝炎疫苗(酵母)项目、参与慈善事业、提供培训机会等方式，基因工程乙型肝炎疫苗(酵母)项目积极履行社会责任。与当地社区建立积极互动，关注员工的工作与生活平衡，以及员工的身心健康，是基因工程乙型肝炎疫苗(酵母)项目在社会责任层面的关键举措。这样的实践不仅增强了基因工程乙型肝炎疫苗(酵母)项目在社会中的声誉，也促进了社会的共同繁荣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5" w:name="_Toc17630"/>
      <w:r>
        <w:rPr>
          <w:rFonts w:ascii="仿宋" w:eastAsia="仿宋" w:hAnsi="仿宋" w:cs="仿宋" w:hint="eastAsia"/>
          <w:sz w:val="28"/>
          <w:lang w:eastAsia="zh-CN"/>
        </w:rPr>
        <w:t>五、基因工程乙型肝炎疫苗(酵母)项目绩效评估</w:t>
      </w:r>
      <w:bookmarkEnd w:id="1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6" w:name="_Toc13946"/>
      <w:r>
        <w:rPr>
          <w:rFonts w:ascii="仿宋" w:eastAsia="仿宋" w:hAnsi="仿宋" w:cs="仿宋" w:hint="eastAsia"/>
          <w:lang w:eastAsia="zh-CN"/>
        </w:rPr>
        <w:t>(一)、绩效评估指标</w:t>
      </w:r>
      <w:bookmarkEnd w:id="16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0"/>
          <w:footerReference w:type="default" r:id="rId31"/>
          <w:type w:val="nextPage"/>
          <w:pgSz w:w="11906" w:h="16838"/>
          <w:pgMar w:top="1440" w:right="1800" w:bottom="1440" w:left="1800" w:header="851" w:footer="992" w:gutter="0"/>
          <w:pgNumType w:start="1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基因工程乙型肝炎疫苗(酵母)项目中，我们设计了一套全面的绩效评估指标，以确保基因工程乙型肝炎疫苗(酵母)项目的可控和成功交付。这些指标跨足基因工程乙型肝炎疫苗(酵母)项目目标、成本、进度和质量等多个维度，为我们提供了全面洞察基因工程乙型肝炎疫苗(酵母)项目的健康状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基因工程乙型肝炎疫苗(酵母)项目目标达成率是我们关注的首要指标。我们设定了明确的目标，并通过定期监测和评估，迅速发现并应对潜在的目标偏差。这为基因工程乙型肝炎疫苗(酵母)项目的整体有效管理提供了坚实基础，确保交付的成果符合质量标准和客户期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成本绩效是另一个核心关注点。通过实际成本与预算成本的对比分析，我们深入了解成本差异的原因，及时调整资源分配，保持基因工程乙型肝炎疫苗(酵母)项目在经济效益方面的合理水平。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基因工程乙型肝炎疫苗(酵母)项目进度作为关键的绩效指标之一，得到了精心的关注。我们制定了详细的基因工程乙型肝炎疫苗(酵母)项目进度计划，并设立了进度符合度指标，确保实际进度与计划进度保持一致。这使我们能够快速发现和解决潜在的进度问题，保持基因工程乙型肝炎疫苗(酵母)项目的正常推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2"/>
          <w:footerReference w:type="default" r:id="rId33"/>
          <w:type w:val="nextPage"/>
          <w:pgSz w:w="11906" w:h="16838"/>
          <w:pgMar w:top="1440" w:right="1800" w:bottom="1440" w:left="1800" w:header="851" w:footer="992" w:gutter="0"/>
          <w:pgNumType w:start="1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质量指标是我们评估基因工程乙型肝炎疫苗(酵母)项目绩效的不可或缺的一环。我们引入了一系列的质量标准和客户满意度指标，以确保基因工程乙型肝炎疫苗(酵母)项目交付的成果在质量上达到或超越预期水平。通过持续监测这些指标，我们努力提升基因工程乙型肝炎疫苗(酵母)项目整体质量水平，为基因工程乙型肝炎疫苗(酵母)项目的成功交付提供有力保障。通过这些科学且全面的绩效评估，我们能够更好地引导基因工程乙型肝炎疫苗(酵母)项目的持续改进，确保基因工程乙型肝炎疫苗(酵母)项目目标的顺利达成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7" w:name="_Toc11999"/>
      <w:r>
        <w:rPr>
          <w:rFonts w:ascii="仿宋" w:eastAsia="仿宋" w:hAnsi="仿宋" w:cs="仿宋" w:hint="eastAsia"/>
          <w:sz w:val="28"/>
          <w:lang w:eastAsia="zh-CN"/>
        </w:rPr>
        <w:t>(二)、绩效评估方法</w:t>
      </w:r>
      <w:bookmarkEnd w:id="1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绩效评估是基因工程乙型肝炎疫苗(酵母)项目中的关键环节，为确保基因工程乙型肝炎疫苗(酵母)项目达到预期目标，我们采用了多层次、多维度的绩效评估方法。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从定性角度来看，我们注重基因工程乙型肝炎疫苗(酵母)项目的战略目标对齐，确保每个决策和行动都与基因工程乙型肝炎疫苗(酵母)项目整体目标保持一致。团队会定期召开战略对齐会议，审视当前工作与基因工程乙型肝炎疫苗(酵母)项目战略是否保持一致，以及是否需要调整战略方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定量方面，我们设计了一系列关键绩效指标（KPIs），涵盖基因工程乙型肝炎疫苗(酵母)项目进度、质量、成本和风险等方面。这些指标通过数据收集和分析，为基因工程乙型肝炎疫苗(酵母)项目管理团队提供了客观的评估依据。例如，我们通过基因工程乙型肝炎疫苗(酵母)项目管理软件追踪进度，使用成本绩效分析（CPI）评估成本控制情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不仅仅停留在基因工程乙型肝炎疫苗(酵母)项目内部，还考虑了基因工程乙型肝炎疫苗(酵母)项目对外部环境的影响。我们定期进行干系人满意度调查，以了解各利益相关方对基因工程乙型肝炎疫苗(酵母)项目的期望和满意度，并及时做出调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4"/>
          <w:footerReference w:type="default" r:id="rId35"/>
          <w:type w:val="nextPage"/>
          <w:pgSz w:w="11906" w:h="16838"/>
          <w:pgMar w:top="1440" w:right="1800" w:bottom="1440" w:left="1800" w:header="851" w:footer="992" w:gutter="0"/>
          <w:pgNumType w:start="1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此外，我们采用敏捷方法，进行短周期的迭代和回顾。每个迭代结束后，团队会进行回顾会议，总结经验教训，识别可以改进的地方，并在下一轮迭代中进行优化。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这种多层次、多角度的绩效评估方法，使得我们能够全面了解基因工程乙型肝炎疫苗(酵母)项目的运行状态，及时做出调整，确保基因工程乙型肝炎疫苗(酵母)项目在不断变化的环境中保持稳健前行。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8" w:name="_Toc15922"/>
      <w:r>
        <w:rPr>
          <w:rFonts w:ascii="仿宋" w:eastAsia="仿宋" w:hAnsi="仿宋" w:cs="仿宋" w:hint="eastAsia"/>
          <w:sz w:val="28"/>
          <w:lang w:eastAsia="zh-CN"/>
        </w:rPr>
        <w:t>(三)、绩效评估周期</w:t>
      </w:r>
      <w:bookmarkEnd w:id="1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确保基因工程乙型肝炎疫苗(酵母)项目的有效管理和不断优化，我们采用了精心设计的绩效评估周期。这个周期旨在实现灵活、实时和全面的评估，以适应基因工程乙型肝炎疫苗(酵母)项目执行中的各种挑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灵活的周期设计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周期的设计考虑到基因工程乙型肝炎疫苗(酵母)项目的不同需求，分为短期、中期和长期。短期评估关注每个迭代或工作周期，以及时发现和解决当前任务中的问题。中期评估涵盖几个迭代，深入了解整体基因工程乙型肝炎疫苗(酵母)项目的趋势和性能。长期评估则着眼于整个基因工程乙型肝炎疫苗(酵母)项目阶段，确保基因工程乙型肝炎疫苗(酵母)项目目标的一致性和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实时信息反馈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强调实时性的信息反馈，通过采用先进的基因工程乙型肝炎疫苗(酵母)项目管理工具和协作平台，团队成员能够随时更新和分享基因工程乙型肝炎疫苗(酵母)项目数据。这种实时性的反馈机制使我们能够及时察觉潜在问题，快速调整，保持基因工程乙型肝炎疫苗(酵母)项目的稳健运作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https://d.book118.com/926152155010010103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37"/>
      <w:footerReference w:type="default" r:id="rId38"/>
      <w:type w:val="nextPage"/>
      <w:pgSz w:w="11906" w:h="16838"/>
      <w:pgMar w:top="1440" w:right="1800" w:bottom="1440" w:left="1800" w:header="851" w:footer="992" w:gutter="0"/>
      <w:pgNumType w:start="1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基因工程乙型肝炎疫苗(酵母)项目规划设计蓝图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基因工程乙型肝炎疫苗(酵母)项目规划设计蓝图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基因工程乙型肝炎疫苗(酵母)项目规划设计蓝图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基因工程乙型肝炎疫苗(酵母)项目规划设计蓝图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基因工程乙型肝炎疫苗(酵母)项目规划设计蓝图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基因工程乙型肝炎疫苗(酵母)项目规划设计蓝图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基因工程乙型肝炎疫苗(酵母)项目规划设计蓝图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基因工程乙型肝炎疫苗(酵母)项目规划设计蓝图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基因工程乙型肝炎疫苗(酵母)项目规划设计蓝图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基因工程乙型肝炎疫苗(酵母)项目规划设计蓝图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基因工程乙型肝炎疫苗(酵母)项目规划设计蓝图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基因工程乙型肝炎疫苗(酵母)项目规划设计蓝图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基因工程乙型肝炎疫苗(酵母)项目规划设计蓝图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基因工程乙型肝炎疫苗(酵母)项目规划设计蓝图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基因工程乙型肝炎疫苗(酵母)项目规划设计蓝图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基因工程乙型肝炎疫苗(酵母)项目规划设计蓝图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基因工程乙型肝炎疫苗(酵母)项目规划设计蓝图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9031204"/>
    <w:rsid w:val="4903120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footer" Target="footer16.xml" /><Relationship Id="rId36" Type="http://schemas.openxmlformats.org/officeDocument/2006/relationships/hyperlink" Target="https://d.book118.com/926152155010010103" TargetMode="External" /><Relationship Id="rId37" Type="http://schemas.openxmlformats.org/officeDocument/2006/relationships/header" Target="header17.xml" /><Relationship Id="rId38" Type="http://schemas.openxmlformats.org/officeDocument/2006/relationships/footer" Target="footer17.xml" /><Relationship Id="rId39" Type="http://schemas.openxmlformats.org/officeDocument/2006/relationships/theme" Target="theme/theme1.xml" /><Relationship Id="rId4" Type="http://schemas.openxmlformats.org/officeDocument/2006/relationships/header" Target="header1.xml" /><Relationship Id="rId40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2024-03-05T14:40:00Z</dcterms:created>
  <dcterms:modified xsi:type="dcterms:W3CDTF">2024-03-05T14:41:17Z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3455B5644AB44D909270DB3E753249DF_11</vt:lpwstr>
  </property>
  <property fmtid="{D5CDD505-2E9C-101B-9397-08002B2CF9AE}" pid="3" name="KSOProductBuildVer">
    <vt:lpwstr>2052-12.1.0.16388</vt:lpwstr>
  </property>
</Properties>
</file>