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ustomizations.xml" ContentType="application/vnd.ms-word.keyMapCustomizations+xml"/>
  <Override PartName="/word/document.xml" ContentType="application/vnd.openxmlformats-officedocument.wordprocessingml.document.main+xml"/>
  <Override PartName="/word/embeddings/Microsoft_Excel_Worksheet1.xlsx" ContentType="application/vnd.openxmlformats-officedocument.spreadsheetml.shee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spacing w:before="240" w:beforeLines="100" w:after="240" w:afterLines="100" w:line="360" w:lineRule="auto"/>
        <w:ind w:firstLine="0" w:firstLineChars="0"/>
        <w:jc w:val="center"/>
        <w:textAlignment w:val="auto"/>
        <w:rPr>
          <w:rFonts w:eastAsia="黑体"/>
          <w:b/>
          <w:bCs/>
          <w:sz w:val="32"/>
        </w:rPr>
      </w:pPr>
      <w:r>
        <w:rPr>
          <w:rFonts w:eastAsia="黑体" w:hint="eastAsia"/>
          <w:b/>
          <w:bCs/>
          <w:color w:val="000000" w:themeColor="text1"/>
          <w:sz w:val="28"/>
          <w:szCs w:val="28"/>
          <w14:textFill>
            <w14:solidFill>
              <w14:schemeClr w14:val="tx1"/>
            </w14:solidFill>
          </w14:textFill>
        </w:rPr>
        <w:t>摘</w:t>
      </w:r>
      <w:r>
        <w:rPr>
          <w:rFonts w:eastAsia="黑体"/>
          <w:b/>
          <w:bCs/>
          <w:color w:val="000000" w:themeColor="text1"/>
          <w:sz w:val="28"/>
          <w:szCs w:val="28"/>
          <w14:textFill>
            <w14:solidFill>
              <w14:schemeClr w14:val="tx1"/>
            </w14:solidFill>
          </w14:textFill>
        </w:rPr>
        <w:t xml:space="preserve">  </w:t>
      </w:r>
      <w:r>
        <w:rPr>
          <w:rFonts w:eastAsia="黑体" w:hint="eastAsia"/>
          <w:b/>
          <w:bCs/>
          <w:color w:val="000000" w:themeColor="text1"/>
          <w:sz w:val="28"/>
          <w:szCs w:val="28"/>
          <w14:textFill>
            <w14:solidFill>
              <w14:schemeClr w14:val="tx1"/>
            </w14:solidFill>
          </w14:textFill>
        </w:rPr>
        <w:t>要</w:t>
      </w:r>
    </w:p>
    <w:p>
      <w:pPr>
        <w:bidi w:val="0"/>
        <w:ind w:firstLine="482"/>
        <w:rPr>
          <w:lang w:val="zh-CN"/>
        </w:rPr>
      </w:pPr>
      <w:r>
        <w:rPr>
          <w:rFonts w:ascii="宋体" w:eastAsia="宋体" w:hAnsi="宋体" w:cs="Times New Roman" w:hint="eastAsia"/>
          <w:color w:val="000000" w:themeColor="text1"/>
          <w:lang w:val="zh-CN"/>
          <w14:textFill>
            <w14:solidFill>
              <w14:schemeClr w14:val="tx1"/>
            </w14:solidFill>
          </w14:textFill>
        </w:rPr>
        <w:t>随着玩具行业的蓬勃发展，玩具的功能也日益多样，近几年的玩具更是增添了不少文化内涵，为玩具注入了精神灵魂。一些玩具更是把娱乐性、益智性和教育性打通形成产业链，使得玩具与文化娱乐产业的发展更为相得益彰。市场上那些具备人物性、故事性等文化元素或者和当前热潮的文化娱乐产品相关联的玩具都是消费者所着迷的，鉴于目前文化娱乐作品的热播能力，相关IP授权玩具的销售也被有效的带动起来，进而提升了品牌价值和知名度。</w:t>
      </w:r>
    </w:p>
    <w:p>
      <w:pPr>
        <w:bidi w:val="0"/>
        <w:rPr>
          <w:lang w:val="zh-CN"/>
        </w:rPr>
      </w:pPr>
      <w:r>
        <w:rPr>
          <w:rFonts w:ascii="宋体" w:eastAsia="宋体" w:hAnsi="宋体" w:cs="Times New Roman" w:hint="eastAsia"/>
          <w:color w:val="000000" w:themeColor="text1"/>
          <w:lang w:val="zh-CN"/>
          <w14:textFill>
            <w14:solidFill>
              <w14:schemeClr w14:val="tx1"/>
            </w14:solidFill>
          </w14:textFill>
        </w:rPr>
        <w:t>本文通过饥饿营销、联合营销、品牌联合营销等概念，分析乐高集团从</w:t>
      </w:r>
      <w:r>
        <w:rPr>
          <w:rFonts w:ascii="宋体" w:eastAsia="宋体" w:hAnsi="宋体" w:cs="Times New Roman"/>
          <w:color w:val="000000" w:themeColor="text1"/>
          <w:lang w:val="zh-CN"/>
          <w14:textFill>
            <w14:solidFill>
              <w14:schemeClr w14:val="tx1"/>
            </w14:solidFill>
          </w14:textFill>
        </w:rPr>
        <w:t>1932</w:t>
      </w:r>
      <w:r>
        <w:rPr>
          <w:rFonts w:ascii="宋体" w:eastAsia="宋体" w:hAnsi="宋体" w:cs="Times New Roman" w:hint="eastAsia"/>
          <w:color w:val="000000" w:themeColor="text1"/>
          <w:lang w:val="zh-CN"/>
          <w14:textFill>
            <w14:solidFill>
              <w14:schemeClr w14:val="tx1"/>
            </w14:solidFill>
          </w14:textFill>
        </w:rPr>
        <w:t>年至今的发展历程、经营现状和营销策略的研究基础上，展开对玩具企业营销策略的研究。并针对乐高玩具在营销策略上存在的问题，提出有效的优化对策建议，从而提出乐高在中国本地化市场优化的进一步发展策略以及措施。</w:t>
      </w:r>
    </w:p>
    <w:p>
      <w:pPr>
        <w:overflowPunct w:val="0"/>
        <w:adjustRightInd w:val="0"/>
        <w:snapToGrid w:val="0"/>
        <w:spacing w:before="240"/>
        <w:ind w:firstLine="562"/>
        <w:rPr>
          <w:rFonts w:ascii="Times New Roman" w:hAnsi="Times New Roman"/>
        </w:rPr>
      </w:pPr>
      <w:r>
        <w:rPr>
          <w:rFonts w:eastAsia="黑体" w:hint="eastAsia"/>
          <w:b/>
          <w:bCs/>
          <w:color w:val="000000" w:themeColor="text1"/>
          <w:sz w:val="24"/>
          <w14:textFill>
            <w14:solidFill>
              <w14:schemeClr w14:val="tx1"/>
            </w14:solidFill>
          </w14:textFill>
        </w:rPr>
        <w:t>关键词：</w:t>
      </w:r>
      <w:r>
        <w:rPr>
          <w:rFonts w:ascii="宋体" w:eastAsia="宋体" w:hAnsi="宋体" w:cs="Times New Roman" w:hint="eastAsia"/>
          <w:color w:val="000000" w:themeColor="text1"/>
          <w:lang w:val="zh-CN"/>
          <w14:textFill>
            <w14:solidFill>
              <w14:schemeClr w14:val="tx1"/>
            </w14:solidFill>
          </w14:textFill>
        </w:rPr>
        <w:t>乐高集团 玩具 积木 IP 营销策略</w:t>
      </w:r>
    </w:p>
    <w:p>
      <w:pPr>
        <w:overflowPunct w:val="0"/>
        <w:adjustRightInd w:val="0"/>
        <w:snapToGrid w:val="0"/>
        <w:spacing w:before="2040" w:after="240"/>
        <w:ind w:firstLine="723"/>
        <w:jc w:val="center"/>
        <w:rPr>
          <w:rFonts w:ascii="Times New Roman" w:eastAsia="黑体" w:hAnsi="Times New Roman"/>
          <w:b/>
          <w:kern w:val="0"/>
          <w:sz w:val="36"/>
          <w:szCs w:val="36"/>
        </w:rPr>
        <w:sectPr>
          <w:headerReference w:type="default" r:id="rId8"/>
          <w:footerReference w:type="default" r:id="rId9"/>
          <w:pgSz w:w="11906" w:h="16838"/>
          <w:pgMar w:top="1417" w:right="1417" w:bottom="1417" w:left="1417" w:header="1134" w:footer="1134" w:gutter="283"/>
          <w:pgNumType w:fmt="upperRoman" w:start="1"/>
          <w:cols w:num="1" w:space="0"/>
          <w:docGrid w:linePitch="312" w:charSpace="0"/>
        </w:sectPr>
      </w:pPr>
      <w:bookmarkStart w:id="0" w:name="_Toc351670730"/>
    </w:p>
    <w:p>
      <w:pPr>
        <w:ind w:firstLine="560" w:firstLineChars="200"/>
        <w:jc w:val="center"/>
        <w:rPr>
          <w:rFonts w:ascii="黑体" w:eastAsia="黑体"/>
          <w:b/>
          <w:sz w:val="28"/>
          <w:szCs w:val="28"/>
        </w:rPr>
      </w:pPr>
      <w:r>
        <w:rPr>
          <w:rFonts w:ascii="黑体" w:eastAsia="黑体" w:hAnsi="宋体"/>
          <w:b/>
          <w:color w:val="000000" w:themeColor="text1"/>
          <w:sz w:val="28"/>
          <w:szCs w:val="28"/>
          <w14:textFill>
            <w14:solidFill>
              <w14:schemeClr w14:val="tx1"/>
            </w14:solidFill>
          </w14:textFill>
        </w:rPr>
        <w:t xml:space="preserve"> 目  录</w:t>
      </w:r>
    </w:p>
    <w:p>
      <w:pPr>
        <w:pStyle w:val="TOAHeading"/>
        <w:spacing w:line="300" w:lineRule="auto"/>
        <w:rPr>
          <w:rFonts w:ascii="Times New Roman" w:hAnsi="Times New Roman"/>
          <w:color w:val="000000" w:themeColor="text1"/>
          <w14:textFill>
            <w14:solidFill>
              <w14:schemeClr w14:val="tx1"/>
            </w14:solidFill>
          </w14:textFill>
        </w:rPr>
      </w:pPr>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r>
        <w:rPr>
          <w:rFonts w:ascii="宋体" w:hAnsi="宋体" w:cs="宋体"/>
          <w:color w:val="000000" w:themeColor="text1"/>
          <w:sz w:val="24"/>
          <w:szCs w:val="24"/>
          <w14:textFill>
            <w14:solidFill>
              <w14:schemeClr w14:val="tx1"/>
            </w14:solidFill>
          </w14:textFill>
        </w:rPr>
        <w:fldChar w:fldCharType="begin"/>
      </w:r>
      <w:r>
        <w:rPr>
          <w:rFonts w:ascii="宋体" w:hAnsi="宋体" w:cs="宋体"/>
          <w:color w:val="000000" w:themeColor="text1"/>
          <w:sz w:val="24"/>
          <w:szCs w:val="24"/>
          <w14:textFill>
            <w14:solidFill>
              <w14:schemeClr w14:val="tx1"/>
            </w14:solidFill>
          </w14:textFill>
        </w:rPr>
        <w:instrText xml:space="preserve">TOC \o "1-3" \h \u </w:instrText>
      </w:r>
      <w:r>
        <w:rPr>
          <w:rFonts w:ascii="宋体" w:hAnsi="宋体" w:cs="宋体"/>
          <w:color w:val="000000" w:themeColor="text1"/>
          <w:sz w:val="24"/>
          <w:szCs w:val="24"/>
          <w14:textFill>
            <w14:solidFill>
              <w14:schemeClr w14:val="tx1"/>
            </w14:solidFill>
          </w14:textFill>
        </w:rPr>
        <w:fldChar w:fldCharType="separate"/>
      </w:r>
      <w:hyperlink w:anchor="_Toc32240" w:history="1">
        <w:r>
          <w:rPr>
            <w:rFonts w:ascii="宋体" w:eastAsia="宋体" w:hAnsi="宋体" w:cs="宋体" w:hint="eastAsia"/>
            <w:color w:val="000000" w:themeColor="text1"/>
            <w:sz w:val="24"/>
            <w:szCs w:val="24"/>
            <w14:textFill>
              <w14:solidFill>
                <w14:schemeClr w14:val="tx1"/>
              </w14:solidFill>
            </w14:textFill>
          </w:rPr>
          <w:t>1 绪论</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_Toc32240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7521" w:history="1">
        <w:r>
          <w:rPr>
            <w:rFonts w:ascii="宋体" w:eastAsia="宋体" w:hAnsi="宋体" w:cs="宋体" w:hint="eastAsia"/>
            <w:color w:val="000000" w:themeColor="text1"/>
            <w:sz w:val="24"/>
            <w:szCs w:val="24"/>
            <w14:textFill>
              <w14:solidFill>
                <w14:schemeClr w14:val="tx1"/>
              </w14:solidFill>
            </w14:textFill>
          </w:rPr>
          <w:t>1.1 研究背景</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_Toc7521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25330" w:history="1">
        <w:r>
          <w:rPr>
            <w:rFonts w:ascii="宋体" w:eastAsia="宋体" w:hAnsi="宋体" w:cs="宋体" w:hint="eastAsia"/>
            <w:color w:val="000000" w:themeColor="text1"/>
            <w:sz w:val="24"/>
            <w:szCs w:val="24"/>
            <w14:textFill>
              <w14:solidFill>
                <w14:schemeClr w14:val="tx1"/>
              </w14:solidFill>
            </w14:textFill>
          </w:rPr>
          <w:t>1.2 研究目的</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_Toc25330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2624" w:history="1">
        <w:r>
          <w:rPr>
            <w:rFonts w:ascii="宋体" w:eastAsia="宋体" w:hAnsi="宋体" w:cs="宋体" w:hint="eastAsia"/>
            <w:color w:val="000000" w:themeColor="text1"/>
            <w:sz w:val="24"/>
            <w:szCs w:val="24"/>
            <w14:textFill>
              <w14:solidFill>
                <w14:schemeClr w14:val="tx1"/>
              </w14:solidFill>
            </w14:textFill>
          </w:rPr>
          <w:t>1.3 研究意义</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_Toc2624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2</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6708" w:history="1">
        <w:r>
          <w:rPr>
            <w:rFonts w:ascii="宋体" w:eastAsia="宋体" w:hAnsi="宋体" w:cs="宋体" w:hint="eastAsia"/>
            <w:color w:val="000000" w:themeColor="text1"/>
            <w:sz w:val="24"/>
            <w:szCs w:val="24"/>
            <w14:textFill>
              <w14:solidFill>
                <w14:schemeClr w14:val="tx1"/>
              </w14:solidFill>
            </w14:textFill>
          </w:rPr>
          <w:t>2 乐高玩具品牌发展现状</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_Toc16708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2</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5790" w:history="1">
        <w:r>
          <w:rPr>
            <w:rFonts w:ascii="宋体" w:eastAsia="宋体" w:hAnsi="宋体" w:cs="宋体" w:hint="eastAsia"/>
            <w:color w:val="000000" w:themeColor="text1"/>
            <w:sz w:val="24"/>
            <w:szCs w:val="24"/>
            <w14:textFill>
              <w14:solidFill>
                <w14:schemeClr w14:val="tx1"/>
              </w14:solidFill>
            </w14:textFill>
          </w:rPr>
          <w:t>2.1 乐高集团简介</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_Toc5790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2</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25553" w:history="1">
        <w:r>
          <w:rPr>
            <w:rFonts w:ascii="宋体" w:eastAsia="宋体" w:hAnsi="宋体" w:cs="宋体" w:hint="eastAsia"/>
            <w:color w:val="000000" w:themeColor="text1"/>
            <w:sz w:val="24"/>
            <w:szCs w:val="24"/>
            <w14:textFill>
              <w14:solidFill>
                <w14:schemeClr w14:val="tx1"/>
              </w14:solidFill>
            </w14:textFill>
          </w:rPr>
          <w:t>2.2 乐高集团的发展现状</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_Toc25553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3</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7968" w:history="1">
        <w:r>
          <w:rPr>
            <w:rFonts w:ascii="宋体" w:eastAsia="宋体" w:hAnsi="宋体" w:cs="宋体" w:hint="eastAsia"/>
            <w:color w:val="000000" w:themeColor="text1"/>
            <w:sz w:val="24"/>
            <w:szCs w:val="24"/>
            <w14:textFill>
              <w14:solidFill>
                <w14:schemeClr w14:val="tx1"/>
              </w14:solidFill>
            </w14:textFill>
          </w:rPr>
          <w:t>2.2.1 乐高集团的产品系列</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_Toc7968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3</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9325" w:history="1">
        <w:r>
          <w:rPr>
            <w:rFonts w:ascii="宋体" w:eastAsia="宋体" w:hAnsi="宋体" w:cs="宋体" w:hint="eastAsia"/>
            <w:color w:val="000000" w:themeColor="text1"/>
            <w:sz w:val="24"/>
            <w:szCs w:val="24"/>
            <w14:textFill>
              <w14:solidFill>
                <w14:schemeClr w14:val="tx1"/>
              </w14:solidFill>
            </w14:textFill>
          </w:rPr>
          <w:t>2.2.2 乐高集团的经营现状</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_Toc9325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4</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20231" w:history="1">
        <w:r>
          <w:rPr>
            <w:rFonts w:ascii="宋体" w:eastAsia="宋体" w:hAnsi="宋体" w:cs="宋体" w:hint="eastAsia"/>
            <w:color w:val="000000" w:themeColor="text1"/>
            <w:sz w:val="24"/>
            <w:szCs w:val="24"/>
            <w14:textFill>
              <w14:solidFill>
                <w14:schemeClr w14:val="tx1"/>
              </w14:solidFill>
            </w14:textFill>
          </w:rPr>
          <w:t>2.2.3 乐高集团的营销策略</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_Toc20231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7</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79" w:history="1">
        <w:r>
          <w:rPr>
            <w:rFonts w:ascii="宋体" w:eastAsia="宋体" w:hAnsi="宋体" w:cs="宋体" w:hint="eastAsia"/>
            <w:color w:val="000000" w:themeColor="text1"/>
            <w:sz w:val="24"/>
            <w:szCs w:val="24"/>
            <w14:textFill>
              <w14:solidFill>
                <w14:schemeClr w14:val="tx1"/>
              </w14:solidFill>
            </w14:textFill>
          </w:rPr>
          <w:t>3 乐高玩具品牌营销策略现存问题</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_Toc179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8511" w:history="1">
        <w:r>
          <w:rPr>
            <w:rFonts w:ascii="宋体" w:eastAsia="宋体" w:hAnsi="宋体" w:cs="宋体" w:hint="eastAsia"/>
            <w:color w:val="000000" w:themeColor="text1"/>
            <w:sz w:val="24"/>
            <w:szCs w:val="24"/>
            <w14:textFill>
              <w14:solidFill>
                <w14:schemeClr w14:val="tx1"/>
              </w14:solidFill>
            </w14:textFill>
          </w:rPr>
          <w:t>3.1 教育培训维权力度不够</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_Toc8511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32565" w:history="1">
        <w:r>
          <w:rPr>
            <w:rFonts w:ascii="宋体" w:eastAsia="宋体" w:hAnsi="宋体" w:cs="宋体" w:hint="eastAsia"/>
            <w:color w:val="000000" w:themeColor="text1"/>
            <w:sz w:val="24"/>
            <w:szCs w:val="24"/>
            <w14:textFill>
              <w14:solidFill>
                <w14:schemeClr w14:val="tx1"/>
              </w14:solidFill>
            </w14:textFill>
          </w:rPr>
          <w:t>3.2 乐高官网的建设难以提高产品转化率</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_Toc32565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6390" w:history="1">
        <w:r>
          <w:rPr>
            <w:rFonts w:ascii="宋体" w:eastAsia="宋体" w:hAnsi="宋体" w:cs="宋体" w:hint="eastAsia"/>
            <w:color w:val="000000" w:themeColor="text1"/>
            <w:sz w:val="24"/>
            <w:szCs w:val="24"/>
            <w14:textFill>
              <w14:solidFill>
                <w14:schemeClr w14:val="tx1"/>
              </w14:solidFill>
            </w14:textFill>
          </w:rPr>
          <w:t>3.3 零售市场信息不对称</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_Toc6390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12</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6523" w:history="1">
        <w:r>
          <w:rPr>
            <w:rFonts w:ascii="宋体" w:eastAsia="宋体" w:hAnsi="宋体" w:cs="宋体" w:hint="eastAsia"/>
            <w:color w:val="000000" w:themeColor="text1"/>
            <w:sz w:val="24"/>
            <w:szCs w:val="24"/>
            <w14:textFill>
              <w14:solidFill>
                <w14:schemeClr w14:val="tx1"/>
              </w14:solidFill>
            </w14:textFill>
          </w:rPr>
          <w:t>3.4 国内对于版权问题仍待提高</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_Toc6523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13</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3440" w:history="1">
        <w:r>
          <w:rPr>
            <w:rFonts w:ascii="宋体" w:eastAsia="宋体" w:hAnsi="宋体" w:cs="宋体" w:hint="eastAsia"/>
            <w:color w:val="000000" w:themeColor="text1"/>
            <w:sz w:val="24"/>
            <w:szCs w:val="24"/>
            <w14:textFill>
              <w14:solidFill>
                <w14:schemeClr w14:val="tx1"/>
              </w14:solidFill>
            </w14:textFill>
          </w:rPr>
          <w:t>3.5 乐高的定价相较于传统玩具仍高出不少</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_Toc13440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13</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5329" w:history="1">
        <w:r>
          <w:rPr>
            <w:rFonts w:ascii="宋体" w:eastAsia="宋体" w:hAnsi="宋体" w:cs="宋体" w:hint="eastAsia"/>
            <w:color w:val="000000" w:themeColor="text1"/>
            <w:sz w:val="24"/>
            <w:szCs w:val="24"/>
            <w14:textFill>
              <w14:solidFill>
                <w14:schemeClr w14:val="tx1"/>
              </w14:solidFill>
            </w14:textFill>
          </w:rPr>
          <w:t>3.6 乐高的产品出现水土不服现象</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_Toc15329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15</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20963" w:history="1">
        <w:r>
          <w:rPr>
            <w:rFonts w:ascii="宋体" w:eastAsia="宋体" w:hAnsi="宋体" w:cs="宋体" w:hint="eastAsia"/>
            <w:color w:val="000000" w:themeColor="text1"/>
            <w:sz w:val="24"/>
            <w:szCs w:val="24"/>
            <w14:textFill>
              <w14:solidFill>
                <w14:schemeClr w14:val="tx1"/>
              </w14:solidFill>
            </w14:textFill>
          </w:rPr>
          <w:t>4 乐高玩具品牌营销策略的优化建议</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_Toc20963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16</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1039" w:history="1">
        <w:r>
          <w:rPr>
            <w:rFonts w:ascii="宋体" w:eastAsia="宋体" w:hAnsi="宋体" w:cs="宋体" w:hint="eastAsia"/>
            <w:color w:val="000000" w:themeColor="text1"/>
            <w:sz w:val="24"/>
            <w:szCs w:val="24"/>
            <w14:textFill>
              <w14:solidFill>
                <w14:schemeClr w14:val="tx1"/>
              </w14:solidFill>
            </w14:textFill>
          </w:rPr>
          <w:t>4.1 乐高玩具品牌销售策略SWOT分析</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_Toc11039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16</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2"/>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1922" w:history="1">
        <w:r>
          <w:rPr>
            <w:rFonts w:ascii="宋体" w:eastAsia="宋体" w:hAnsi="宋体" w:cs="宋体" w:hint="eastAsia"/>
            <w:color w:val="000000" w:themeColor="text1"/>
            <w:sz w:val="24"/>
            <w:szCs w:val="24"/>
            <w14:textFill>
              <w14:solidFill>
                <w14:schemeClr w14:val="tx1"/>
              </w14:solidFill>
            </w14:textFill>
          </w:rPr>
          <w:t>4.2 乐高玩具品牌销售策略优化措施</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_Toc11922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17</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5113" w:history="1">
        <w:r>
          <w:rPr>
            <w:rFonts w:ascii="宋体" w:eastAsia="宋体" w:hAnsi="宋体" w:cs="宋体" w:hint="eastAsia"/>
            <w:color w:val="000000" w:themeColor="text1"/>
            <w:sz w:val="24"/>
            <w:szCs w:val="24"/>
            <w14:textFill>
              <w14:solidFill>
                <w14:schemeClr w14:val="tx1"/>
              </w14:solidFill>
            </w14:textFill>
          </w:rPr>
          <w:t>4.2.1 完善乐高教育体系</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_Toc5113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17</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31990" w:history="1">
        <w:r>
          <w:rPr>
            <w:rFonts w:ascii="宋体" w:eastAsia="宋体" w:hAnsi="宋体" w:cs="宋体" w:hint="eastAsia"/>
            <w:color w:val="000000" w:themeColor="text1"/>
            <w:sz w:val="24"/>
            <w:szCs w:val="24"/>
            <w14:textFill>
              <w14:solidFill>
                <w14:schemeClr w14:val="tx1"/>
              </w14:solidFill>
            </w14:textFill>
          </w:rPr>
          <w:t>4.2.2 丰富官网的功能及内容</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_Toc31990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18</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32024" w:history="1">
        <w:r>
          <w:rPr>
            <w:rFonts w:ascii="宋体" w:eastAsia="宋体" w:hAnsi="宋体" w:cs="宋体" w:hint="eastAsia"/>
            <w:color w:val="000000" w:themeColor="text1"/>
            <w:sz w:val="24"/>
            <w:szCs w:val="24"/>
            <w14:textFill>
              <w14:solidFill>
                <w14:schemeClr w14:val="tx1"/>
              </w14:solidFill>
            </w14:textFill>
          </w:rPr>
          <w:t>4.2.3 掌握自主性打造属于乐高的文化产品</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_Toc32024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18</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30545" w:history="1">
        <w:r>
          <w:rPr>
            <w:rFonts w:ascii="宋体" w:eastAsia="宋体" w:hAnsi="宋体" w:cs="宋体" w:hint="eastAsia"/>
            <w:color w:val="000000" w:themeColor="text1"/>
            <w:sz w:val="24"/>
            <w:szCs w:val="24"/>
            <w14:textFill>
              <w14:solidFill>
                <w14:schemeClr w14:val="tx1"/>
              </w14:solidFill>
            </w14:textFill>
          </w:rPr>
          <w:t>4.2.4 发行限定赠品</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_Toc30545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18</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21746" w:history="1">
        <w:r>
          <w:rPr>
            <w:rFonts w:ascii="宋体" w:eastAsia="宋体" w:hAnsi="宋体" w:cs="宋体" w:hint="eastAsia"/>
            <w:color w:val="000000" w:themeColor="text1"/>
            <w:sz w:val="24"/>
            <w:szCs w:val="24"/>
            <w14:textFill>
              <w14:solidFill>
                <w14:schemeClr w14:val="tx1"/>
              </w14:solidFill>
            </w14:textFill>
          </w:rPr>
          <w:t>4.2.5 采取更环保的材料降低成本</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_Toc21746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18</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25243" w:history="1">
        <w:r>
          <w:rPr>
            <w:rFonts w:ascii="宋体" w:eastAsia="宋体" w:hAnsi="宋体" w:cs="宋体" w:hint="eastAsia"/>
            <w:color w:val="000000" w:themeColor="text1"/>
            <w:sz w:val="24"/>
            <w:szCs w:val="24"/>
            <w14:textFill>
              <w14:solidFill>
                <w14:schemeClr w14:val="tx1"/>
              </w14:solidFill>
            </w14:textFill>
          </w:rPr>
          <w:t>4.2.6 跟国内积木厂家合作，带动原创积木发展</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_Toc25243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19</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3"/>
        <w:keepNext w:val="0"/>
        <w:keepLines w:val="0"/>
        <w:pageBreakBefore w:val="0"/>
        <w:widowControl w:val="0"/>
        <w:tabs>
          <w:tab w:val="right" w:leader="dot" w:pos="8789"/>
        </w:tabs>
        <w:kinsoku/>
        <w:wordWrap/>
        <w:overflowPunct/>
        <w:topLinePunct w:val="0"/>
        <w:autoSpaceDE/>
        <w:autoSpaceDN/>
        <w:bidi w:val="0"/>
        <w:adjustRightInd/>
        <w:snapToGrid/>
        <w:textAlignment w:val="auto"/>
        <w:rPr>
          <w:rFonts w:ascii="宋体" w:eastAsia="宋体" w:hAnsi="宋体" w:cs="宋体" w:hint="eastAsia"/>
          <w:color w:val="000000" w:themeColor="text1"/>
          <w:sz w:val="24"/>
          <w14:textFill>
            <w14:solidFill>
              <w14:schemeClr w14:val="tx1"/>
            </w14:solidFill>
          </w14:textFill>
        </w:rPr>
      </w:pPr>
      <w:hyperlink w:anchor="_Toc25518" w:history="1">
        <w:r>
          <w:rPr>
            <w:rFonts w:ascii="宋体" w:eastAsia="宋体" w:hAnsi="宋体" w:cs="宋体" w:hint="eastAsia"/>
            <w:color w:val="000000" w:themeColor="text1"/>
            <w:sz w:val="24"/>
            <w:szCs w:val="24"/>
            <w14:textFill>
              <w14:solidFill>
                <w14:schemeClr w14:val="tx1"/>
              </w14:solidFill>
            </w14:textFill>
          </w:rPr>
          <w:t>4.2.7 根据当地特色，发行相应的产品</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_Toc25518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19</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18751" w:history="1">
        <w:r>
          <w:rPr>
            <w:rFonts w:ascii="宋体" w:eastAsia="宋体" w:hAnsi="宋体" w:cs="宋体" w:hint="eastAsia"/>
            <w:color w:val="000000" w:themeColor="text1"/>
            <w:sz w:val="24"/>
            <w:szCs w:val="24"/>
            <w14:textFill>
              <w14:solidFill>
                <w14:schemeClr w14:val="tx1"/>
              </w14:solidFill>
            </w14:textFill>
          </w:rPr>
          <w:t>5 结论</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_Toc18751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19</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rFonts w:ascii="宋体" w:eastAsia="宋体" w:hAnsi="宋体" w:cs="宋体" w:hint="eastAsia"/>
          <w:color w:val="000000" w:themeColor="text1"/>
          <w:sz w:val="24"/>
          <w:szCs w:val="24"/>
          <w14:textFill>
            <w14:solidFill>
              <w14:schemeClr w14:val="tx1"/>
            </w14:solidFill>
          </w14:textFill>
        </w:rPr>
      </w:pPr>
      <w:hyperlink w:anchor="_Toc26977" w:history="1">
        <w:r>
          <w:rPr>
            <w:rFonts w:ascii="宋体" w:eastAsia="宋体" w:hAnsi="宋体" w:cs="宋体" w:hint="eastAsia"/>
            <w:bCs/>
            <w:color w:val="000000" w:themeColor="text1"/>
            <w:sz w:val="24"/>
            <w:szCs w:val="24"/>
            <w14:textFill>
              <w14:solidFill>
                <w14:schemeClr w14:val="tx1"/>
              </w14:solidFill>
            </w14:textFill>
          </w:rPr>
          <w:t>参考文献</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_Toc26977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21</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TOC1"/>
        <w:keepNext w:val="0"/>
        <w:keepLines w:val="0"/>
        <w:pageBreakBefore w:val="0"/>
        <w:widowControl w:val="0"/>
        <w:tabs>
          <w:tab w:val="right" w:leader="dot" w:pos="8789"/>
          <w:tab w:val="clear" w:pos="9060"/>
        </w:tabs>
        <w:kinsoku/>
        <w:wordWrap/>
        <w:overflowPunct/>
        <w:topLinePunct w:val="0"/>
        <w:autoSpaceDE/>
        <w:autoSpaceDN/>
        <w:bidi w:val="0"/>
        <w:adjustRightInd/>
        <w:snapToGrid/>
        <w:textAlignment w:val="auto"/>
        <w:rPr>
          <w:color w:val="000000" w:themeColor="text1"/>
          <w14:textFill>
            <w14:solidFill>
              <w14:schemeClr w14:val="tx1"/>
            </w14:solidFill>
          </w14:textFill>
        </w:rPr>
      </w:pPr>
      <w:hyperlink w:anchor="_Toc13091" w:history="1">
        <w:r>
          <w:rPr>
            <w:rFonts w:ascii="宋体" w:eastAsia="宋体" w:hAnsi="宋体" w:cs="宋体" w:hint="eastAsia"/>
            <w:color w:val="000000" w:themeColor="text1"/>
            <w:sz w:val="24"/>
            <w:szCs w:val="24"/>
            <w14:textFill>
              <w14:solidFill>
                <w14:schemeClr w14:val="tx1"/>
              </w14:solidFill>
            </w14:textFill>
          </w:rPr>
          <w:t>附录</w:t>
        </w:r>
        <w:r>
          <w:rPr>
            <w:rFonts w:ascii="宋体" w:eastAsia="宋体" w:hAnsi="宋体" w:cs="宋体" w:hint="eastAsia"/>
            <w:color w:val="000000" w:themeColor="text1"/>
            <w:sz w:val="24"/>
            <w:szCs w:val="24"/>
            <w14:textFill>
              <w14:solidFill>
                <w14:schemeClr w14:val="tx1"/>
              </w14:solidFill>
            </w14:textFill>
          </w:rPr>
          <w:tab/>
        </w:r>
        <w:r>
          <w:rPr>
            <w:rFonts w:ascii="宋体" w:eastAsia="宋体" w:hAnsi="宋体" w:cs="宋体" w:hint="eastAsia"/>
            <w:color w:val="000000" w:themeColor="text1"/>
            <w:sz w:val="24"/>
            <w:szCs w:val="24"/>
            <w14:textFill>
              <w14:solidFill>
                <w14:schemeClr w14:val="tx1"/>
              </w14:solidFill>
            </w14:textFill>
          </w:rPr>
          <w:fldChar w:fldCharType="begin"/>
        </w:r>
        <w:r>
          <w:rPr>
            <w:rFonts w:ascii="宋体" w:eastAsia="宋体" w:hAnsi="宋体" w:cs="宋体" w:hint="eastAsia"/>
            <w:color w:val="000000" w:themeColor="text1"/>
            <w:sz w:val="24"/>
            <w:szCs w:val="24"/>
            <w14:textFill>
              <w14:solidFill>
                <w14:schemeClr w14:val="tx1"/>
              </w14:solidFill>
            </w14:textFill>
          </w:rPr>
          <w:instrText xml:space="preserve"> PAGEREF _Toc13091 \h </w:instrText>
        </w:r>
        <w:r>
          <w:rPr>
            <w:rFonts w:ascii="宋体" w:eastAsia="宋体" w:hAnsi="宋体" w:cs="宋体" w:hint="eastAsia"/>
            <w:color w:val="000000" w:themeColor="text1"/>
            <w:sz w:val="24"/>
            <w:szCs w:val="24"/>
            <w14:textFill>
              <w14:solidFill>
                <w14:schemeClr w14:val="tx1"/>
              </w14:solidFill>
            </w14:textFill>
          </w:rPr>
          <w:fldChar w:fldCharType="separate"/>
        </w:r>
        <w:r>
          <w:rPr>
            <w:rFonts w:ascii="宋体" w:eastAsia="宋体" w:hAnsi="宋体" w:cs="宋体" w:hint="eastAsia"/>
            <w:color w:val="000000" w:themeColor="text1"/>
            <w:sz w:val="24"/>
            <w:szCs w:val="24"/>
            <w14:textFill>
              <w14:solidFill>
                <w14:schemeClr w14:val="tx1"/>
              </w14:solidFill>
            </w14:textFill>
          </w:rPr>
          <w:t>23</w:t>
        </w:r>
        <w:r>
          <w:rPr>
            <w:rFonts w:ascii="宋体" w:eastAsia="宋体" w:hAnsi="宋体" w:cs="宋体" w:hint="eastAsia"/>
            <w:color w:val="000000" w:themeColor="text1"/>
            <w:sz w:val="24"/>
            <w:szCs w:val="24"/>
            <w14:textFill>
              <w14:solidFill>
                <w14:schemeClr w14:val="tx1"/>
              </w14:solidFill>
            </w14:textFill>
          </w:rPr>
          <w:fldChar w:fldCharType="end"/>
        </w:r>
      </w:hyperlink>
    </w:p>
    <w:p>
      <w:pPr>
        <w:pStyle w:val="WPSOffice1"/>
        <w:tabs>
          <w:tab w:val="right" w:leader="dot" w:pos="8788"/>
        </w:tabs>
        <w:spacing w:line="300" w:lineRule="auto"/>
        <w:rPr>
          <w:color w:val="000000" w:themeColor="text1"/>
          <w14:textFill>
            <w14:solidFill>
              <w14:schemeClr w14:val="tx1"/>
            </w14:solidFill>
          </w14:textFill>
        </w:rPr>
        <w:sectPr>
          <w:headerReference w:type="default" r:id="rId10"/>
          <w:footerReference w:type="default" r:id="rId11"/>
          <w:pgSz w:w="11906" w:h="16838"/>
          <w:pgMar w:top="1417" w:right="1417" w:bottom="1417" w:left="1417" w:header="1134" w:footer="1134" w:gutter="283"/>
          <w:pgNumType w:fmt="upperRoman" w:start="1"/>
          <w:cols w:num="1" w:space="0"/>
          <w:docGrid w:linePitch="312" w:charSpace="0"/>
        </w:sectPr>
      </w:pPr>
      <w:r>
        <w:rPr>
          <w:rFonts w:ascii="宋体" w:hAnsi="宋体" w:cs="宋体"/>
          <w:color w:val="000000" w:themeColor="text1"/>
          <w:szCs w:val="24"/>
          <w14:textFill>
            <w14:solidFill>
              <w14:schemeClr w14:val="tx1"/>
            </w14:solidFill>
          </w14:textFill>
        </w:rPr>
        <w:fldChar w:fldCharType="end"/>
      </w:r>
    </w:p>
    <w:bookmarkEnd w:id="0"/>
    <w:p>
      <w:pPr>
        <w:sectPr>
          <w:headerReference w:type="default" r:id="rId12"/>
          <w:footerReference w:type="default" r:id="rId13"/>
          <w:pgSz w:w="11906" w:h="16838"/>
          <w:pgMar w:top="1440" w:right="1797" w:bottom="1440" w:left="1797" w:header="851" w:footer="992" w:gutter="0"/>
          <w:pgNumType w:fmt="decimal" w:start="1"/>
          <w:cols w:num="1" w:space="425"/>
          <w:docGrid w:type="lines" w:linePitch="312" w:charSpace="0"/>
        </w:sectPr>
      </w:pPr>
    </w:p>
    <w:p>
      <w:pPr>
        <w:pStyle w:val="Heading1"/>
        <w:bidi w:val="0"/>
        <w:rPr>
          <w:color w:themeColor="text1"/>
          <w14:textFill>
            <w14:solidFill>
              <w14:schemeClr w14:val="tx1"/>
            </w14:solidFill>
          </w14:textFill>
        </w:rPr>
      </w:pPr>
      <w:bookmarkStart w:id="1" w:name="_Toc32240"/>
      <w:bookmarkStart w:id="2" w:name="_Toc41079468"/>
      <w:r>
        <w:rPr>
          <w:color w:val="000000" w:themeColor="text1"/>
          <w14:textFill>
            <w14:solidFill>
              <w14:schemeClr w14:val="tx1"/>
            </w14:solidFill>
          </w14:textFill>
        </w:rPr>
        <w:t>绪论</w:t>
      </w:r>
      <w:bookmarkEnd w:id="1"/>
      <w:bookmarkEnd w:id="2"/>
    </w:p>
    <w:p>
      <w:pPr>
        <w:pStyle w:val="Heading2"/>
        <w:bidi w:val="0"/>
        <w:rPr>
          <w:color w:val="000000" w:themeColor="text1"/>
          <w14:textFill>
            <w14:solidFill>
              <w14:schemeClr w14:val="tx1"/>
            </w14:solidFill>
          </w14:textFill>
        </w:rPr>
      </w:pPr>
      <w:bookmarkStart w:id="3" w:name="_Toc41079469"/>
      <w:bookmarkStart w:id="4" w:name="_Toc7521"/>
      <w:r>
        <w:rPr>
          <w:rFonts w:hint="eastAsia"/>
          <w:color w:val="000000" w:themeColor="text1"/>
          <w14:textFill>
            <w14:solidFill>
              <w14:schemeClr w14:val="tx1"/>
            </w14:solidFill>
          </w14:textFill>
        </w:rPr>
        <w:t>研究背景</w:t>
      </w:r>
      <w:bookmarkEnd w:id="3"/>
      <w:bookmarkEnd w:id="4"/>
    </w:p>
    <w:p>
      <w:pPr>
        <w:bidi w:val="0"/>
        <w:rPr>
          <w:rFonts w:hint="default"/>
        </w:rPr>
      </w:pPr>
      <w:r>
        <w:rPr>
          <w:rFonts w:hint="eastAsia"/>
          <w:color w:val="000000" w:themeColor="text1"/>
          <w:lang w:val="en-US" w:eastAsia="zh-CN"/>
          <w14:textFill>
            <w14:solidFill>
              <w14:schemeClr w14:val="tx1"/>
            </w14:solidFill>
          </w14:textFill>
        </w:rPr>
        <w:t>每个孩子在成长当中，玩具已是必备的存在，并且小孩都很喜欢玩具。在中国经济改革开放后，国内玩具行业持续爆发增长，尤其是不少国际知名玩具品牌进入到我国发展，将我国设置了产品生产地，由此促进了国内玩具产业的整体发展。</w:t>
      </w:r>
    </w:p>
    <w:p>
      <w:pPr>
        <w:bidi w:val="0"/>
        <w:rPr>
          <w:rFonts w:hint="default"/>
        </w:rPr>
      </w:pPr>
      <w:r>
        <w:rPr>
          <w:rFonts w:hint="eastAsia"/>
          <w:color w:val="000000" w:themeColor="text1"/>
          <w:lang w:val="en-US" w:eastAsia="zh-CN"/>
          <w14:textFill>
            <w14:solidFill>
              <w14:schemeClr w14:val="tx1"/>
            </w14:solidFill>
          </w14:textFill>
        </w:rPr>
        <w:t>从全球玩具出口来看，超八成玩具都在中国进行生产，同时中国玩具出口依然保持稳步增长。从发达国家玩具市场来看，其日益走向饱和，然而，亚太地区民众收入持续增长，对玩具的消费也在增长当中，所以，促进了玩具产业的高速发展。乐高，其是全球知名的玩具品牌商，这得益于其创新发展，研发出各年龄段人群的新产品，从而促进了乐高的高速发展，并具备很大的发展潜力。</w:t>
      </w:r>
    </w:p>
    <w:p>
      <w:pPr>
        <w:bidi w:val="0"/>
        <w:rPr>
          <w:rFonts w:hint="default"/>
        </w:rPr>
      </w:pPr>
      <w:r>
        <w:rPr>
          <w:rFonts w:hint="eastAsia"/>
          <w:color w:val="000000" w:themeColor="text1"/>
          <w:lang w:eastAsia="zh-CN"/>
          <w14:textFill>
            <w14:solidFill>
              <w14:schemeClr w14:val="tx1"/>
            </w14:solidFill>
          </w14:textFill>
        </w:rPr>
        <w:t>在</w:t>
      </w:r>
      <w:r>
        <w:rPr>
          <w:rFonts w:hint="eastAsia"/>
          <w:color w:val="000000" w:themeColor="text1"/>
          <w:lang w:val="en-US" w:eastAsia="zh-CN"/>
          <w14:textFill>
            <w14:solidFill>
              <w14:schemeClr w14:val="tx1"/>
            </w14:solidFill>
          </w14:textFill>
        </w:rPr>
        <w:t>乐高随着改革开放进入我国市场发展初期，民众的接受度比较低，然而，在多年生根发展下，乐高在浙江建设了专业性的乐高工厂，并在天猫平台开设了官方旗舰店，在国内超30个城市创立了线下门店，可见乐高在中国发展取得了很不错的成绩。然而，在高速发展下，市场知名度持续提高，由此也出现了大量的盗版产品。中国家长在传统观念影响下，只是将玩具看作是孩子的娱乐工具，这对乐高在国内的发展造成了限制，所以，当下乐高的发展需开展数字化转型，创新商业模式，打造出合作共赢的生态系统。从乐高在2021年发布的《乐高玩乐报告》来看，对比传统数字玩乐，数字玩具被中国孩子所普遍喜欢。从市场调查结果来看，国内超七成的儿童表示，电子玩乐是孩子最喜爱方式，超九成父母表示，电子玩乐可促进孩子的发展，培养他们的创新能力。</w:t>
      </w:r>
    </w:p>
    <w:p>
      <w:pPr>
        <w:bidi w:val="0"/>
        <w:rPr>
          <w:rFonts w:hint="default"/>
        </w:rPr>
      </w:pPr>
      <w:r>
        <w:rPr>
          <w:rFonts w:hint="eastAsia"/>
          <w:color w:val="000000" w:themeColor="text1"/>
          <w:lang w:val="en-US" w:eastAsia="zh-CN"/>
          <w14:textFill>
            <w14:solidFill>
              <w14:schemeClr w14:val="tx1"/>
            </w14:solidFill>
          </w14:textFill>
        </w:rPr>
        <w:t>从乐高在中国的发展来看，其还有许多待开发之处，同时商业环境的变化给乐高带来了新的发展机遇，促进了技术的创新发展，怎样利用技术来给消费者创造性的价值，这是乐高当下发展的一个直接问题。本课题当中，对乐高的发展历程、经营现在开展了分析，并设计出了乐高中国本土化发展的有效营销策略，从而从整体上提升其营销水平，加快乐高中国市场的发展。</w:t>
      </w:r>
    </w:p>
    <w:p>
      <w:pPr>
        <w:pStyle w:val="Heading2"/>
        <w:bidi w:val="0"/>
        <w:rPr>
          <w:color w:val="000000" w:themeColor="text1"/>
          <w14:textFill>
            <w14:solidFill>
              <w14:schemeClr w14:val="tx1"/>
            </w14:solidFill>
          </w14:textFill>
        </w:rPr>
      </w:pPr>
      <w:bookmarkStart w:id="5" w:name="_Toc25330"/>
      <w:bookmarkStart w:id="6" w:name="_Toc41079470"/>
      <w:r>
        <w:rPr>
          <w:rFonts w:hint="eastAsia"/>
          <w:color w:val="000000" w:themeColor="text1"/>
          <w14:textFill>
            <w14:solidFill>
              <w14:schemeClr w14:val="tx1"/>
            </w14:solidFill>
          </w14:textFill>
        </w:rPr>
        <w:t>研究目的</w:t>
      </w:r>
      <w:bookmarkEnd w:id="5"/>
      <w:bookmarkEnd w:id="6"/>
    </w:p>
    <w:p>
      <w:pPr>
        <w:ind w:firstLine="480"/>
        <w:rPr>
          <w:rFonts w:hint="default"/>
        </w:rPr>
        <w:sectPr>
          <w:headerReference w:type="default" r:id="rId14"/>
          <w:footerReference w:type="default" r:id="rId15"/>
          <w:type w:val="nextPage"/>
          <w:pgSz w:w="11906" w:h="16838"/>
          <w:pgMar w:top="1440" w:right="1797" w:bottom="1440" w:left="1797" w:header="851" w:footer="992" w:gutter="0"/>
          <w:pgNumType w:fmt="decimal" w:start="2"/>
          <w:cols w:num="1" w:space="425"/>
          <w:titlePg w:val="0"/>
          <w:docGrid w:type="lines" w:linePitch="312" w:charSpace="0"/>
        </w:sectPr>
      </w:pPr>
    </w:p>
    <w:p>
      <w:pPr>
        <w:ind w:firstLine="480"/>
        <w:rPr>
          <w:rFonts w:hint="default"/>
        </w:rPr>
      </w:pPr>
      <w:r>
        <w:rPr>
          <w:rFonts w:hint="eastAsia"/>
          <w:color w:val="000000" w:themeColor="text1"/>
          <w:lang w:val="en-US" w:eastAsia="zh-CN"/>
          <w14:textFill>
            <w14:solidFill>
              <w14:schemeClr w14:val="tx1"/>
            </w14:solidFill>
          </w14:textFill>
        </w:rPr>
        <w:t>当下，乐高在中国市场发展很快，然而，在发展当中，在时间的推移下，增长会陷入停滞，严重时甚至衰退。分析来看，乐高是一家国际大型公司，其一历经了将近100年的发展，但是还在玩具行业表现突出，是行业内的榜样企业，这并非只是在产品质量、设计方面的突出表现。在市场环境下，怎样抓住市场发展机遇，设计出匹配企业各方面实际的营销策略，这是持续增长的重要措施。乐高在发展当中，其非常注重创新发展，由此发展步入一个又一个高峰，发展当中，既有低谷时期，也有高潮时期，其是国内玩具行业学习的榜样品牌。因此，本课题当中，主要就乐高玩具品牌在中国的营销策略开展了探析，从其发展中总结成功经验，再综合当下国内玩具市场的大环境，找出其营销工作中的不足，并在新环境下的营销策略调整提出了科学建议。</w:t>
      </w:r>
    </w:p>
    <w:p>
      <w:pPr>
        <w:pStyle w:val="Heading2"/>
        <w:bidi w:val="0"/>
        <w:rPr>
          <w:color w:val="000000" w:themeColor="text1"/>
          <w14:textFill>
            <w14:solidFill>
              <w14:schemeClr w14:val="tx1"/>
            </w14:solidFill>
          </w14:textFill>
        </w:rPr>
      </w:pPr>
      <w:bookmarkStart w:id="7" w:name="_Toc2624"/>
      <w:bookmarkStart w:id="8" w:name="_Toc41079471"/>
      <w:r>
        <w:rPr>
          <w:rFonts w:hint="eastAsia"/>
          <w:color w:val="000000" w:themeColor="text1"/>
          <w14:textFill>
            <w14:solidFill>
              <w14:schemeClr w14:val="tx1"/>
            </w14:solidFill>
          </w14:textFill>
        </w:rPr>
        <w:t>研究意义</w:t>
      </w:r>
      <w:bookmarkEnd w:id="7"/>
      <w:bookmarkEnd w:id="8"/>
    </w:p>
    <w:p>
      <w:pPr>
        <w:ind w:firstLine="480"/>
        <w:rPr>
          <w:rFonts w:hint="default"/>
        </w:rPr>
      </w:pPr>
      <w:r>
        <w:rPr>
          <w:rFonts w:hint="eastAsia"/>
          <w:color w:val="000000" w:themeColor="text1"/>
          <w:lang w:val="en-US" w:eastAsia="zh-CN"/>
          <w14:textFill>
            <w14:solidFill>
              <w14:schemeClr w14:val="tx1"/>
            </w14:solidFill>
          </w14:textFill>
        </w:rPr>
        <w:t>本课题当中，通过调查掌握了乐高玩具品牌营销策略实际，并透过现状挖掘出了其中的问题方面，然后运用理论知识、实践知识设计出了详细的完善建议，对于全文研究意义，主要有下面这几点：</w:t>
      </w:r>
    </w:p>
    <w:p>
      <w:pPr>
        <w:ind w:firstLine="480"/>
        <w:rPr>
          <w:rFonts w:hint="default"/>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）在</w:t>
      </w:r>
      <w:r>
        <w:rPr>
          <w:rFonts w:hint="eastAsia"/>
          <w:color w:val="000000" w:themeColor="text1"/>
          <w:lang w:val="en-US" w:eastAsia="zh-CN"/>
          <w14:textFill>
            <w14:solidFill>
              <w14:schemeClr w14:val="tx1"/>
            </w14:solidFill>
          </w14:textFill>
        </w:rPr>
        <w:t>分析了乐高玩具品牌的发展后，还有当下国内玩具行业发展的不足，助力企业在复杂、多变市场竞争中脱颖而出，设计出完备的营销发展战略，助力其扩大市占率，并帮助解决经营所面对各类问题。</w:t>
      </w:r>
    </w:p>
    <w:p>
      <w:pPr>
        <w:ind w:firstLine="480"/>
        <w:rPr>
          <w:rFonts w:hint="default"/>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乐高玩具公司是国内玩具行业的领先品牌，面对电商发展的冲击，此时行业标杆的动向会引起大家的共同关注，从而帮助玩具企业去解决线上渠道问题。通过对乐高玩具品牌营销工作的研究，得出了优化建议，这些建议可给行业内的类似企业这方面工作提供有用参考。</w:t>
      </w:r>
    </w:p>
    <w:p>
      <w:pPr>
        <w:ind w:firstLine="480"/>
        <w:rPr>
          <w:rFonts w:hint="default"/>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3</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乐高当下还处于快速发展时期，怎样抓住市场中的每次机会，从国民消费需求、消费升级中实现新的突破发展，突破当下的发展瓶颈，助力企业实现全面发展，向市场推出更加匹配市场需求的产品、服务，从而促进国内玩具行业的发展。</w:t>
      </w:r>
    </w:p>
    <w:p>
      <w:pPr>
        <w:pStyle w:val="Heading1"/>
        <w:spacing w:before="312" w:after="312"/>
        <w:rPr>
          <w:color w:themeColor="text1"/>
          <w14:textFill>
            <w14:solidFill>
              <w14:schemeClr w14:val="tx1"/>
            </w14:solidFill>
          </w14:textFill>
        </w:rPr>
      </w:pPr>
      <w:bookmarkStart w:id="9" w:name="_Toc16708"/>
      <w:bookmarkStart w:id="10" w:name="_Toc41079472"/>
      <w:r>
        <w:rPr>
          <w:rFonts w:hint="eastAsia"/>
          <w:color w:val="000000" w:themeColor="text1"/>
          <w14:textFill>
            <w14:solidFill>
              <w14:schemeClr w14:val="tx1"/>
            </w14:solidFill>
          </w14:textFill>
        </w:rPr>
        <w:t>乐高玩具品牌发展现状</w:t>
      </w:r>
      <w:bookmarkEnd w:id="9"/>
      <w:bookmarkEnd w:id="10"/>
    </w:p>
    <w:p>
      <w:pPr>
        <w:pStyle w:val="Heading2"/>
        <w:bidi w:val="0"/>
        <w:rPr>
          <w:color w:val="000000" w:themeColor="text1"/>
          <w14:textFill>
            <w14:solidFill>
              <w14:schemeClr w14:val="tx1"/>
            </w14:solidFill>
          </w14:textFill>
        </w:rPr>
      </w:pPr>
      <w:bookmarkStart w:id="11" w:name="_Toc5790"/>
      <w:bookmarkStart w:id="12" w:name="_Toc41079473"/>
      <w:r>
        <w:rPr>
          <w:rFonts w:hint="eastAsia"/>
          <w:color w:val="000000" w:themeColor="text1"/>
          <w14:textFill>
            <w14:solidFill>
              <w14:schemeClr w14:val="tx1"/>
            </w14:solidFill>
          </w14:textFill>
        </w:rPr>
        <w:t>乐高集团简介</w:t>
      </w:r>
      <w:bookmarkEnd w:id="11"/>
      <w:bookmarkEnd w:id="12"/>
    </w:p>
    <w:p>
      <w:pPr>
        <w:ind w:firstLine="480"/>
        <w:rPr>
          <w:rFonts w:hint="default"/>
        </w:rPr>
      </w:pPr>
      <w:r>
        <w:rPr>
          <w:rFonts w:hint="eastAsia"/>
          <w:color w:val="000000" w:themeColor="text1"/>
          <w:lang w:val="en-US" w:eastAsia="zh-CN"/>
          <w14:textFill>
            <w14:solidFill>
              <w14:schemeClr w14:val="tx1"/>
            </w14:solidFill>
          </w14:textFill>
        </w:rPr>
        <w:t>乐高玩具品牌创立于丹麦的比隆小镇，同时也是乐高发展的总部区域。在1932年，乐高被</w:t>
      </w:r>
      <w:r>
        <w:rPr>
          <w:rFonts w:hint="eastAsia"/>
          <w:color w:val="000000" w:themeColor="text1"/>
          <w14:textFill>
            <w14:solidFill>
              <w14:schemeClr w14:val="tx1"/>
            </w14:solidFill>
          </w14:textFill>
        </w:rPr>
        <w:t>Ole Kirk Kristiansen</w:t>
      </w:r>
      <w:r>
        <w:rPr>
          <w:rFonts w:hint="eastAsia"/>
          <w:color w:val="000000" w:themeColor="text1"/>
          <w:lang w:val="en-US" w:eastAsia="zh-CN"/>
          <w14:textFill>
            <w14:solidFill>
              <w14:schemeClr w14:val="tx1"/>
            </w14:solidFill>
          </w14:textFill>
        </w:rPr>
        <w:t>正式创立，对于创始人，他是一名木匠，但却亲手创立出了乐高品牌，历经多年发展，乐高已在多个国家地区设置了总部。对于乐高，其品牌商标为</w:t>
      </w:r>
      <w:r>
        <w:rPr>
          <w:rFonts w:hint="eastAsia"/>
          <w:color w:val="000000" w:themeColor="text1"/>
          <w14:textFill>
            <w14:solidFill>
              <w14:schemeClr w14:val="tx1"/>
            </w14:solidFill>
          </w14:textFill>
        </w:rPr>
        <w:t>“LEGO”，</w:t>
      </w:r>
      <w:r>
        <w:rPr>
          <w:rFonts w:hint="eastAsia"/>
          <w:color w:val="000000" w:themeColor="text1"/>
          <w:lang w:val="en-US" w:eastAsia="zh-CN"/>
          <w14:textFill>
            <w14:solidFill>
              <w14:schemeClr w14:val="tx1"/>
            </w14:solidFill>
          </w14:textFill>
        </w:rPr>
        <w:t>这一名称源自丹麦语言</w:t>
      </w:r>
      <w:r>
        <w:rPr>
          <w:rFonts w:hint="eastAsia"/>
          <w:color w:val="000000" w:themeColor="text1"/>
          <w14:textFill>
            <w14:solidFill>
              <w14:schemeClr w14:val="tx1"/>
            </w14:solidFill>
          </w14:textFill>
        </w:rPr>
        <w:t>“Leg godt”，</w:t>
      </w:r>
      <w:r>
        <w:rPr>
          <w:rFonts w:hint="eastAsia"/>
          <w:color w:val="000000" w:themeColor="text1"/>
          <w:lang w:val="en-US" w:eastAsia="zh-CN"/>
          <w14:textFill>
            <w14:solidFill>
              <w14:schemeClr w14:val="tx1"/>
            </w14:solidFill>
          </w14:textFill>
        </w:rPr>
        <w:t>含义是继续万，通过此商标的含义，也展示出了创始人的憧憬，希望孩子在童年生活中从玩积木中获得快乐，通过玩玩具一步步的促进孩子的发展。</w:t>
      </w:r>
    </w:p>
    <w:p>
      <w:pPr>
        <w:ind w:firstLine="480"/>
        <w:rPr>
          <w:rFonts w:hint="default"/>
        </w:rPr>
      </w:pPr>
      <w:r>
        <w:rPr>
          <w:rFonts w:hint="eastAsia"/>
          <w:color w:val="000000" w:themeColor="text1"/>
          <w:lang w:val="en-US" w:eastAsia="zh-CN"/>
          <w14:textFill>
            <w14:solidFill>
              <w14:schemeClr w14:val="tx1"/>
            </w14:solidFill>
          </w14:textFill>
        </w:rPr>
        <w:t>从乐高玩具产品来看，有一种是塑料拼搭积木，在公司创立后，其探索运用了新的技术。在第二次世界大战后，塑料被发明出来，由此促进了许多行业的发展，创始人发现，塑料是制作玩具的良好材质，由此花费重金购买了相应的苏沫铸机，并研发出了可重复拼接玩具，在1949年，这是特殊之年，是让孩子兴奋的年费，这一年全球收款塑料积木推出市场。虽然乐高积木实现了发展突破，然而，其诞生过程充满了曲折。</w:t>
      </w:r>
    </w:p>
    <w:p>
      <w:pPr>
        <w:ind w:firstLine="480"/>
        <w:rPr>
          <w:rFonts w:hint="default"/>
        </w:rPr>
        <w:sectPr>
          <w:headerReference w:type="default" r:id="rId16"/>
          <w:footerReference w:type="default" r:id="rId17"/>
          <w:type w:val="nextPage"/>
          <w:pgSz w:w="11906" w:h="16838"/>
          <w:pgMar w:top="1440" w:right="1797" w:bottom="1440" w:left="1797" w:header="851" w:footer="992" w:gutter="0"/>
          <w:pgNumType w:fmt="decimal" w:start="3"/>
          <w:cols w:num="1" w:space="425"/>
          <w:titlePg w:val="0"/>
          <w:docGrid w:type="lines" w:linePitch="312" w:charSpace="0"/>
        </w:sectPr>
      </w:pPr>
      <w:r>
        <w:rPr>
          <w:rFonts w:hint="eastAsia"/>
          <w:color w:val="000000" w:themeColor="text1"/>
          <w:lang w:eastAsia="zh-CN"/>
          <w14:textFill>
            <w14:solidFill>
              <w14:schemeClr w14:val="tx1"/>
            </w14:solidFill>
          </w14:textFill>
        </w:rPr>
        <w:t>在</w:t>
      </w:r>
    </w:p>
    <w:p>
      <w:pPr>
        <w:ind w:firstLine="480"/>
        <w:rPr>
          <w:rFonts w:hint="default"/>
        </w:rPr>
      </w:pPr>
      <w:r>
        <w:rPr>
          <w:rFonts w:hint="eastAsia"/>
          <w:color w:val="000000" w:themeColor="text1"/>
          <w:lang w:val="en-US" w:eastAsia="zh-CN"/>
          <w14:textFill>
            <w14:solidFill>
              <w14:schemeClr w14:val="tx1"/>
            </w14:solidFill>
          </w14:textFill>
        </w:rPr>
        <w:t>20世纪初期，乐高公司开始推行了多元发展战略，并发展许多衍生业务，并拓展发展领域，如，电视剧、服饰、教育等，这些过度创新发展，这显然偏离了公司的核心发展理念。在新CEO上任后，公司经营进行了调整，积极优化经营业务，从而也帮助乐高度过了发展危机，实现了突破性的发展变化。</w:t>
      </w:r>
    </w:p>
    <w:p>
      <w:pPr>
        <w:keepNext/>
        <w:spacing w:line="240" w:lineRule="auto"/>
        <w:ind w:firstLine="0" w:firstLineChars="0"/>
        <w:jc w:val="center"/>
      </w:pPr>
      <w:r>
        <w:rPr>
          <w:color w:val="000000" w:themeColor="text1"/>
          <w14:textFill>
            <w14:solidFill>
              <w14:schemeClr w14:val="tx1"/>
            </w14:solidFill>
          </w14:textFill>
        </w:rPr>
        <w:drawing>
          <wp:inline distT="0" distB="0" distL="114300" distR="114300">
            <wp:extent cx="5278120" cy="2045970"/>
            <wp:effectExtent l="0" t="0" r="17780" b="1143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xmlns:r="http://schemas.openxmlformats.org/officeDocument/2006/relationships" r:embed="rId18"/>
                    <a:stretch>
                      <a:fillRect/>
                    </a:stretch>
                  </pic:blipFill>
                  <pic:spPr>
                    <a:xfrm>
                      <a:off x="0" y="0"/>
                      <a:ext cx="5278120" cy="2045970"/>
                    </a:xfrm>
                    <a:prstGeom prst="rect">
                      <a:avLst/>
                    </a:prstGeom>
                    <a:noFill/>
                    <a:ln>
                      <a:noFill/>
                    </a:ln>
                  </pic:spPr>
                </pic:pic>
              </a:graphicData>
            </a:graphic>
          </wp:inline>
        </w:drawing>
      </w:r>
    </w:p>
    <w:p>
      <w:pPr>
        <w:pStyle w:val="Caption"/>
        <w:ind w:firstLine="420"/>
        <w:jc w:val="center"/>
        <w:rPr>
          <w:rFonts w:asciiTheme="minorEastAsia" w:eastAsiaTheme="minorEastAsia" w:hAnsiTheme="minorEastAsia"/>
          <w:color w:val="000000" w:themeColor="text1"/>
          <w:sz w:val="21"/>
          <w:szCs w:val="21"/>
          <w14:textFill>
            <w14:solidFill>
              <w14:schemeClr w14:val="tx1"/>
            </w14:solidFill>
          </w14:textFill>
        </w:rPr>
      </w:pPr>
      <w:r>
        <w:rPr>
          <w:rFonts w:asciiTheme="minorEastAsia" w:eastAsiaTheme="minorEastAsia" w:hAnsiTheme="minorEastAsia" w:hint="eastAsia"/>
          <w:color w:val="000000" w:themeColor="text1"/>
          <w:sz w:val="21"/>
          <w:szCs w:val="21"/>
          <w14:textFill>
            <w14:solidFill>
              <w14:schemeClr w14:val="tx1"/>
            </w14:solidFill>
          </w14:textFill>
        </w:rPr>
        <w:t>图2</w:t>
      </w:r>
      <w:r>
        <w:rPr>
          <w:rFonts w:asciiTheme="minorEastAsia" w:eastAsiaTheme="minorEastAsia" w:hAnsiTheme="minorEastAsia"/>
          <w:color w:val="000000" w:themeColor="text1"/>
          <w:sz w:val="21"/>
          <w:szCs w:val="21"/>
          <w14:textFill>
            <w14:solidFill>
              <w14:schemeClr w14:val="tx1"/>
            </w14:solidFill>
          </w14:textFill>
        </w:rPr>
        <w:noBreakHyphen/>
      </w:r>
      <w:r>
        <w:rPr>
          <w:rFonts w:asciiTheme="minorEastAsia" w:eastAsiaTheme="minorEastAsia" w:hAnsiTheme="minorEastAsia"/>
          <w:color w:val="000000" w:themeColor="text1"/>
          <w:sz w:val="21"/>
          <w:szCs w:val="21"/>
          <w14:textFill>
            <w14:solidFill>
              <w14:schemeClr w14:val="tx1"/>
            </w14:solidFill>
          </w14:textFill>
        </w:rPr>
        <w:fldChar w:fldCharType="begin"/>
      </w:r>
      <w:r>
        <w:rPr>
          <w:rFonts w:asciiTheme="minorEastAsia" w:eastAsiaTheme="minorEastAsia" w:hAnsiTheme="minorEastAsia"/>
          <w:color w:val="000000" w:themeColor="text1"/>
          <w:sz w:val="21"/>
          <w:szCs w:val="21"/>
          <w14:textFill>
            <w14:solidFill>
              <w14:schemeClr w14:val="tx1"/>
            </w14:solidFill>
          </w14:textFill>
        </w:rPr>
        <w:instrText xml:space="preserve"> SEQ 图 \* ARABIC \s 1 </w:instrText>
      </w:r>
      <w:r>
        <w:rPr>
          <w:rFonts w:asciiTheme="minorEastAsia" w:eastAsiaTheme="minorEastAsia" w:hAnsiTheme="minorEastAsia"/>
          <w:color w:val="000000" w:themeColor="text1"/>
          <w:sz w:val="21"/>
          <w:szCs w:val="21"/>
          <w14:textFill>
            <w14:solidFill>
              <w14:schemeClr w14:val="tx1"/>
            </w14:solidFill>
          </w14:textFill>
        </w:rPr>
        <w:fldChar w:fldCharType="separate"/>
      </w:r>
      <w:r>
        <w:rPr>
          <w:rFonts w:asciiTheme="minorEastAsia" w:eastAsiaTheme="minorEastAsia" w:hAnsiTheme="minorEastAsia"/>
          <w:color w:val="000000" w:themeColor="text1"/>
          <w:sz w:val="21"/>
          <w:szCs w:val="21"/>
          <w14:textFill>
            <w14:solidFill>
              <w14:schemeClr w14:val="tx1"/>
            </w14:solidFill>
          </w14:textFill>
        </w:rPr>
        <w:t>1</w:t>
      </w:r>
      <w:r>
        <w:rPr>
          <w:rFonts w:asciiTheme="minorEastAsia" w:eastAsiaTheme="minorEastAsia" w:hAnsiTheme="minorEastAsia"/>
          <w:color w:val="000000" w:themeColor="text1"/>
          <w:sz w:val="21"/>
          <w:szCs w:val="21"/>
          <w14:textFill>
            <w14:solidFill>
              <w14:schemeClr w14:val="tx1"/>
            </w14:solidFill>
          </w14:textFill>
        </w:rPr>
        <w:fldChar w:fldCharType="end"/>
      </w:r>
      <w:r>
        <w:rPr>
          <w:rFonts w:asciiTheme="minorEastAsia" w:eastAsiaTheme="minorEastAsia" w:hAnsiTheme="minorEastAsia" w:hint="eastAsia"/>
          <w:color w:val="000000" w:themeColor="text1"/>
          <w:sz w:val="21"/>
          <w:szCs w:val="21"/>
          <w14:textFill>
            <w14:solidFill>
              <w14:schemeClr w14:val="tx1"/>
            </w14:solidFill>
          </w14:textFill>
        </w:rPr>
        <w:t>乐高的共同愿景</w:t>
      </w:r>
    </w:p>
    <w:p>
      <w:pPr>
        <w:ind w:firstLine="480"/>
        <w:rPr>
          <w:rFonts w:hint="default"/>
        </w:rPr>
      </w:pPr>
      <w:r>
        <w:rPr>
          <w:rFonts w:hint="eastAsia"/>
          <w:color w:val="000000" w:themeColor="text1"/>
          <w:lang w:val="en-US" w:eastAsia="zh-CN"/>
          <w14:textFill>
            <w14:solidFill>
              <w14:schemeClr w14:val="tx1"/>
            </w14:solidFill>
          </w14:textFill>
        </w:rPr>
        <w:t>当下乐高集团实现的全国发展，在全球各国都能买到乐高玩具，在高知名度下，其发展成了全球玩具行业最值钱的品牌。除苹果公司外，可发现乐高品牌的知名度非常高，并被许多人所崇拜。</w:t>
      </w:r>
      <w:r>
        <w:rPr>
          <w:rFonts w:hint="eastAsia"/>
          <w:color w:val="000000" w:themeColor="text1"/>
          <w14:textFill>
            <w14:solidFill>
              <w14:schemeClr w14:val="tx1"/>
            </w14:solidFill>
          </w14:textFill>
        </w:rPr>
        <w:t>Flash</w:t>
      </w:r>
      <w:r>
        <w:rPr>
          <w:rFonts w:hint="eastAsia"/>
          <w:color w:val="000000" w:themeColor="text1"/>
          <w:lang w:val="en-US" w:eastAsia="zh-CN"/>
          <w14:textFill>
            <w14:solidFill>
              <w14:schemeClr w14:val="tx1"/>
            </w14:solidFill>
          </w14:textFill>
        </w:rPr>
        <w:t>动画的创立者</w:t>
      </w:r>
      <w:r>
        <w:rPr>
          <w:rFonts w:hint="eastAsia"/>
          <w:color w:val="000000" w:themeColor="text1"/>
          <w14:textFill>
            <w14:solidFill>
              <w14:schemeClr w14:val="tx1"/>
            </w14:solidFill>
          </w14:textFill>
        </w:rPr>
        <w:t>Jonathan Gay</w:t>
      </w:r>
      <w:r>
        <w:rPr>
          <w:rFonts w:hint="eastAsia"/>
          <w:color w:val="000000" w:themeColor="text1"/>
          <w:lang w:val="en-US" w:eastAsia="zh-CN"/>
          <w14:textFill>
            <w14:solidFill>
              <w14:schemeClr w14:val="tx1"/>
            </w14:solidFill>
          </w14:textFill>
        </w:rPr>
        <w:t>曾表示，因为得到了乐高积木的启发，由此创立出了全球风靡的</w:t>
      </w:r>
      <w:r>
        <w:rPr>
          <w:rFonts w:hint="eastAsia"/>
          <w:color w:val="000000" w:themeColor="text1"/>
          <w14:textFill>
            <w14:solidFill>
              <w14:schemeClr w14:val="tx1"/>
            </w14:solidFill>
          </w14:textFill>
        </w:rPr>
        <w:t>Flash动画，</w:t>
      </w:r>
      <w:r>
        <w:rPr>
          <w:rFonts w:hint="eastAsia"/>
          <w:color w:val="000000" w:themeColor="text1"/>
          <w:lang w:val="en-US" w:eastAsia="zh-CN"/>
          <w14:textFill>
            <w14:solidFill>
              <w14:schemeClr w14:val="tx1"/>
            </w14:solidFill>
          </w14:textFill>
        </w:rPr>
        <w:t>加速了全球网络的发展。</w:t>
      </w:r>
      <w:r>
        <w:rPr>
          <w:rFonts w:hint="eastAsia"/>
          <w:color w:val="000000" w:themeColor="text1"/>
          <w14:textFill>
            <w14:solidFill>
              <w14:schemeClr w14:val="tx1"/>
            </w14:solidFill>
          </w14:textFill>
        </w:rPr>
        <w:t>James May</w:t>
      </w:r>
      <w:r>
        <w:rPr>
          <w:rFonts w:hint="eastAsia"/>
          <w:color w:val="000000" w:themeColor="text1"/>
          <w:lang w:eastAsia="zh-CN"/>
          <w14:textFill>
            <w14:solidFill>
              <w14:schemeClr w14:val="tx1"/>
            </w14:solidFill>
          </w14:textFill>
        </w:rPr>
        <w:t>在</w:t>
      </w:r>
      <w:r>
        <w:rPr>
          <w:rFonts w:hint="eastAsia"/>
          <w:color w:val="000000" w:themeColor="text1"/>
          <w:lang w:val="en-US" w:eastAsia="zh-CN"/>
          <w14:textFill>
            <w14:solidFill>
              <w14:schemeClr w14:val="tx1"/>
            </w14:solidFill>
          </w14:textFill>
        </w:rPr>
        <w:t>接受BBC访谈时表示，积木中蕴含了丰富的数学知识，可帮助孩子去探索整理。</w:t>
      </w:r>
    </w:p>
    <w:p>
      <w:pPr>
        <w:ind w:firstLine="480"/>
        <w:rPr>
          <w:rFonts w:hint="default"/>
        </w:rPr>
      </w:pPr>
      <w:r>
        <w:rPr>
          <w:rFonts w:hint="eastAsia"/>
          <w:color w:val="000000" w:themeColor="text1"/>
          <w:lang w:val="en-US" w:eastAsia="zh-CN"/>
          <w14:textFill>
            <w14:solidFill>
              <w14:schemeClr w14:val="tx1"/>
            </w14:solidFill>
          </w14:textFill>
        </w:rPr>
        <w:t>积木，其是由许多快普通、充满特色的积木拼搭而成，并且拼搭充分无限可能，可给人带来乐趣，促进脑力的开发。在数字化时代，乐高希望利用好数字技术来发展新的游戏方式，公司玩具，其并非单纯得到产品，是可以促进人类潜能开发的有用工具。</w:t>
      </w:r>
    </w:p>
    <w:p>
      <w:pPr>
        <w:ind w:firstLine="480"/>
        <w:rPr>
          <w:rFonts w:hint="default"/>
        </w:rPr>
      </w:pPr>
      <w:r>
        <w:rPr>
          <w:rFonts w:hint="eastAsia"/>
          <w:color w:val="000000" w:themeColor="text1"/>
          <w:lang w:val="en-US" w:eastAsia="zh-CN"/>
          <w14:textFill>
            <w14:solidFill>
              <w14:schemeClr w14:val="tx1"/>
            </w14:solidFill>
          </w14:textFill>
        </w:rPr>
        <w:t>当下，乐高玩具已并非只是孩子的玩具，也是许多大人的玩具，并且许多成年人被吸引加入其中。乐高在发展放在，主要是以线下实体店出现在大家面前，同时荣获了许多奖项，在2018年时，公司进入到了全球500强品牌，排名是98位。2019年，乐高品牌成为了年度最受儿童消费玩具品牌。此外，还取得了多项荣誉，这些都是对乐高发展的肯定，同时也是乐高走向未来的展示。</w:t>
      </w:r>
    </w:p>
    <w:p>
      <w:pPr>
        <w:pStyle w:val="Heading2"/>
        <w:bidi w:val="0"/>
        <w:rPr>
          <w:color w:val="000000" w:themeColor="text1"/>
          <w14:textFill>
            <w14:solidFill>
              <w14:schemeClr w14:val="tx1"/>
            </w14:solidFill>
          </w14:textFill>
        </w:rPr>
      </w:pPr>
      <w:bookmarkStart w:id="13" w:name="_Toc41079474"/>
      <w:bookmarkStart w:id="14" w:name="_Toc25553"/>
      <w:r>
        <w:rPr>
          <w:rFonts w:hint="eastAsia"/>
          <w:color w:val="000000" w:themeColor="text1"/>
          <w14:textFill>
            <w14:solidFill>
              <w14:schemeClr w14:val="tx1"/>
            </w14:solidFill>
          </w14:textFill>
        </w:rPr>
        <w:t>乐高集团的发展现状</w:t>
      </w:r>
      <w:bookmarkEnd w:id="13"/>
      <w:bookmarkEnd w:id="14"/>
    </w:p>
    <w:p>
      <w:pPr>
        <w:pStyle w:val="Heading3"/>
        <w:bidi w:val="0"/>
        <w:rPr>
          <w:color w:val="000000" w:themeColor="text1"/>
          <w14:textFill>
            <w14:solidFill>
              <w14:schemeClr w14:val="tx1"/>
            </w14:solidFill>
          </w14:textFill>
        </w:rPr>
      </w:pPr>
      <w:bookmarkStart w:id="15" w:name="_Toc7968"/>
      <w:bookmarkStart w:id="16" w:name="_Toc41079475"/>
      <w:r>
        <w:rPr>
          <w:rFonts w:hint="eastAsia"/>
          <w:color w:val="000000" w:themeColor="text1"/>
          <w14:textFill>
            <w14:solidFill>
              <w14:schemeClr w14:val="tx1"/>
            </w14:solidFill>
          </w14:textFill>
        </w:rPr>
        <w:t>乐高集团的产品系列</w:t>
      </w:r>
      <w:bookmarkEnd w:id="15"/>
      <w:bookmarkEnd w:id="16"/>
    </w:p>
    <w:p>
      <w:pPr>
        <w:ind w:firstLine="480"/>
      </w:pPr>
      <w:r>
        <w:rPr>
          <w:rFonts w:hint="eastAsia"/>
          <w:color w:val="000000" w:themeColor="text1"/>
          <w:lang w:val="en-US" w:eastAsia="zh-CN"/>
          <w14:textFill>
            <w14:solidFill>
              <w14:schemeClr w14:val="tx1"/>
            </w14:solidFill>
          </w14:textFill>
        </w:rPr>
        <w:t>对于幼儿、学龄前儿童，公司开发出了得宝大颗粒，对于超4岁孩子拼装的是标准颗粒，还有大孩子喜欢的机械组件，乐高积木可实现互相拼搭，这也增强了其使用的灵活性</w:t>
      </w:r>
      <w:r>
        <w:rPr>
          <w:color w:val="000000" w:themeColor="text1"/>
          <w:vertAlign w:val="superscript"/>
          <w14:textFill>
            <w14:solidFill>
              <w14:schemeClr w14:val="tx1"/>
            </w14:solidFill>
          </w14:textFill>
        </w:rPr>
        <w:fldChar w:fldCharType="begin"/>
      </w:r>
      <w:r>
        <w:rPr>
          <w:color w:val="000000" w:themeColor="text1"/>
          <w:vertAlign w:val="superscript"/>
          <w14:textFill>
            <w14:solidFill>
              <w14:schemeClr w14:val="tx1"/>
            </w14:solidFill>
          </w14:textFill>
        </w:rPr>
        <w:instrText xml:space="preserve"> </w:instrText>
      </w:r>
      <w:r>
        <w:rPr>
          <w:rFonts w:hint="eastAsia"/>
          <w:color w:val="000000" w:themeColor="text1"/>
          <w:vertAlign w:val="superscript"/>
          <w14:textFill>
            <w14:solidFill>
              <w14:schemeClr w14:val="tx1"/>
            </w14:solidFill>
          </w14:textFill>
        </w:rPr>
        <w:instrText>REF _Ref38313349 \r \h</w:instrText>
      </w:r>
      <w:r>
        <w:rPr>
          <w:color w:val="000000" w:themeColor="text1"/>
          <w:vertAlign w:val="superscript"/>
          <w14:textFill>
            <w14:solidFill>
              <w14:schemeClr w14:val="tx1"/>
            </w14:solidFill>
          </w14:textFill>
        </w:rPr>
        <w:instrText xml:space="preserve">  \* MERGEFORMAT </w:instrText>
      </w:r>
      <w:r>
        <w:rPr>
          <w:color w:val="000000" w:themeColor="text1"/>
          <w:vertAlign w:val="superscript"/>
          <w14:textFill>
            <w14:solidFill>
              <w14:schemeClr w14:val="tx1"/>
            </w14:solidFill>
          </w14:textFill>
        </w:rPr>
        <w:fldChar w:fldCharType="separate"/>
      </w:r>
      <w:r>
        <w:rPr>
          <w:color w:val="000000" w:themeColor="text1"/>
          <w:vertAlign w:val="superscript"/>
          <w14:textFill>
            <w14:solidFill>
              <w14:schemeClr w14:val="tx1"/>
            </w14:solidFill>
          </w14:textFill>
        </w:rPr>
        <w:t>[11]</w:t>
      </w:r>
      <w:r>
        <w:rPr>
          <w:color w:val="000000" w:themeColor="text1"/>
          <w:vertAlign w:val="superscript"/>
          <w14:textFill>
            <w14:solidFill>
              <w14:schemeClr w14:val="tx1"/>
            </w14:solidFill>
          </w14:textFill>
        </w:rPr>
        <w:fldChar w:fldCharType="end"/>
      </w:r>
      <w:r>
        <w:rPr>
          <w:rFonts w:hint="eastAsia"/>
          <w:color w:val="000000" w:themeColor="text1"/>
          <w14:textFill>
            <w14:solidFill>
              <w14:schemeClr w14:val="tx1"/>
            </w14:solidFill>
          </w14:textFill>
        </w:rPr>
        <w:t xml:space="preserve"> 。</w:t>
      </w:r>
      <w:r>
        <w:rPr>
          <w:rFonts w:hint="eastAsia"/>
          <w:color w:val="000000" w:themeColor="text1"/>
          <w:lang w:eastAsia="zh-CN"/>
          <w14:textFill>
            <w14:solidFill>
              <w14:schemeClr w14:val="tx1"/>
            </w14:solidFill>
          </w14:textFill>
        </w:rPr>
        <w:t>在</w:t>
      </w:r>
      <w:r>
        <w:rPr>
          <w:rFonts w:hint="eastAsia"/>
          <w:color w:val="000000" w:themeColor="text1"/>
          <w:lang w:val="en-US" w:eastAsia="zh-CN"/>
          <w14:textFill>
            <w14:solidFill>
              <w14:schemeClr w14:val="tx1"/>
            </w14:solidFill>
          </w14:textFill>
        </w:rPr>
        <w:t>乐高特色化的拼搭系统下，就算是50年的公司积木产品，此时也可与当下的积木产品进行无缝拼接，同时颗粒间的误差仅为</w:t>
      </w:r>
      <w:r>
        <w:rPr>
          <w:rFonts w:hint="eastAsia"/>
          <w:color w:val="000000" w:themeColor="text1"/>
          <w14:textFill>
            <w14:solidFill>
              <w14:schemeClr w14:val="tx1"/>
            </w14:solidFill>
          </w14:textFill>
        </w:rPr>
        <w:t>1/500毫米。</w:t>
      </w:r>
    </w:p>
    <w:p>
      <w:pPr>
        <w:ind w:firstLine="480"/>
        <w:sectPr>
          <w:headerReference w:type="default" r:id="rId19"/>
          <w:footerReference w:type="default" r:id="rId20"/>
          <w:type w:val="nextPage"/>
          <w:pgSz w:w="11906" w:h="16838"/>
          <w:pgMar w:top="1440" w:right="1797" w:bottom="1440" w:left="1797" w:header="851" w:footer="992" w:gutter="0"/>
          <w:pgNumType w:fmt="decimal" w:start="4"/>
          <w:cols w:num="1" w:space="425"/>
          <w:titlePg w:val="0"/>
          <w:docGrid w:type="lines" w:linePitch="312" w:charSpace="0"/>
        </w:sectPr>
      </w:pPr>
    </w:p>
    <w:p>
      <w:pPr>
        <w:ind w:firstLine="480"/>
      </w:pPr>
      <w:r>
        <w:rPr>
          <w:rFonts w:hint="eastAsia"/>
          <w:color w:val="000000" w:themeColor="text1"/>
          <w14:textFill>
            <w14:solidFill>
              <w14:schemeClr w14:val="tx1"/>
            </w14:solidFill>
          </w14:textFill>
        </w:rPr>
        <w:t>以下是乐高目前所发行的部分主要系列，其中IP授权系列是目前很受欢迎的“大童玩具”系列，IP合作可以使产品不需要在前期做太多的宣传便可迅速被人们所了解、喜爱，“大童玩具”被视为潜力股，是近年玩具行业的一个新增长点。</w:t>
      </w:r>
    </w:p>
    <w:p>
      <w:pPr>
        <w:pStyle w:val="Caption"/>
        <w:ind w:firstLine="0" w:firstLineChars="0"/>
        <w:jc w:val="center"/>
        <w:rPr>
          <w:rFonts w:asciiTheme="minorEastAsia" w:eastAsiaTheme="minorEastAsia" w:hAnsiTheme="minorEastAsia"/>
          <w:color w:val="000000" w:themeColor="text1"/>
          <w:sz w:val="21"/>
          <w:szCs w:val="21"/>
          <w14:textFill>
            <w14:solidFill>
              <w14:schemeClr w14:val="tx1"/>
            </w14:solidFill>
          </w14:textFill>
        </w:rPr>
      </w:pPr>
      <w:r>
        <w:rPr>
          <w:rFonts w:asciiTheme="minorEastAsia" w:eastAsiaTheme="minorEastAsia" w:hAnsiTheme="minorEastAsia" w:hint="eastAsia"/>
          <w:color w:val="000000" w:themeColor="text1"/>
          <w:sz w:val="21"/>
          <w:szCs w:val="21"/>
          <w14:textFill>
            <w14:solidFill>
              <w14:schemeClr w14:val="tx1"/>
            </w14:solidFill>
          </w14:textFill>
        </w:rPr>
        <w:t>表 2</w:t>
      </w:r>
      <w:r>
        <w:rPr>
          <w:rFonts w:asciiTheme="minorEastAsia" w:eastAsiaTheme="minorEastAsia" w:hAnsiTheme="minorEastAsia"/>
          <w:color w:val="000000" w:themeColor="text1"/>
          <w:sz w:val="21"/>
          <w:szCs w:val="21"/>
          <w14:textFill>
            <w14:solidFill>
              <w14:schemeClr w14:val="tx1"/>
            </w14:solidFill>
          </w14:textFill>
        </w:rPr>
        <w:noBreakHyphen/>
      </w:r>
      <w:r>
        <w:rPr>
          <w:rFonts w:asciiTheme="minorEastAsia" w:eastAsiaTheme="minorEastAsia" w:hAnsiTheme="minorEastAsia"/>
          <w:color w:val="000000" w:themeColor="text1"/>
          <w:sz w:val="21"/>
          <w:szCs w:val="21"/>
          <w14:textFill>
            <w14:solidFill>
              <w14:schemeClr w14:val="tx1"/>
            </w14:solidFill>
          </w14:textFill>
        </w:rPr>
        <w:fldChar w:fldCharType="begin"/>
      </w:r>
      <w:r>
        <w:rPr>
          <w:rFonts w:asciiTheme="minorEastAsia" w:eastAsiaTheme="minorEastAsia" w:hAnsiTheme="minorEastAsia"/>
          <w:color w:val="000000" w:themeColor="text1"/>
          <w:sz w:val="21"/>
          <w:szCs w:val="21"/>
          <w14:textFill>
            <w14:solidFill>
              <w14:schemeClr w14:val="tx1"/>
            </w14:solidFill>
          </w14:textFill>
        </w:rPr>
        <w:instrText xml:space="preserve"> </w:instrText>
      </w:r>
      <w:r>
        <w:rPr>
          <w:rFonts w:asciiTheme="minorEastAsia" w:eastAsiaTheme="minorEastAsia" w:hAnsiTheme="minorEastAsia" w:hint="eastAsia"/>
          <w:color w:val="000000" w:themeColor="text1"/>
          <w:sz w:val="21"/>
          <w:szCs w:val="21"/>
          <w14:textFill>
            <w14:solidFill>
              <w14:schemeClr w14:val="tx1"/>
            </w14:solidFill>
          </w14:textFill>
        </w:rPr>
        <w:instrText>SEQ 表 \* ARABIC \s 1</w:instrText>
      </w:r>
      <w:r>
        <w:rPr>
          <w:rFonts w:asciiTheme="minorEastAsia" w:eastAsiaTheme="minorEastAsia" w:hAnsiTheme="minorEastAsia"/>
          <w:color w:val="000000" w:themeColor="text1"/>
          <w:sz w:val="21"/>
          <w:szCs w:val="21"/>
          <w14:textFill>
            <w14:solidFill>
              <w14:schemeClr w14:val="tx1"/>
            </w14:solidFill>
          </w14:textFill>
        </w:rPr>
        <w:instrText xml:space="preserve"> </w:instrText>
      </w:r>
      <w:r>
        <w:rPr>
          <w:rFonts w:asciiTheme="minorEastAsia" w:eastAsiaTheme="minorEastAsia" w:hAnsiTheme="minorEastAsia"/>
          <w:color w:val="000000" w:themeColor="text1"/>
          <w:sz w:val="21"/>
          <w:szCs w:val="21"/>
          <w14:textFill>
            <w14:solidFill>
              <w14:schemeClr w14:val="tx1"/>
            </w14:solidFill>
          </w14:textFill>
        </w:rPr>
        <w:fldChar w:fldCharType="separate"/>
      </w:r>
      <w:r>
        <w:rPr>
          <w:rFonts w:asciiTheme="minorEastAsia" w:eastAsiaTheme="minorEastAsia" w:hAnsiTheme="minorEastAsia"/>
          <w:color w:val="000000" w:themeColor="text1"/>
          <w:sz w:val="21"/>
          <w:szCs w:val="21"/>
          <w14:textFill>
            <w14:solidFill>
              <w14:schemeClr w14:val="tx1"/>
            </w14:solidFill>
          </w14:textFill>
        </w:rPr>
        <w:t>1</w:t>
      </w:r>
      <w:r>
        <w:rPr>
          <w:rFonts w:asciiTheme="minorEastAsia" w:eastAsiaTheme="minorEastAsia" w:hAnsiTheme="minorEastAsia"/>
          <w:color w:val="000000" w:themeColor="text1"/>
          <w:sz w:val="21"/>
          <w:szCs w:val="21"/>
          <w14:textFill>
            <w14:solidFill>
              <w14:schemeClr w14:val="tx1"/>
            </w14:solidFill>
          </w14:textFill>
        </w:rPr>
        <w:fldChar w:fldCharType="end"/>
      </w:r>
      <w:r>
        <w:rPr>
          <w:rFonts w:asciiTheme="minorEastAsia" w:eastAsiaTheme="minorEastAsia" w:hAnsiTheme="minorEastAsia" w:hint="eastAsia"/>
          <w:color w:val="000000" w:themeColor="text1"/>
          <w:sz w:val="21"/>
          <w:szCs w:val="21"/>
          <w14:textFill>
            <w14:solidFill>
              <w14:schemeClr w14:val="tx1"/>
            </w14:solidFill>
          </w14:textFill>
        </w:rPr>
        <w:t>乐高部分主要的积木玩具系列</w:t>
      </w:r>
    </w:p>
    <w:p>
      <w:pPr>
        <w:spacing w:line="240" w:lineRule="auto"/>
        <w:ind w:firstLine="480"/>
        <w:jc w:val="center"/>
      </w:pPr>
      <w:r>
        <w:rPr>
          <w:color w:val="000000" w:themeColor="text1"/>
          <w14:textFill>
            <w14:solidFill>
              <w14:schemeClr w14:val="tx1"/>
            </w14:solidFill>
          </w14:textFill>
        </w:rPr>
        <w:drawing>
          <wp:inline distT="0" distB="0" distL="0" distR="0">
            <wp:extent cx="4018915" cy="6347460"/>
            <wp:effectExtent l="0" t="0" r="635"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1"/>
                    <a:stretch>
                      <a:fillRect/>
                    </a:stretch>
                  </pic:blipFill>
                  <pic:spPr>
                    <a:xfrm>
                      <a:off x="0" y="0"/>
                      <a:ext cx="4024090" cy="6354875"/>
                    </a:xfrm>
                    <a:prstGeom prst="rect">
                      <a:avLst/>
                    </a:prstGeom>
                  </pic:spPr>
                </pic:pic>
              </a:graphicData>
            </a:graphic>
          </wp:inline>
        </w:drawing>
      </w:r>
    </w:p>
    <w:p>
      <w:pPr>
        <w:pStyle w:val="Heading3"/>
        <w:bidi w:val="0"/>
        <w:rPr>
          <w:color w:val="000000" w:themeColor="text1"/>
          <w14:textFill>
            <w14:solidFill>
              <w14:schemeClr w14:val="tx1"/>
            </w14:solidFill>
          </w14:textFill>
        </w:rPr>
      </w:pPr>
      <w:bookmarkStart w:id="17" w:name="_Toc9325"/>
      <w:bookmarkStart w:id="18" w:name="_Toc41079476"/>
      <w:r>
        <w:rPr>
          <w:rFonts w:hint="eastAsia"/>
          <w:color w:val="000000" w:themeColor="text1"/>
          <w14:textFill>
            <w14:solidFill>
              <w14:schemeClr w14:val="tx1"/>
            </w14:solidFill>
          </w14:textFill>
        </w:rPr>
        <w:t>乐高集团的经营现状</w:t>
      </w:r>
      <w:bookmarkEnd w:id="17"/>
      <w:bookmarkEnd w:id="18"/>
    </w:p>
    <w:p>
      <w:pPr>
        <w:ind w:firstLine="480"/>
      </w:pPr>
      <w:r>
        <w:rPr>
          <w:rFonts w:hint="eastAsia"/>
          <w:color w:val="000000" w:themeColor="text1"/>
          <w:lang w:val="en-US" w:eastAsia="zh-CN"/>
          <w14:textFill>
            <w14:solidFill>
              <w14:schemeClr w14:val="tx1"/>
            </w14:solidFill>
          </w14:textFill>
        </w:rPr>
        <w:t>2017年，乐高全球营收超55亿美元，同时利润高达16亿美元，发展成绩喜人，公司的良好发展成绩与其在研发方面的持续投入有着密切关系，</w:t>
      </w:r>
      <w:r>
        <w:rPr>
          <w:rFonts w:hint="eastAsia"/>
          <w:color w:val="000000" w:themeColor="text1"/>
          <w14:textFill>
            <w14:solidFill>
              <w14:schemeClr w14:val="tx1"/>
            </w14:solidFill>
          </w14:textFill>
        </w:rPr>
        <w:t>根据2018年“品牌金融”的公布，乐高品牌已成为世界最具价值的玩具品牌。</w:t>
      </w:r>
    </w:p>
    <w:p>
      <w:pPr>
        <w:ind w:firstLine="480"/>
        <w:sectPr>
          <w:headerReference w:type="default" r:id="rId22"/>
          <w:footerReference w:type="default" r:id="rId23"/>
          <w:type w:val="nextPage"/>
          <w:pgSz w:w="11906" w:h="16838"/>
          <w:pgMar w:top="1440" w:right="1797" w:bottom="1440" w:left="1797" w:header="851" w:footer="992" w:gutter="0"/>
          <w:pgNumType w:fmt="decimal" w:start="5"/>
          <w:cols w:num="1" w:space="425"/>
          <w:titlePg w:val="0"/>
          <w:docGrid w:type="lines" w:linePitch="312" w:charSpace="0"/>
        </w:sectPr>
      </w:pPr>
      <w:r>
        <w:rPr>
          <w:rFonts w:hint="eastAsia"/>
          <w:color w:val="000000" w:themeColor="text1"/>
          <w14:textFill>
            <w14:solidFill>
              <w14:schemeClr w14:val="tx1"/>
            </w14:solidFill>
          </w14:textFill>
        </w:rPr>
        <w:t>2018年</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乐高营收实现了4%的增长，同时净利润增速为3.55%。</w:t>
      </w:r>
    </w:p>
    <w:p>
      <w:pPr>
        <w:ind w:firstLine="480"/>
      </w:pPr>
      <w:r>
        <w:rPr>
          <w:rFonts w:hint="eastAsia"/>
          <w:color w:val="000000" w:themeColor="text1"/>
          <w14:textFill>
            <w14:solidFill>
              <w14:schemeClr w14:val="tx1"/>
            </w14:solidFill>
          </w14:textFill>
        </w:rPr>
        <w:t>全球玩具游戏市场下滑，乐高2018年业绩却恢复增长</w:t>
      </w:r>
    </w:p>
    <w:p>
      <w:pPr>
        <w:ind w:firstLine="480"/>
        <w:rPr>
          <w:rFonts w:hint="default"/>
        </w:rPr>
      </w:pPr>
      <w:r>
        <w:rPr>
          <w:rFonts w:hint="eastAsia"/>
          <w:color w:val="000000" w:themeColor="text1"/>
          <w14:textFill>
            <w14:solidFill>
              <w14:schemeClr w14:val="tx1"/>
            </w14:solidFill>
          </w14:textFill>
        </w:rPr>
        <w:t>在今年乐高</w:t>
      </w:r>
      <w:r>
        <w:rPr>
          <w:rFonts w:hint="eastAsia"/>
          <w:color w:val="000000" w:themeColor="text1"/>
          <w:lang w:val="en-US" w:eastAsia="zh-CN"/>
          <w14:textFill>
            <w14:solidFill>
              <w14:schemeClr w14:val="tx1"/>
            </w14:solidFill>
          </w14:textFill>
        </w:rPr>
        <w:t>所发发布2019年财报来看，乐高年度营收比2017年增长了6%，总营收超385亿丹麦克朗。在公司的长期投入下，净利润增速也只有3%的水平。全球市占率在提升，可见2019年是公司发展业绩喜人的一年。</w:t>
      </w:r>
    </w:p>
    <w:p>
      <w:pPr>
        <w:keepNext/>
        <w:spacing w:line="240" w:lineRule="auto"/>
        <w:ind w:firstLine="0" w:firstLineChars="0"/>
        <w:jc w:val="center"/>
      </w:pPr>
      <w:r>
        <w:rPr>
          <w:color w:val="000000" w:themeColor="text1"/>
          <w14:textFill>
            <w14:solidFill>
              <w14:schemeClr w14:val="tx1"/>
            </w14:solidFill>
          </w14:textFill>
        </w:rPr>
        <w:drawing>
          <wp:inline distT="0" distB="0" distL="0" distR="0">
            <wp:extent cx="4173855" cy="5920740"/>
            <wp:effectExtent l="0" t="0" r="17145" b="3810"/>
            <wp:docPr id="2" name="图片 2" descr="C:\Users\LAUSZE~1\AppData\Local\Temp\WeChat Files\38cfae76359fc477f44bd544f0ab2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AUSZE~1\AppData\Local\Temp\WeChat Files\38cfae76359fc477f44bd544f0ab295.jpg"/>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a:xfrm>
                      <a:off x="0" y="0"/>
                      <a:ext cx="4171682" cy="5917635"/>
                    </a:xfrm>
                    <a:prstGeom prst="rect">
                      <a:avLst/>
                    </a:prstGeom>
                    <a:noFill/>
                    <a:ln>
                      <a:noFill/>
                    </a:ln>
                  </pic:spPr>
                </pic:pic>
              </a:graphicData>
            </a:graphic>
          </wp:inline>
        </w:drawing>
      </w:r>
    </w:p>
    <w:p>
      <w:pPr>
        <w:pStyle w:val="Caption"/>
        <w:ind w:firstLine="420"/>
        <w:jc w:val="center"/>
        <w:rPr>
          <w:rFonts w:asciiTheme="minorEastAsia" w:eastAsiaTheme="minorEastAsia" w:hAnsiTheme="minorEastAsia"/>
          <w:color w:val="000000" w:themeColor="text1"/>
          <w:sz w:val="21"/>
          <w:szCs w:val="21"/>
          <w14:textFill>
            <w14:solidFill>
              <w14:schemeClr w14:val="tx1"/>
            </w14:solidFill>
          </w14:textFill>
        </w:rPr>
      </w:pPr>
      <w:r>
        <w:rPr>
          <w:rFonts w:asciiTheme="minorEastAsia" w:eastAsiaTheme="minorEastAsia" w:hAnsiTheme="minorEastAsia" w:hint="eastAsia"/>
          <w:color w:val="000000" w:themeColor="text1"/>
          <w:sz w:val="21"/>
          <w:szCs w:val="21"/>
          <w14:textFill>
            <w14:solidFill>
              <w14:schemeClr w14:val="tx1"/>
            </w14:solidFill>
          </w14:textFill>
        </w:rPr>
        <w:t>图 2</w:t>
      </w:r>
      <w:r>
        <w:rPr>
          <w:rFonts w:asciiTheme="minorEastAsia" w:eastAsiaTheme="minorEastAsia" w:hAnsiTheme="minorEastAsia"/>
          <w:color w:val="000000" w:themeColor="text1"/>
          <w:sz w:val="21"/>
          <w:szCs w:val="21"/>
          <w14:textFill>
            <w14:solidFill>
              <w14:schemeClr w14:val="tx1"/>
            </w14:solidFill>
          </w14:textFill>
        </w:rPr>
        <w:noBreakHyphen/>
      </w:r>
      <w:r>
        <w:rPr>
          <w:rFonts w:asciiTheme="minorEastAsia" w:eastAsiaTheme="minorEastAsia" w:hAnsiTheme="minorEastAsia"/>
          <w:color w:val="000000" w:themeColor="text1"/>
          <w:sz w:val="21"/>
          <w:szCs w:val="21"/>
          <w14:textFill>
            <w14:solidFill>
              <w14:schemeClr w14:val="tx1"/>
            </w14:solidFill>
          </w14:textFill>
        </w:rPr>
        <w:fldChar w:fldCharType="begin"/>
      </w:r>
      <w:r>
        <w:rPr>
          <w:rFonts w:asciiTheme="minorEastAsia" w:eastAsiaTheme="minorEastAsia" w:hAnsiTheme="minorEastAsia"/>
          <w:color w:val="000000" w:themeColor="text1"/>
          <w:sz w:val="21"/>
          <w:szCs w:val="21"/>
          <w14:textFill>
            <w14:solidFill>
              <w14:schemeClr w14:val="tx1"/>
            </w14:solidFill>
          </w14:textFill>
        </w:rPr>
        <w:instrText xml:space="preserve"> SEQ 图 \* ARABIC \s 1 </w:instrText>
      </w:r>
      <w:r>
        <w:rPr>
          <w:rFonts w:asciiTheme="minorEastAsia" w:eastAsiaTheme="minorEastAsia" w:hAnsiTheme="minorEastAsia"/>
          <w:color w:val="000000" w:themeColor="text1"/>
          <w:sz w:val="21"/>
          <w:szCs w:val="21"/>
          <w14:textFill>
            <w14:solidFill>
              <w14:schemeClr w14:val="tx1"/>
            </w14:solidFill>
          </w14:textFill>
        </w:rPr>
        <w:fldChar w:fldCharType="separate"/>
      </w:r>
      <w:r>
        <w:rPr>
          <w:rFonts w:asciiTheme="minorEastAsia" w:eastAsiaTheme="minorEastAsia" w:hAnsiTheme="minorEastAsia"/>
          <w:color w:val="000000" w:themeColor="text1"/>
          <w:sz w:val="21"/>
          <w:szCs w:val="21"/>
          <w14:textFill>
            <w14:solidFill>
              <w14:schemeClr w14:val="tx1"/>
            </w14:solidFill>
          </w14:textFill>
        </w:rPr>
        <w:t>2</w:t>
      </w:r>
      <w:r>
        <w:rPr>
          <w:rFonts w:asciiTheme="minorEastAsia" w:eastAsiaTheme="minorEastAsia" w:hAnsiTheme="minorEastAsia"/>
          <w:color w:val="000000" w:themeColor="text1"/>
          <w:sz w:val="21"/>
          <w:szCs w:val="21"/>
          <w14:textFill>
            <w14:solidFill>
              <w14:schemeClr w14:val="tx1"/>
            </w14:solidFill>
          </w14:textFill>
        </w:rPr>
        <w:fldChar w:fldCharType="end"/>
      </w:r>
      <w:r>
        <w:rPr>
          <w:rFonts w:asciiTheme="minorEastAsia" w:eastAsiaTheme="minorEastAsia" w:hAnsiTheme="minorEastAsia" w:hint="eastAsia"/>
          <w:color w:val="000000" w:themeColor="text1"/>
          <w:sz w:val="21"/>
          <w:szCs w:val="21"/>
          <w14:textFill>
            <w14:solidFill>
              <w14:schemeClr w14:val="tx1"/>
            </w14:solidFill>
          </w14:textFill>
        </w:rPr>
        <w:t xml:space="preserve"> 2019年乐高集团财务报表</w:t>
      </w:r>
    </w:p>
    <w:p>
      <w:pPr>
        <w:ind w:firstLine="420"/>
        <w:jc w:val="center"/>
        <w:rPr>
          <w:rFonts w:asciiTheme="minorEastAsia" w:hAnsiTheme="minorEastAsia" w:cstheme="majorBidi"/>
          <w:sz w:val="21"/>
          <w:szCs w:val="21"/>
        </w:rPr>
      </w:pPr>
      <w:r>
        <w:rPr>
          <w:rFonts w:asciiTheme="minorEastAsia" w:hAnsiTheme="minorEastAsia" w:cstheme="majorBidi" w:hint="eastAsia"/>
          <w:color w:val="000000" w:themeColor="text1"/>
          <w:sz w:val="21"/>
          <w:szCs w:val="21"/>
          <w14:textFill>
            <w14:solidFill>
              <w14:schemeClr w14:val="tx1"/>
            </w14:solidFill>
          </w14:textFill>
        </w:rPr>
        <w:t>资料来源：乐高官网（</w:t>
      </w:r>
      <w:r>
        <w:rPr>
          <w:rFonts w:asciiTheme="minorEastAsia" w:hAnsiTheme="minorEastAsia" w:cstheme="majorBidi"/>
          <w:color w:val="000000" w:themeColor="text1"/>
          <w:sz w:val="21"/>
          <w:szCs w:val="21"/>
          <w14:textFill>
            <w14:solidFill>
              <w14:schemeClr w14:val="tx1"/>
            </w14:solidFill>
          </w14:textFill>
        </w:rPr>
        <w:t>www.lego.com</w:t>
      </w:r>
      <w:r>
        <w:rPr>
          <w:rFonts w:asciiTheme="minorEastAsia" w:hAnsiTheme="minorEastAsia" w:cstheme="majorBidi" w:hint="eastAsia"/>
          <w:color w:val="000000" w:themeColor="text1"/>
          <w:sz w:val="21"/>
          <w:szCs w:val="21"/>
          <w14:textFill>
            <w14:solidFill>
              <w14:schemeClr w14:val="tx1"/>
            </w14:solidFill>
          </w14:textFill>
        </w:rPr>
        <w:t>）</w:t>
      </w:r>
    </w:p>
    <w:p>
      <w:pPr>
        <w:ind w:firstLine="480"/>
        <w:rPr>
          <w:rFonts w:hint="default"/>
        </w:rPr>
        <w:sectPr>
          <w:headerReference w:type="default" r:id="rId25"/>
          <w:footerReference w:type="default" r:id="rId26"/>
          <w:type w:val="nextPage"/>
          <w:pgSz w:w="11906" w:h="16838"/>
          <w:pgMar w:top="1440" w:right="1797" w:bottom="1440" w:left="1797" w:header="851" w:footer="992" w:gutter="0"/>
          <w:pgNumType w:fmt="decimal" w:start="6"/>
          <w:cols w:num="1" w:space="425"/>
          <w:titlePg w:val="0"/>
          <w:docGrid w:type="lines" w:linePitch="312" w:charSpace="0"/>
        </w:sectPr>
      </w:pPr>
      <w:r>
        <w:rPr>
          <w:rFonts w:hint="eastAsia"/>
          <w:color w:val="000000" w:themeColor="text1"/>
          <w14:textFill>
            <w14:solidFill>
              <w14:schemeClr w14:val="tx1"/>
            </w14:solidFill>
          </w14:textFill>
        </w:rPr>
        <w:t>玩乐方面，2019年新品率达到60%，很好的诠释了乐高集团成功的关键在于不断的创新。在线下，乐高在市场销售方面采取了统一的全球生态系统，去年就新开150家乐高品牌零售店，</w:t>
      </w:r>
    </w:p>
    <w:p>
      <w:pPr>
        <w:ind w:firstLine="480"/>
        <w:rPr>
          <w:rFonts w:hint="default"/>
        </w:rPr>
      </w:pPr>
      <w:r>
        <w:rPr>
          <w:rFonts w:hint="eastAsia"/>
          <w:color w:val="000000" w:themeColor="text1"/>
          <w:lang w:val="en-US" w:eastAsia="zh-CN"/>
          <w14:textFill>
            <w14:solidFill>
              <w14:schemeClr w14:val="tx1"/>
            </w14:solidFill>
          </w14:textFill>
        </w:rPr>
        <w:t>当下在全世界的品牌门店超570家，从中国市场来看，门店数量超140家，分布于35城市当中，在北京、上海都开设了官方旗舰店。乐高在全球发展当中，十分注重中国市场的发展，并逐步拓展在中国市场的发展。2021年，乐高在中国市场新开了80家门店，顺利进入20个新城市发展，实现了全年超一半的计划，并在逐步提升中国门店在全球门店中的占比，最终希望超三成水平。</w:t>
      </w:r>
    </w:p>
    <w:p>
      <w:pPr>
        <w:ind w:firstLine="480"/>
      </w:pPr>
      <w:r>
        <w:rPr>
          <w:rFonts w:hint="eastAsia"/>
          <w:color w:val="000000" w:themeColor="text1"/>
          <w:lang w:val="en-US" w:eastAsia="zh-CN"/>
          <w14:textFill>
            <w14:solidFill>
              <w14:schemeClr w14:val="tx1"/>
            </w14:solidFill>
          </w14:textFill>
        </w:rPr>
        <w:t>乐高在国内市场发展当中，一方面线下发展成绩喜人，另一方面也加强了线上渠道发展，对电商平台开展了升级工作，</w:t>
      </w:r>
      <w:r>
        <w:rPr>
          <w:rFonts w:hint="eastAsia"/>
          <w:color w:val="000000" w:themeColor="text1"/>
          <w14:textFill>
            <w14:solidFill>
              <w14:schemeClr w14:val="tx1"/>
            </w14:solidFill>
          </w14:textFill>
        </w:rPr>
        <w:t>浏览官网的人数数量增加了27%，同时加强了与零售渠道伙伴的合作。根据前瞻产业研究院统计： 2018年玩具/益智线上销售TOP10分别是乐高、奥迪双钻、迪士尼、费雪、可优比、贝恩施、火火兔、澳乐、澳贝、活石。其中乐高线上销售为14.1亿，占比6%，一骑绝尘。</w:t>
      </w:r>
    </w:p>
    <w:p>
      <w:pPr>
        <w:pStyle w:val="Caption"/>
        <w:keepNext/>
        <w:ind w:firstLine="420"/>
        <w:jc w:val="center"/>
        <w:rPr>
          <w:rFonts w:asciiTheme="minorEastAsia" w:eastAsiaTheme="minorEastAsia" w:hAnsiTheme="minorEastAsia"/>
          <w:color w:val="000000" w:themeColor="text1"/>
          <w:sz w:val="21"/>
          <w:szCs w:val="21"/>
          <w14:textFill>
            <w14:solidFill>
              <w14:schemeClr w14:val="tx1"/>
            </w14:solidFill>
          </w14:textFill>
        </w:rPr>
      </w:pPr>
      <w:r>
        <w:rPr>
          <w:rFonts w:asciiTheme="minorEastAsia" w:eastAsiaTheme="minorEastAsia" w:hAnsiTheme="minorEastAsia" w:hint="eastAsia"/>
          <w:color w:val="000000" w:themeColor="text1"/>
          <w:sz w:val="21"/>
          <w:szCs w:val="21"/>
          <w14:textFill>
            <w14:solidFill>
              <w14:schemeClr w14:val="tx1"/>
            </w14:solidFill>
          </w14:textFill>
        </w:rPr>
        <w:t>表 2</w:t>
      </w:r>
      <w:r>
        <w:rPr>
          <w:rFonts w:asciiTheme="minorEastAsia" w:eastAsiaTheme="minorEastAsia" w:hAnsiTheme="minorEastAsia"/>
          <w:color w:val="000000" w:themeColor="text1"/>
          <w:sz w:val="21"/>
          <w:szCs w:val="21"/>
          <w14:textFill>
            <w14:solidFill>
              <w14:schemeClr w14:val="tx1"/>
            </w14:solidFill>
          </w14:textFill>
        </w:rPr>
        <w:noBreakHyphen/>
      </w:r>
      <w:r>
        <w:rPr>
          <w:rFonts w:asciiTheme="minorEastAsia" w:eastAsiaTheme="minorEastAsia" w:hAnsiTheme="minorEastAsia" w:hint="eastAsia"/>
          <w:color w:val="000000" w:themeColor="text1"/>
          <w:sz w:val="21"/>
          <w:szCs w:val="21"/>
          <w14:textFill>
            <w14:solidFill>
              <w14:schemeClr w14:val="tx1"/>
            </w14:solidFill>
          </w14:textFill>
        </w:rPr>
        <w:t>2 2018年玩具/益智线上销售TOP10发展情况</w:t>
      </w:r>
    </w:p>
    <w:p>
      <w:pPr>
        <w:spacing w:line="240" w:lineRule="auto"/>
        <w:ind w:firstLine="0" w:firstLineChars="0"/>
        <w:jc w:val="center"/>
      </w:pPr>
      <w:r>
        <w:rPr>
          <w:rFonts w:hint="eastAsia"/>
          <w:color w:val="000000" w:themeColor="text1"/>
          <w14:textFill>
            <w14:solidFill>
              <w14:schemeClr w14:val="tx1"/>
            </w14:solidFill>
          </w14:textFill>
        </w:rPr>
        <w:drawing>
          <wp:inline distT="0" distB="0" distL="0" distR="0">
            <wp:extent cx="4427855" cy="2489200"/>
            <wp:effectExtent l="0" t="0" r="1079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a:xfrm>
                      <a:off x="0" y="0"/>
                      <a:ext cx="4424309" cy="2486928"/>
                    </a:xfrm>
                    <a:prstGeom prst="rect">
                      <a:avLst/>
                    </a:prstGeom>
                    <a:noFill/>
                    <a:ln>
                      <a:noFill/>
                    </a:ln>
                  </pic:spPr>
                </pic:pic>
              </a:graphicData>
            </a:graphic>
          </wp:inline>
        </w:drawing>
      </w:r>
    </w:p>
    <w:p>
      <w:pPr>
        <w:ind w:firstLine="0" w:firstLineChars="0"/>
        <w:jc w:val="center"/>
        <w:rPr>
          <w:rFonts w:asciiTheme="minorEastAsia" w:hAnsiTheme="minorEastAsia"/>
          <w:sz w:val="21"/>
          <w:szCs w:val="21"/>
        </w:rPr>
      </w:pPr>
      <w:r>
        <w:rPr>
          <w:rFonts w:asciiTheme="minorEastAsia" w:hAnsiTheme="minorEastAsia" w:hint="eastAsia"/>
          <w:color w:val="000000" w:themeColor="text1"/>
          <w:sz w:val="21"/>
          <w:szCs w:val="21"/>
          <w14:textFill>
            <w14:solidFill>
              <w14:schemeClr w14:val="tx1"/>
            </w14:solidFill>
          </w14:textFill>
        </w:rPr>
        <w:t>资料来源：前瞻产业研究院数据</w:t>
      </w:r>
    </w:p>
    <w:p>
      <w:pPr>
        <w:ind w:firstLine="480"/>
        <w:sectPr>
          <w:headerReference w:type="default" r:id="rId28"/>
          <w:footerReference w:type="default" r:id="rId29"/>
          <w:type w:val="nextPage"/>
          <w:pgSz w:w="11906" w:h="16838"/>
          <w:pgMar w:top="1440" w:right="1797" w:bottom="1440" w:left="1797" w:header="851" w:footer="992" w:gutter="0"/>
          <w:pgNumType w:fmt="decimal" w:start="7"/>
          <w:cols w:num="1" w:space="425"/>
          <w:titlePg w:val="0"/>
          <w:docGrid w:type="lines" w:linePitch="312" w:charSpace="0"/>
        </w:sectPr>
      </w:pPr>
      <w:r>
        <w:rPr>
          <w:rFonts w:hint="eastAsia"/>
          <w:color w:val="000000" w:themeColor="text1"/>
          <w14:textFill>
            <w14:solidFill>
              <w14:schemeClr w14:val="tx1"/>
            </w14:solidFill>
          </w14:textFill>
        </w:rPr>
        <w:t>以下是玩具/益智TOP10品牌品牌平台情况，可以看出：LEGO/乐高份额最大，占比6.0%，规模增长43%，在京东占比最高，达58.5%。</w:t>
      </w:r>
    </w:p>
    <w:p>
      <w:pPr>
        <w:keepNext/>
        <w:spacing w:line="240" w:lineRule="auto"/>
        <w:ind w:firstLine="0" w:firstLineChars="0"/>
        <w:jc w:val="center"/>
      </w:pPr>
      <w:r>
        <w:rPr>
          <w:rFonts w:hint="eastAsia"/>
          <w:color w:val="000000" w:themeColor="text1"/>
          <w14:textFill>
            <w14:solidFill>
              <w14:schemeClr w14:val="tx1"/>
            </w14:solidFill>
          </w14:textFill>
        </w:rPr>
        <w:drawing>
          <wp:inline distT="0" distB="0" distL="0" distR="0">
            <wp:extent cx="5274310" cy="3076575"/>
            <wp:effectExtent l="0" t="0" r="2540" b="952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pPr>
        <w:pStyle w:val="Caption"/>
        <w:ind w:firstLine="420"/>
        <w:jc w:val="center"/>
        <w:rPr>
          <w:rFonts w:asciiTheme="minorEastAsia" w:eastAsiaTheme="minorEastAsia" w:hAnsiTheme="minorEastAsia"/>
          <w:color w:val="000000" w:themeColor="text1"/>
          <w:sz w:val="21"/>
          <w:szCs w:val="21"/>
          <w14:textFill>
            <w14:solidFill>
              <w14:schemeClr w14:val="tx1"/>
            </w14:solidFill>
          </w14:textFill>
        </w:rPr>
      </w:pPr>
      <w:r>
        <w:rPr>
          <w:rFonts w:asciiTheme="minorEastAsia" w:eastAsiaTheme="minorEastAsia" w:hAnsiTheme="minorEastAsia" w:hint="eastAsia"/>
          <w:color w:val="000000" w:themeColor="text1"/>
          <w:sz w:val="21"/>
          <w:szCs w:val="21"/>
          <w14:textFill>
            <w14:solidFill>
              <w14:schemeClr w14:val="tx1"/>
            </w14:solidFill>
          </w14:textFill>
        </w:rPr>
        <w:t>图 2</w:t>
      </w:r>
      <w:r>
        <w:rPr>
          <w:rFonts w:asciiTheme="minorEastAsia" w:eastAsiaTheme="minorEastAsia" w:hAnsiTheme="minorEastAsia"/>
          <w:color w:val="000000" w:themeColor="text1"/>
          <w:sz w:val="21"/>
          <w:szCs w:val="21"/>
          <w14:textFill>
            <w14:solidFill>
              <w14:schemeClr w14:val="tx1"/>
            </w14:solidFill>
          </w14:textFill>
        </w:rPr>
        <w:noBreakHyphen/>
      </w:r>
      <w:r>
        <w:rPr>
          <w:rFonts w:asciiTheme="minorEastAsia" w:eastAsiaTheme="minorEastAsia" w:hAnsiTheme="minorEastAsia"/>
          <w:color w:val="000000" w:themeColor="text1"/>
          <w:sz w:val="21"/>
          <w:szCs w:val="21"/>
          <w14:textFill>
            <w14:solidFill>
              <w14:schemeClr w14:val="tx1"/>
            </w14:solidFill>
          </w14:textFill>
        </w:rPr>
        <w:fldChar w:fldCharType="begin"/>
      </w:r>
      <w:r>
        <w:rPr>
          <w:rFonts w:asciiTheme="minorEastAsia" w:eastAsiaTheme="minorEastAsia" w:hAnsiTheme="minorEastAsia"/>
          <w:color w:val="000000" w:themeColor="text1"/>
          <w:sz w:val="21"/>
          <w:szCs w:val="21"/>
          <w14:textFill>
            <w14:solidFill>
              <w14:schemeClr w14:val="tx1"/>
            </w14:solidFill>
          </w14:textFill>
        </w:rPr>
        <w:instrText xml:space="preserve"> SEQ 图 \* ARABIC \s 1 </w:instrText>
      </w:r>
      <w:r>
        <w:rPr>
          <w:rFonts w:asciiTheme="minorEastAsia" w:eastAsiaTheme="minorEastAsia" w:hAnsiTheme="minorEastAsia"/>
          <w:color w:val="000000" w:themeColor="text1"/>
          <w:sz w:val="21"/>
          <w:szCs w:val="21"/>
          <w14:textFill>
            <w14:solidFill>
              <w14:schemeClr w14:val="tx1"/>
            </w14:solidFill>
          </w14:textFill>
        </w:rPr>
        <w:fldChar w:fldCharType="separate"/>
      </w:r>
      <w:r>
        <w:rPr>
          <w:rFonts w:asciiTheme="minorEastAsia" w:eastAsiaTheme="minorEastAsia" w:hAnsiTheme="minorEastAsia"/>
          <w:color w:val="000000" w:themeColor="text1"/>
          <w:sz w:val="21"/>
          <w:szCs w:val="21"/>
          <w14:textFill>
            <w14:solidFill>
              <w14:schemeClr w14:val="tx1"/>
            </w14:solidFill>
          </w14:textFill>
        </w:rPr>
        <w:t>3</w:t>
      </w:r>
      <w:r>
        <w:rPr>
          <w:rFonts w:asciiTheme="minorEastAsia" w:eastAsiaTheme="minorEastAsia" w:hAnsiTheme="minorEastAsia"/>
          <w:color w:val="000000" w:themeColor="text1"/>
          <w:sz w:val="21"/>
          <w:szCs w:val="21"/>
          <w14:textFill>
            <w14:solidFill>
              <w14:schemeClr w14:val="tx1"/>
            </w14:solidFill>
          </w14:textFill>
        </w:rPr>
        <w:fldChar w:fldCharType="end"/>
      </w:r>
      <w:r>
        <w:rPr>
          <w:rFonts w:asciiTheme="minorEastAsia" w:eastAsiaTheme="minorEastAsia" w:hAnsiTheme="minorEastAsia" w:hint="eastAsia"/>
          <w:color w:val="000000" w:themeColor="text1"/>
          <w:sz w:val="21"/>
          <w:szCs w:val="21"/>
          <w14:textFill>
            <w14:solidFill>
              <w14:schemeClr w14:val="tx1"/>
            </w14:solidFill>
          </w14:textFill>
        </w:rPr>
        <w:t xml:space="preserve"> 2018年玩具/益智线上销售TOP10平台销售结构</w:t>
      </w:r>
    </w:p>
    <w:p>
      <w:pPr>
        <w:ind w:firstLine="0" w:firstLineChars="0"/>
        <w:jc w:val="center"/>
        <w:rPr>
          <w:rFonts w:asciiTheme="minorEastAsia" w:hAnsiTheme="minorEastAsia"/>
          <w:sz w:val="21"/>
          <w:szCs w:val="21"/>
        </w:rPr>
      </w:pPr>
      <w:r>
        <w:rPr>
          <w:rFonts w:asciiTheme="minorEastAsia" w:hAnsiTheme="minorEastAsia" w:hint="eastAsia"/>
          <w:color w:val="000000" w:themeColor="text1"/>
          <w:sz w:val="21"/>
          <w:szCs w:val="21"/>
          <w14:textFill>
            <w14:solidFill>
              <w14:schemeClr w14:val="tx1"/>
            </w14:solidFill>
          </w14:textFill>
        </w:rPr>
        <w:t>资料来源：中外玩具网（</w:t>
      </w:r>
      <w:r>
        <w:rPr>
          <w:rFonts w:asciiTheme="minorEastAsia" w:hAnsiTheme="minorEastAsia"/>
          <w:color w:val="000000" w:themeColor="text1"/>
          <w:sz w:val="21"/>
          <w:szCs w:val="21"/>
          <w14:textFill>
            <w14:solidFill>
              <w14:schemeClr w14:val="tx1"/>
            </w14:solidFill>
          </w14:textFill>
        </w:rPr>
        <w:t>news.ctoy.com.cn</w:t>
      </w:r>
      <w:r>
        <w:rPr>
          <w:rFonts w:asciiTheme="minorEastAsia" w:hAnsiTheme="minorEastAsia" w:hint="eastAsia"/>
          <w:color w:val="000000" w:themeColor="text1"/>
          <w:sz w:val="21"/>
          <w:szCs w:val="21"/>
          <w14:textFill>
            <w14:solidFill>
              <w14:schemeClr w14:val="tx1"/>
            </w14:solidFill>
          </w14:textFill>
        </w:rPr>
        <w:t>）</w:t>
      </w:r>
    </w:p>
    <w:p>
      <w:pPr>
        <w:ind w:firstLine="480"/>
      </w:pPr>
      <w:r>
        <w:rPr>
          <w:rFonts w:hint="eastAsia"/>
          <w:color w:val="000000" w:themeColor="text1"/>
          <w14:textFill>
            <w14:solidFill>
              <w14:schemeClr w14:val="tx1"/>
            </w14:solidFill>
          </w14:textFill>
        </w:rPr>
        <w:t>除了线下，乐高近年来考双十一、双十二等大型电商节，乐高销售额节节攀升！根据天猫的双十一数据报告，乐高的销售额增速达到45%。</w:t>
      </w:r>
    </w:p>
    <w:p>
      <w:pPr>
        <w:ind w:firstLine="480"/>
      </w:pPr>
      <w:r>
        <w:rPr>
          <w:rFonts w:hint="eastAsia"/>
          <w:color w:val="000000" w:themeColor="text1"/>
          <w:lang w:val="en-US" w:eastAsia="zh-CN"/>
          <w14:textFill>
            <w14:solidFill>
              <w14:schemeClr w14:val="tx1"/>
            </w14:solidFill>
          </w14:textFill>
        </w:rPr>
        <w:t>乐高在中国市场发展多年，并在国内利用弥补高价格，顺利实现了乐高教育+体验的发展。除门店销售外，公司还在中国传递先进的教育理念，</w:t>
      </w:r>
      <w:r>
        <w:rPr>
          <w:rFonts w:hint="eastAsia"/>
          <w:color w:val="000000" w:themeColor="text1"/>
          <w14:textFill>
            <w14:solidFill>
              <w14:schemeClr w14:val="tx1"/>
            </w14:solidFill>
          </w14:textFill>
        </w:rPr>
        <w:t>积极开发社区市场，与社区展开公益活动，2019年11月，乐高教育便推出了《乐高教育STEAM教程》全系列教程。</w:t>
      </w:r>
    </w:p>
    <w:p>
      <w:pPr>
        <w:ind w:firstLine="480"/>
        <w:rPr>
          <w:rFonts w:hint="default"/>
        </w:rPr>
      </w:pPr>
      <w:r>
        <w:rPr>
          <w:rFonts w:hint="eastAsia"/>
          <w:color w:val="000000" w:themeColor="text1"/>
          <w14:textFill>
            <w14:solidFill>
              <w14:schemeClr w14:val="tx1"/>
            </w14:solidFill>
          </w14:textFill>
        </w:rPr>
        <w:t>零售环境随着社会进步而不断变化。如今，线上销售平台大热，它为消费者提供价值优势和便利性，很多人以为实体店铺也许在现在形势下很难做下去，</w:t>
      </w:r>
      <w:r>
        <w:rPr>
          <w:rFonts w:hint="eastAsia"/>
          <w:color w:val="000000" w:themeColor="text1"/>
          <w14:textFill>
            <w14:solidFill>
              <w14:schemeClr w14:val="tx1"/>
            </w14:solidFill>
          </w14:textFill>
        </w:rPr>
        <w:t>但</w:t>
      </w:r>
      <w:r>
        <w:rPr>
          <w:rFonts w:hint="eastAsia"/>
          <w:color w:val="000000" w:themeColor="text1"/>
          <w:lang w:val="en-US" w:eastAsia="zh-CN"/>
          <w14:textFill>
            <w14:solidFill>
              <w14:schemeClr w14:val="tx1"/>
            </w14:solidFill>
          </w14:textFill>
        </w:rPr>
        <w:t>实体店铺发展需进行转型，消费者希望实体店可提供沉浸式品牌购物体验。乐高中国在投入更多资源用于拓宽销售渠道，并持续加强与合作伙伴的合作。另外，公司还积极对接电商平台，在电商平台上面开设旗舰店，从而积极、主动的发展线上业务，最近还和腾讯签订了战略合作协议，从而给消费者提供特色化的数值体验。</w:t>
      </w:r>
    </w:p>
    <w:p>
      <w:pPr>
        <w:pStyle w:val="Heading3"/>
        <w:bidi w:val="0"/>
        <w:rPr>
          <w:color w:val="000000" w:themeColor="text1"/>
          <w14:textFill>
            <w14:solidFill>
              <w14:schemeClr w14:val="tx1"/>
            </w14:solidFill>
          </w14:textFill>
        </w:rPr>
      </w:pPr>
      <w:bookmarkStart w:id="19" w:name="_Toc20231"/>
      <w:bookmarkStart w:id="20" w:name="_Toc41079477"/>
      <w:r>
        <w:rPr>
          <w:rFonts w:hint="eastAsia"/>
          <w:color w:val="000000" w:themeColor="text1"/>
          <w14:textFill>
            <w14:solidFill>
              <w14:schemeClr w14:val="tx1"/>
            </w14:solidFill>
          </w14:textFill>
        </w:rPr>
        <w:t>乐高集团的营销策略</w:t>
      </w:r>
      <w:bookmarkEnd w:id="19"/>
      <w:bookmarkEnd w:id="20"/>
    </w:p>
    <w:p>
      <w:pPr>
        <w:pStyle w:val="14"/>
        <w:numPr>
          <w:ilvl w:val="0"/>
          <w:numId w:val="8"/>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产品追求高品质</w:t>
      </w:r>
    </w:p>
    <w:p>
      <w:pPr>
        <w:ind w:firstLine="480"/>
        <w:rPr>
          <w:rFonts w:hint="default"/>
        </w:rPr>
        <w:sectPr>
          <w:headerReference w:type="default" r:id="rId31"/>
          <w:footerReference w:type="default" r:id="rId32"/>
          <w:type w:val="nextPage"/>
          <w:pgSz w:w="11906" w:h="16838"/>
          <w:pgMar w:top="1440" w:right="1797" w:bottom="1440" w:left="1797" w:header="851" w:footer="992" w:gutter="0"/>
          <w:pgNumType w:fmt="decimal" w:start="8"/>
          <w:cols w:num="1" w:space="425"/>
          <w:titlePg w:val="0"/>
          <w:docGrid w:type="lines" w:linePitch="312" w:charSpace="0"/>
        </w:sectPr>
      </w:pPr>
      <w:r>
        <w:rPr>
          <w:rFonts w:hint="eastAsia"/>
          <w:color w:val="000000" w:themeColor="text1"/>
          <w14:textFill>
            <w14:solidFill>
              <w14:schemeClr w14:val="tx1"/>
            </w14:solidFill>
          </w14:textFill>
        </w:rPr>
        <w:t>创始人奥利·柯克·克里斯蒂安森</w:t>
      </w:r>
      <w:r>
        <w:rPr>
          <w:rFonts w:hint="eastAsia"/>
          <w:color w:val="000000" w:themeColor="text1"/>
          <w14:textFill>
            <w14:solidFill>
              <w14:schemeClr w14:val="tx1"/>
            </w14:solidFill>
          </w14:textFill>
        </w:rPr>
        <w:t>(Ole Kirk Kristiansen)</w:t>
      </w:r>
      <w:r>
        <w:rPr>
          <w:rFonts w:hint="eastAsia"/>
          <w:color w:val="000000" w:themeColor="text1"/>
          <w:lang w:val="en-US" w:eastAsia="zh-CN"/>
          <w14:textFill>
            <w14:solidFill>
              <w14:schemeClr w14:val="tx1"/>
            </w14:solidFill>
          </w14:textFill>
        </w:rPr>
        <w:t>长期追求高质量产品。对于每一乐高总部员工，他们都会参观创始人所居住过的小型积木大楼，</w:t>
      </w:r>
      <w:r>
        <w:rPr>
          <w:rFonts w:hint="eastAsia"/>
          <w:color w:val="000000" w:themeColor="text1"/>
          <w14:textFill>
            <w14:solidFill>
              <w14:schemeClr w14:val="tx1"/>
            </w14:solidFill>
          </w14:textFill>
        </w:rPr>
        <w:t>这栋建筑物最大的意义在于，让员工们得知公司创始人遗赠的另一个基本价值——“只有做到最好才足够”</w:t>
      </w:r>
      <w:r>
        <w:rPr>
          <w:rFonts w:hint="eastAsia"/>
          <w:color w:val="000000" w:themeColor="text1"/>
          <w14:textFill>
            <w14:solidFill>
              <w14:schemeClr w14:val="tx1"/>
            </w14:solidFill>
          </w14:textFill>
        </w:rPr>
        <w:t>(英语</w:t>
      </w:r>
      <w:r>
        <w:rPr>
          <w:rFonts w:hint="eastAsia"/>
          <w:color w:val="000000" w:themeColor="text1"/>
          <w:lang w:val="en-US" w:eastAsia="zh-CN"/>
          <w14:textFill>
            <w14:solidFill>
              <w14:schemeClr w14:val="tx1"/>
            </w14:solidFill>
          </w14:textFill>
        </w:rPr>
        <w:t>名称为</w:t>
      </w:r>
      <w:r>
        <w:rPr>
          <w:rFonts w:hint="eastAsia"/>
          <w:color w:val="000000" w:themeColor="text1"/>
          <w14:textFill>
            <w14:solidFill>
              <w14:schemeClr w14:val="tx1"/>
            </w14:solidFill>
          </w14:textFill>
        </w:rPr>
        <w:t>“Only the best is worthy”)。</w:t>
      </w:r>
      <w:r>
        <w:rPr>
          <w:rFonts w:hint="eastAsia"/>
          <w:color w:val="000000" w:themeColor="text1"/>
          <w:lang w:val="en-US" w:eastAsia="zh-CN"/>
          <w14:textFill>
            <w14:solidFill>
              <w14:schemeClr w14:val="tx1"/>
            </w14:solidFill>
          </w14:textFill>
        </w:rPr>
        <w:t>对于此格言，HIA是公司坚持的准则。</w:t>
      </w:r>
    </w:p>
    <w:p>
      <w:pPr>
        <w:ind w:firstLine="480"/>
      </w:pPr>
      <w:r>
        <w:rPr>
          <w:rFonts w:hint="eastAsia"/>
          <w:color w:val="000000" w:themeColor="text1"/>
          <w:lang w:val="en-US" w:eastAsia="zh-CN"/>
          <w14:textFill>
            <w14:solidFill>
              <w14:schemeClr w14:val="tx1"/>
            </w14:solidFill>
          </w14:textFill>
        </w:rPr>
        <w:t>乐高推出的每一块积木，其制作当中都会经历三大核心环节，其一为模塑，其二为上色，其三为包装，同时在生产当中开展严格测试。在严格的生产管理下，每块乐高积木，拥有超20万次的插拔寿命，这是其他玩具企业所难以实现的，同时也展示出了乐高产品的质量过硬。在环保理念深入人心的环境下，乐高也在2015年设置了可持续材料中心，从而逐步用环保材料来制作玩具，并未环保事业发展做出公司的贡献，提升消费者的消费感知。对于乐高材料，其误差在0.004mm内，可见误差之小。从2009年到现在，乐高产品在全世界都没有开展召回工作。产品的设计独特，产品质量过硬，产品的材质要求很高，由此确保了产品不会随温度变化而出现收缩膨胀，</w:t>
      </w:r>
      <w:r>
        <w:rPr>
          <w:rFonts w:hint="eastAsia"/>
          <w:color w:val="000000" w:themeColor="text1"/>
          <w14:textFill>
            <w14:solidFill>
              <w14:schemeClr w14:val="tx1"/>
            </w14:solidFill>
          </w14:textFill>
        </w:rPr>
        <w:t>影响拼接体验！使得60年前生产的乐高积木仍旧能和如今的乐高积木拼搭在一起。高品质是公司立足高端市场的基础，是其定价很高却依旧能风靡全球的重要原因之一。</w:t>
      </w:r>
    </w:p>
    <w:p>
      <w:pPr>
        <w:pStyle w:val="14"/>
        <w:numPr>
          <w:ilvl w:val="0"/>
          <w:numId w:val="2"/>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注重创新</w:t>
      </w:r>
    </w:p>
    <w:p>
      <w:pPr>
        <w:ind w:firstLine="480"/>
      </w:pPr>
      <w:r>
        <w:rPr>
          <w:rFonts w:hint="eastAsia"/>
          <w:color w:val="000000" w:themeColor="text1"/>
          <w14:textFill>
            <w14:solidFill>
              <w14:schemeClr w14:val="tx1"/>
            </w14:solidFill>
          </w14:textFill>
        </w:rPr>
        <w:t>2019年新品率达到60%，很好的诠释了乐高集团成功的关键在于不断的创新。</w:t>
      </w:r>
      <w:r>
        <w:rPr>
          <w:rFonts w:hint="eastAsia"/>
          <w:color w:val="000000" w:themeColor="text1"/>
          <w14:textFill>
            <w14:solidFill>
              <w14:schemeClr w14:val="tx1"/>
            </w14:solidFill>
          </w14:textFill>
        </w:rPr>
        <w:t>年度乐高最畅销主题系列包括：乐高城市组、乐高创意百变系列、乐高好朋友系列等……</w:t>
      </w:r>
    </w:p>
    <w:p>
      <w:pPr>
        <w:ind w:firstLine="480"/>
      </w:pPr>
      <w:r>
        <w:rPr>
          <w:rFonts w:hint="eastAsia"/>
          <w:color w:val="000000" w:themeColor="text1"/>
          <w:lang w:val="en-US" w:eastAsia="zh-CN"/>
          <w14:textFill>
            <w14:solidFill>
              <w14:schemeClr w14:val="tx1"/>
            </w14:solidFill>
          </w14:textFill>
        </w:rPr>
        <w:t>乐高在发展的低谷时期，积极的运用保洁公司等运用的商界创新七法则。对于此法则，乐高运用了2次。然而，在第一次运用让乐高陷入了发展困境当中，第二次运用实现了图片发展。</w:t>
      </w:r>
      <w:r>
        <w:rPr>
          <w:rFonts w:hint="eastAsia"/>
          <w:color w:val="000000" w:themeColor="text1"/>
          <w14:textFill>
            <w14:solidFill>
              <w14:schemeClr w14:val="tx1"/>
            </w14:solidFill>
          </w14:textFill>
        </w:rPr>
        <w:t>创新七大法则就是：</w:t>
      </w:r>
    </w:p>
    <w:p>
      <w:pPr>
        <w:ind w:firstLine="480"/>
        <w:rPr>
          <w:rFonts w:hint="default"/>
        </w:rPr>
      </w:pPr>
      <w:r>
        <w:rPr>
          <w:rFonts w:hint="eastAsia"/>
          <w:color w:val="000000" w:themeColor="text1"/>
          <w:lang w:val="en-US" w:eastAsia="zh-CN"/>
          <w14:textFill>
            <w14:solidFill>
              <w14:schemeClr w14:val="tx1"/>
            </w14:solidFill>
          </w14:textFill>
        </w:rPr>
        <w:t>招入</w:t>
      </w:r>
      <w:r>
        <w:rPr>
          <w:rFonts w:hint="eastAsia"/>
          <w:color w:val="000000" w:themeColor="text1"/>
          <w14:textFill>
            <w14:solidFill>
              <w14:schemeClr w14:val="tx1"/>
            </w14:solidFill>
          </w14:textFill>
        </w:rPr>
        <w:t>多元和创意人才：</w:t>
      </w:r>
      <w:r>
        <w:rPr>
          <w:rFonts w:hint="eastAsia"/>
          <w:color w:val="000000" w:themeColor="text1"/>
          <w14:textFill>
            <w14:solidFill>
              <w14:schemeClr w14:val="tx1"/>
            </w14:solidFill>
          </w14:textFill>
        </w:rPr>
        <w:t>乐高多年的发展已经拥有自身的粉丝群体，而乐高也擅长将爱好作为工作的粉丝聘请，作为他们的雇员。乐高在招聘的时候却与传统大不相同，没有把传统的学历、</w:t>
      </w:r>
      <w:r>
        <w:rPr>
          <w:rFonts w:hint="eastAsia"/>
          <w:color w:val="000000" w:themeColor="text1"/>
          <w14:textFill>
            <w14:solidFill>
              <w14:schemeClr w14:val="tx1"/>
            </w14:solidFill>
          </w14:textFill>
        </w:rPr>
        <w:t>背景作为考究的标准。</w:t>
      </w:r>
      <w:r>
        <w:rPr>
          <w:rFonts w:hint="eastAsia"/>
          <w:color w:val="000000" w:themeColor="text1"/>
          <w:lang w:val="en-US" w:eastAsia="zh-CN"/>
          <w14:textFill>
            <w14:solidFill>
              <w14:schemeClr w14:val="tx1"/>
            </w14:solidFill>
          </w14:textFill>
        </w:rPr>
        <w:t>选择那些拥有创造力，并喜欢产品的人，此模式是对过去传统模式的一种突破，并实现了招聘成本的下降，增强了员工对公司的认同感。因为对文化素质缺乏硬性邀请，此时公司可从外部获得多元文化、年龄的员工，同时他们可面向新受众的发展，丰富了乐高员工群体，拓展发展了更多受众群体，创造出了新的利润增长点，灵活的运用了人力资源。</w:t>
      </w:r>
    </w:p>
    <w:p>
      <w:pPr>
        <w:ind w:firstLine="480"/>
        <w:sectPr>
          <w:headerReference w:type="default" r:id="rId33"/>
          <w:footerReference w:type="default" r:id="rId34"/>
          <w:type w:val="nextPage"/>
          <w:pgSz w:w="11906" w:h="16838"/>
          <w:pgMar w:top="1440" w:right="1797" w:bottom="1440" w:left="1797" w:header="851" w:footer="992" w:gutter="0"/>
          <w:pgNumType w:fmt="decimal" w:start="9"/>
          <w:cols w:num="1" w:space="425"/>
          <w:titlePg w:val="0"/>
          <w:docGrid w:type="lines" w:linePitch="312" w:charSpace="0"/>
        </w:sectPr>
      </w:pPr>
      <w:r>
        <w:rPr>
          <w:rFonts w:hint="eastAsia"/>
          <w:color w:val="000000" w:themeColor="text1"/>
          <w14:textFill>
            <w14:solidFill>
              <w14:schemeClr w14:val="tx1"/>
            </w14:solidFill>
          </w14:textFill>
        </w:rPr>
        <w:t>前往蓝海市场：“乐高探索”系列的用意，就是要在乐高品牌下生产新的教育玩具，以便在儿童玩具市场中发现蓝海。另一项蓝海行动是，</w:t>
      </w:r>
      <w:r>
        <w:rPr>
          <w:rFonts w:hint="eastAsia"/>
          <w:color w:val="000000" w:themeColor="text1"/>
          <w14:textFill>
            <w14:solidFill>
              <w14:schemeClr w14:val="tx1"/>
            </w14:solidFill>
          </w14:textFill>
        </w:rPr>
        <w:t>乐高</w:t>
      </w:r>
      <w:r>
        <w:rPr>
          <w:rFonts w:hint="eastAsia"/>
          <w:color w:val="000000" w:themeColor="text1"/>
          <w:lang w:val="en-US" w:eastAsia="zh-CN"/>
          <w14:textFill>
            <w14:solidFill>
              <w14:schemeClr w14:val="tx1"/>
            </w14:solidFill>
          </w14:textFill>
        </w:rPr>
        <w:t>从一家玩具制造企业进入到了教育领域发展。乐高教育，其是乐高集团下的一家子公司，创立于1980年，希望给全球师生提供充满挑战、趣味、实践性强的学习教学工具。乐高通过与韩国学习工具公司合作，由此向市场推出了多元产品，并实现了新的发展。</w:t>
      </w:r>
      <w:r>
        <w:rPr>
          <w:rFonts w:hint="eastAsia"/>
          <w:color w:val="000000" w:themeColor="text1"/>
          <w14:textFill>
            <w14:solidFill>
              <w14:schemeClr w14:val="tx1"/>
            </w14:solidFill>
          </w14:textFill>
        </w:rPr>
        <w:t>这个构思是要协助孩子透过实际动手建筑来解决问题，乐高主动协助开发课程及训练人员，并且以乐高教育中心（LEGO</w:t>
      </w:r>
      <w:r>
        <w:rPr>
          <w:rFonts w:hint="eastAsia"/>
          <w:color w:val="000000" w:themeColor="text1"/>
          <w14:textFill>
            <w14:solidFill>
              <w14:schemeClr w14:val="tx1"/>
            </w14:solidFill>
          </w14:textFill>
        </w:rPr>
        <w:t xml:space="preserve"> Education</w:t>
      </w:r>
    </w:p>
    <w:p>
      <w:pPr>
        <w:ind w:firstLine="480"/>
      </w:pPr>
      <w:r>
        <w:rPr>
          <w:rFonts w:hint="eastAsia"/>
          <w:color w:val="000000" w:themeColor="text1"/>
          <w14:textFill>
            <w14:solidFill>
              <w14:schemeClr w14:val="tx1"/>
            </w14:solidFill>
          </w14:textFill>
        </w:rPr>
        <w:t xml:space="preserve"> Centers）发展特殊套装，“寓教于乐”是乐高教育的核心理念。对乐高来说，这就是一个全无竞争的蓝海。STEAM儿童教育理念在世界日渐流行。产品上面，乐高作为玩具界领军进入好莱坞，获得星球大战的授权，销售额瞬间破了记录，星球大战作为乐高的“亲儿子”，在全球范围内伴随影片爆红，其产品一度卖断货。</w:t>
      </w:r>
    </w:p>
    <w:p>
      <w:pPr>
        <w:ind w:firstLine="480"/>
      </w:pPr>
      <w:r>
        <w:rPr>
          <w:rFonts w:hint="eastAsia"/>
          <w:color w:val="000000" w:themeColor="text1"/>
          <w14:textFill>
            <w14:solidFill>
              <w14:schemeClr w14:val="tx1"/>
            </w14:solidFill>
          </w14:textFill>
        </w:rPr>
        <w:t>还有剩下五个法则分别是：顾客导向、</w:t>
      </w:r>
      <w:r>
        <w:rPr>
          <w:rFonts w:hint="eastAsia"/>
          <w:color w:val="000000" w:themeColor="text1"/>
          <w14:textFill>
            <w14:solidFill>
              <w14:schemeClr w14:val="tx1"/>
            </w14:solidFill>
          </w14:textFill>
        </w:rPr>
        <w:t>实行破坏性创新、鼓励开放式创新、探索全方位的创新、建立创新的企业文化。</w:t>
      </w:r>
    </w:p>
    <w:p>
      <w:pPr>
        <w:pStyle w:val="14"/>
        <w:numPr>
          <w:ilvl w:val="0"/>
          <w:numId w:val="2"/>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推行品牌联合战略，以高人气IP拉动积木产品销售</w:t>
      </w:r>
    </w:p>
    <w:p>
      <w:pPr>
        <w:ind w:firstLine="480"/>
        <w:rPr>
          <w:rFonts w:hint="default"/>
        </w:rPr>
      </w:pPr>
      <w:r>
        <w:rPr>
          <w:rFonts w:hint="eastAsia"/>
          <w:color w:val="000000" w:themeColor="text1"/>
          <w:lang w:eastAsia="zh-CN"/>
          <w14:textFill>
            <w14:solidFill>
              <w14:schemeClr w14:val="tx1"/>
            </w14:solidFill>
          </w14:textFill>
        </w:rPr>
        <w:t>在</w:t>
      </w:r>
      <w:r>
        <w:rPr>
          <w:rFonts w:hint="eastAsia"/>
          <w:color w:val="000000" w:themeColor="text1"/>
          <w:lang w:val="en-US" w:eastAsia="zh-CN"/>
          <w14:textFill>
            <w14:solidFill>
              <w14:schemeClr w14:val="tx1"/>
            </w14:solidFill>
          </w14:textFill>
        </w:rPr>
        <w:t>文化娱乐产业高速发展下，IP授权玩具进入发展快车道。然而，在引入IP开发下，也暴露出了一些问题，引入的IP故事多是西方文化情节，在节日、习惯等诸多方面都与中华文化部符合，由此也难以被消费者所认可。同时引入IP，在文化差异的影响下，此时无法开展深入的开发。然而，2018年，乐高集团向中国市场推出了许多系列的产品，如</w:t>
      </w:r>
      <w:r>
        <w:rPr>
          <w:rFonts w:hint="eastAsia"/>
          <w:color w:val="000000" w:themeColor="text1"/>
          <w14:textFill>
            <w14:solidFill>
              <w14:schemeClr w14:val="tx1"/>
            </w14:solidFill>
          </w14:textFill>
        </w:rPr>
        <w:t>“中国风系列套装”，</w:t>
      </w:r>
      <w:r>
        <w:rPr>
          <w:rFonts w:hint="eastAsia"/>
          <w:color w:val="000000" w:themeColor="text1"/>
          <w:lang w:val="en-US" w:eastAsia="zh-CN"/>
          <w14:textFill>
            <w14:solidFill>
              <w14:schemeClr w14:val="tx1"/>
            </w14:solidFill>
          </w14:textFill>
        </w:rPr>
        <w:t>其拥有很强的中国传统文化元素，赢得了消费者的广泛认可，并给予了消费者以新意。</w:t>
      </w:r>
    </w:p>
    <w:p>
      <w:pPr>
        <w:ind w:firstLine="480"/>
      </w:pPr>
      <w:r>
        <w:rPr>
          <w:rFonts w:hint="eastAsia"/>
          <w:color w:val="000000" w:themeColor="text1"/>
          <w:lang w:val="en-US" w:eastAsia="zh-CN"/>
          <w14:textFill>
            <w14:solidFill>
              <w14:schemeClr w14:val="tx1"/>
            </w14:solidFill>
          </w14:textFill>
        </w:rPr>
        <w:t>进入新世纪后，乐高获得了多个授权，如，超级英雄、我的世界、魔界等，由此实现了在女性玩家方面的市场发展，并得到了</w:t>
      </w:r>
      <w:r>
        <w:rPr>
          <w:rFonts w:hint="eastAsia"/>
          <w:color w:val="000000" w:themeColor="text1"/>
          <w14:textFill>
            <w14:solidFill>
              <w14:schemeClr w14:val="tx1"/>
            </w14:solidFill>
          </w14:textFill>
        </w:rPr>
        <w:t>美泰芭比娃娃的消费者。</w:t>
      </w:r>
      <w:r>
        <w:rPr>
          <w:rFonts w:hint="eastAsia"/>
          <w:color w:val="000000" w:themeColor="text1"/>
          <w14:textFill>
            <w14:solidFill>
              <w14:schemeClr w14:val="tx1"/>
            </w14:solidFill>
          </w14:textFill>
        </w:rPr>
        <w:t>今年3月12日，乐高集团破天荒跟电子游戏龙头任天堂合作，任天堂的游戏备受消费者青睐，两者结合，打破传统电子游戏墙壁，将电子游戏的美妙跟拼插玩具结合起来，创造全新的游玩方式，带来更多乐趣。</w:t>
      </w:r>
    </w:p>
    <w:p>
      <w:pPr>
        <w:pStyle w:val="14"/>
        <w:numPr>
          <w:ilvl w:val="0"/>
          <w:numId w:val="2"/>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饥饿营销激发消费者购买欲</w:t>
      </w:r>
    </w:p>
    <w:p>
      <w:pPr>
        <w:pStyle w:val="14"/>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近几年更是通过绝版加出新的策略，提升了乐高积木的品牌价值，使乐高拥有了投资收藏的属性，也有人认为“乐高是21世纪最靠谱的理财工具”，也就是说，乐高的玩具拥有了使用价值和投资价值。乐高的使用价值是人们通过拼砌或摆放观赏而获得满足感，另一个投资价值是由于乐高的绝版使它未来能以更高的价格卖出去所带来的价值，例如比特币的投资价值，乐高绝版的投资价值来源于该套装在市场上的供给变少，而随着新玩家的加入需求会增多，</w:t>
      </w:r>
      <w:r>
        <w:rPr>
          <w:rFonts w:hint="eastAsia"/>
          <w:color w:val="000000" w:themeColor="text1"/>
          <w14:textFill>
            <w14:solidFill>
              <w14:schemeClr w14:val="tx1"/>
            </w14:solidFill>
          </w14:textFill>
        </w:rPr>
        <w:t>需</w:t>
      </w:r>
      <w:r>
        <w:rPr>
          <w:rFonts w:hint="eastAsia"/>
          <w:color w:val="000000" w:themeColor="text1"/>
          <w:lang w:val="en-US" w:eastAsia="zh-CN"/>
          <w14:textFill>
            <w14:solidFill>
              <w14:schemeClr w14:val="tx1"/>
            </w14:solidFill>
          </w14:textFill>
        </w:rPr>
        <w:t>求大于供应，由此促进了套装的升值。从俄罗斯国立高等经济学院对乐高开展的调查可知，在1987-2015年期间，乐高套装在回报率方面表现优秀，平均值是11%</w:t>
      </w:r>
      <w:r>
        <w:rPr>
          <w:rFonts w:hint="eastAsia"/>
          <w:color w:val="000000" w:themeColor="text1"/>
          <w14:textFill>
            <w14:solidFill>
              <w14:schemeClr w14:val="tx1"/>
            </w14:solidFill>
          </w14:textFill>
        </w:rPr>
        <w:t>，</w:t>
      </w:r>
      <w:r>
        <w:rPr>
          <w:rFonts w:hint="eastAsia"/>
          <w:color w:val="000000" w:themeColor="text1"/>
          <w14:textFill>
            <w14:solidFill>
              <w14:schemeClr w14:val="tx1"/>
            </w14:solidFill>
          </w14:textFill>
        </w:rPr>
        <w:t>足足超过黄金的9.6%，是20世纪前后近30年少有的低风险高收益投资标的。</w:t>
      </w:r>
    </w:p>
    <w:p>
      <w:pPr>
        <w:pStyle w:val="14"/>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据调查，一套乐高玩具一般在市场上的生命周期在两年左右，两年之后，乐高厂家将不再进行生产和市场售卖，而2018年底新出的亚洲限定年夜饭套装更是在一年便绝版，这种不断上新不断绝版的饥饿营销促使了玩家不断购买新的套装，这种饥饿营销的策略不仅仅增加了销量，最重要的是还提升了品牌价值。</w:t>
      </w:r>
    </w:p>
    <w:p>
      <w:pPr>
        <w:pStyle w:val="14"/>
        <w:numPr>
          <w:ilvl w:val="0"/>
          <w:numId w:val="2"/>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通过社交媒体、品牌零售店等与粉丝及消费者建立紧密联系</w:t>
      </w:r>
    </w:p>
    <w:p>
      <w:pPr>
        <w:ind w:firstLine="480"/>
        <w:sectPr>
          <w:headerReference w:type="default" r:id="rId35"/>
          <w:footerReference w:type="default" r:id="rId36"/>
          <w:type w:val="nextPage"/>
          <w:pgSz w:w="11906" w:h="16838"/>
          <w:pgMar w:top="1440" w:right="1797" w:bottom="1440" w:left="1797" w:header="851" w:footer="992" w:gutter="0"/>
          <w:pgNumType w:fmt="decimal" w:start="10"/>
          <w:cols w:num="1" w:space="425"/>
          <w:titlePg w:val="0"/>
          <w:docGrid w:type="lines" w:linePitch="312" w:charSpace="0"/>
        </w:sectPr>
      </w:pPr>
      <w:r>
        <w:rPr>
          <w:rFonts w:hint="eastAsia"/>
          <w:color w:val="000000" w:themeColor="text1"/>
          <w14:textFill>
            <w14:solidFill>
              <w14:schemeClr w14:val="tx1"/>
            </w14:solidFill>
          </w14:textFill>
        </w:rPr>
        <w:t>乐高集团通过社交媒体与消费者密切交流和互动，</w:t>
      </w:r>
    </w:p>
    <w:p>
      <w:pPr>
        <w:ind w:firstLine="480"/>
      </w:pPr>
      <w:r>
        <w:rPr>
          <w:rFonts w:hint="eastAsia"/>
          <w:color w:val="000000" w:themeColor="text1"/>
          <w:lang w:val="en-US" w:eastAsia="zh-CN"/>
          <w14:textFill>
            <w14:solidFill>
              <w14:schemeClr w14:val="tx1"/>
            </w14:solidFill>
          </w14:textFill>
        </w:rPr>
        <w:t>当下已在微信、小红书等人流量大的社交媒体积极的与粉丝开展互动交流，由此提升消费粘性。对于公司官网，其为满足各地市场消费者的需求，提供了19种语言版本，从而帮助更多粉丝去了解企业产品、企业文化、价值观等，获得更好的体验，并进一步提升品牌知名度</w:t>
      </w:r>
      <w:r>
        <w:rPr>
          <w:color w:val="000000" w:themeColor="text1"/>
          <w:vertAlign w:val="superscript"/>
          <w14:textFill>
            <w14:solidFill>
              <w14:schemeClr w14:val="tx1"/>
            </w14:solidFill>
          </w14:textFill>
        </w:rPr>
        <w:fldChar w:fldCharType="begin"/>
      </w:r>
      <w:r>
        <w:rPr>
          <w:color w:val="000000" w:themeColor="text1"/>
          <w:vertAlign w:val="superscript"/>
          <w14:textFill>
            <w14:solidFill>
              <w14:schemeClr w14:val="tx1"/>
            </w14:solidFill>
          </w14:textFill>
        </w:rPr>
        <w:instrText xml:space="preserve"> </w:instrText>
      </w:r>
      <w:r>
        <w:rPr>
          <w:rFonts w:hint="eastAsia"/>
          <w:color w:val="000000" w:themeColor="text1"/>
          <w:vertAlign w:val="superscript"/>
          <w14:textFill>
            <w14:solidFill>
              <w14:schemeClr w14:val="tx1"/>
            </w14:solidFill>
          </w14:textFill>
        </w:rPr>
        <w:instrText>REF _Ref38397305 \r \h</w:instrText>
      </w:r>
      <w:r>
        <w:rPr>
          <w:color w:val="000000" w:themeColor="text1"/>
          <w:vertAlign w:val="superscript"/>
          <w14:textFill>
            <w14:solidFill>
              <w14:schemeClr w14:val="tx1"/>
            </w14:solidFill>
          </w14:textFill>
        </w:rPr>
        <w:instrText xml:space="preserve">  \* MERGEFORMAT </w:instrText>
      </w:r>
      <w:r>
        <w:rPr>
          <w:color w:val="000000" w:themeColor="text1"/>
          <w:vertAlign w:val="superscript"/>
          <w14:textFill>
            <w14:solidFill>
              <w14:schemeClr w14:val="tx1"/>
            </w14:solidFill>
          </w14:textFill>
        </w:rPr>
        <w:fldChar w:fldCharType="separate"/>
      </w:r>
      <w:r>
        <w:rPr>
          <w:color w:val="000000" w:themeColor="text1"/>
          <w:vertAlign w:val="superscript"/>
          <w14:textFill>
            <w14:solidFill>
              <w14:schemeClr w14:val="tx1"/>
            </w14:solidFill>
          </w14:textFill>
        </w:rPr>
        <w:t>[1]</w:t>
      </w:r>
      <w:r>
        <w:rPr>
          <w:color w:val="000000" w:themeColor="text1"/>
          <w:vertAlign w:val="superscript"/>
          <w14:textFill>
            <w14:solidFill>
              <w14:schemeClr w14:val="tx1"/>
            </w14:solidFill>
          </w14:textFill>
        </w:rPr>
        <w:fldChar w:fldCharType="end"/>
      </w:r>
      <w:r>
        <w:rPr>
          <w:rFonts w:hint="eastAsia"/>
          <w:color w:val="000000" w:themeColor="text1"/>
          <w14:textFill>
            <w14:solidFill>
              <w14:schemeClr w14:val="tx1"/>
            </w14:solidFill>
          </w14:textFill>
        </w:rPr>
        <w:t xml:space="preserve"> 。</w:t>
      </w:r>
    </w:p>
    <w:p>
      <w:pPr>
        <w:pStyle w:val="14"/>
        <w:numPr>
          <w:ilvl w:val="0"/>
          <w:numId w:val="2"/>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专注于自己最擅长的领域</w:t>
      </w:r>
    </w:p>
    <w:p>
      <w:pPr>
        <w:ind w:firstLine="480"/>
      </w:pPr>
      <w:r>
        <w:rPr>
          <w:rFonts w:hint="eastAsia"/>
          <w:color w:val="000000" w:themeColor="text1"/>
          <w14:textFill>
            <w14:solidFill>
              <w14:schemeClr w14:val="tx1"/>
            </w14:solidFill>
          </w14:textFill>
        </w:rPr>
        <w:t>乐高曾经因为扩展速度过快，发展不同领域的业务深陷困境，后来调整战略，回归最基本的核心业务。懂得割舍，有时可以提供更好的成果，即便你要割舍的事物真的很好。我们在乐高公司总部访谈时，管理人员也认为公司要聚焦于其核心，</w:t>
      </w:r>
      <w:r>
        <w:rPr>
          <w:rFonts w:hint="eastAsia"/>
          <w:color w:val="000000" w:themeColor="text1"/>
          <w:lang w:val="en-US" w:eastAsia="zh-CN"/>
          <w14:textFill>
            <w14:solidFill>
              <w14:schemeClr w14:val="tx1"/>
            </w14:solidFill>
          </w14:textFill>
        </w:rPr>
        <w:t>也就是</w:t>
      </w:r>
      <w:r>
        <w:rPr>
          <w:rFonts w:hint="eastAsia"/>
          <w:color w:val="000000" w:themeColor="text1"/>
          <w14:textFill>
            <w14:solidFill>
              <w14:schemeClr w14:val="tx1"/>
            </w14:solidFill>
          </w14:textFill>
        </w:rPr>
        <w:t>积木(brick)。</w:t>
      </w:r>
    </w:p>
    <w:p>
      <w:pPr>
        <w:ind w:firstLine="480"/>
      </w:pPr>
      <w:r>
        <w:rPr>
          <w:rFonts w:hint="eastAsia"/>
          <w:color w:val="000000" w:themeColor="text1"/>
          <w:lang w:val="en-US" w:eastAsia="zh-CN"/>
          <w14:textFill>
            <w14:solidFill>
              <w14:schemeClr w14:val="tx1"/>
            </w14:solidFill>
          </w14:textFill>
        </w:rPr>
        <w:t>押注积木发展，这拥有很大的发展风险，同时也让积木成为了单一核心产品，需面对大量的对手的竞争。在上世纪五十年代，此种建构式玩具的生产企业有几十家，</w:t>
      </w:r>
      <w:r>
        <w:rPr>
          <w:rFonts w:hint="eastAsia"/>
          <w:color w:val="000000" w:themeColor="text1"/>
          <w14:textFill>
            <w14:solidFill>
              <w14:schemeClr w14:val="tx1"/>
            </w14:solidFill>
          </w14:textFill>
        </w:rPr>
        <w:t>较知名的包括生产橡胶制互锁式积木的Minibrix、小型金属梁柱为组件的Erector等，这些品牌都曾一度在市场上各领风骚，但没有一家是以完整的玩乐系统为基础，后来也渐渐消失了。只有乐高坚持“紧密聚焦、可无限扩充、以积木为中心”的原则，充分整合系统玩具的潜力。</w:t>
      </w:r>
    </w:p>
    <w:p>
      <w:pPr>
        <w:pStyle w:val="14"/>
        <w:numPr>
          <w:ilvl w:val="0"/>
          <w:numId w:val="2"/>
        </w:numPr>
        <w:ind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创意玩乐体验，打通玩具、教育和娱乐的产业链</w:t>
      </w:r>
    </w:p>
    <w:p>
      <w:pPr>
        <w:ind w:firstLine="480"/>
        <w:rPr>
          <w:rFonts w:hint="default"/>
        </w:rPr>
      </w:pPr>
      <w:r>
        <w:rPr>
          <w:rFonts w:hint="eastAsia"/>
          <w:color w:val="000000" w:themeColor="text1"/>
          <w14:textFill>
            <w14:solidFill>
              <w14:schemeClr w14:val="tx1"/>
            </w14:solidFill>
          </w14:textFill>
        </w:rPr>
        <w:t>玩具制造商的眼光不能放在短期的一次性产品，而是让不同的玩具之间有联系。</w:t>
      </w:r>
      <w:r>
        <w:rPr>
          <w:rFonts w:hint="eastAsia"/>
          <w:color w:val="000000" w:themeColor="text1"/>
          <w14:textFill>
            <w14:solidFill>
              <w14:schemeClr w14:val="tx1"/>
            </w14:solidFill>
          </w14:textFill>
        </w:rPr>
        <w:t>当</w:t>
      </w:r>
      <w:r>
        <w:rPr>
          <w:rFonts w:hint="eastAsia"/>
          <w:color w:val="000000" w:themeColor="text1"/>
          <w:lang w:val="en-US" w:eastAsia="zh-CN"/>
          <w14:textFill>
            <w14:solidFill>
              <w14:schemeClr w14:val="tx1"/>
            </w14:solidFill>
          </w14:textFill>
        </w:rPr>
        <w:t>此种联系很强时，此体系才可以长期保持下去。对于乐高的玩乐系统，其中每块积木都可起到连接作用。对于乐高游戏系统，其被全球乐高万家们所喜欢，同时产品种类很多，可满足不同人群的需要。</w:t>
      </w:r>
    </w:p>
    <w:p>
      <w:pPr>
        <w:ind w:firstLine="480"/>
      </w:pPr>
      <w:r>
        <w:rPr>
          <w:rFonts w:hint="eastAsia"/>
          <w:color w:val="000000" w:themeColor="text1"/>
          <w:lang w:val="en-US" w:eastAsia="zh-CN"/>
          <w14:textFill>
            <w14:solidFill>
              <w14:schemeClr w14:val="tx1"/>
            </w14:solidFill>
          </w14:textFill>
        </w:rPr>
        <w:t>乐高积木，其主要面对的是孩子，然而，实际上对接的是父母，因为父母是孩子的决策者，在购买玩具时发挥着关键作用。所以，乐高在发展当中，充分抓住和利用父母的心理，满足父母需求，从而促进产品的销售。到2017年底是，乐高在全球建设了超200个乐高活动中心，同时拥有超300个乐高教育活动点，还有许多合作教育机构，从而全面销售公司产品。</w:t>
      </w:r>
      <w:r>
        <w:rPr>
          <w:rFonts w:hint="eastAsia"/>
          <w:color w:val="000000" w:themeColor="text1"/>
          <w14:textFill>
            <w14:solidFill>
              <w14:schemeClr w14:val="tx1"/>
            </w14:solidFill>
          </w14:textFill>
        </w:rPr>
        <w:t>乐高教育注重思维方式、性格、观察力和专注力的培养，“玩具转化为教育产品”这一举措，</w:t>
      </w:r>
      <w:r>
        <w:rPr>
          <w:rFonts w:hint="eastAsia"/>
          <w:color w:val="000000" w:themeColor="text1"/>
          <w:lang w:val="en-US" w:eastAsia="zh-CN"/>
          <w14:textFill>
            <w14:solidFill>
              <w14:schemeClr w14:val="tx1"/>
            </w14:solidFill>
          </w14:textFill>
        </w:rPr>
        <w:t>刺激了父母去购买产品，并提升了用户粘性，树立起了良好品牌形象。配合一些宣传广告、传单，乐高被许多家长所知晓，</w:t>
      </w:r>
      <w:r>
        <w:rPr>
          <w:rFonts w:hint="eastAsia"/>
          <w:color w:val="000000" w:themeColor="text1"/>
          <w14:textFill>
            <w14:solidFill>
              <w14:schemeClr w14:val="tx1"/>
            </w14:solidFill>
          </w14:textFill>
        </w:rPr>
        <w:t>从而也带动了乐高玩具的销售！</w:t>
      </w:r>
    </w:p>
    <w:p>
      <w:pPr>
        <w:pStyle w:val="Heading1"/>
        <w:spacing w:before="312" w:after="312"/>
        <w:rPr>
          <w:color w:themeColor="text1"/>
          <w14:textFill>
            <w14:solidFill>
              <w14:schemeClr w14:val="tx1"/>
            </w14:solidFill>
          </w14:textFill>
        </w:rPr>
        <w:sectPr>
          <w:headerReference w:type="default" r:id="rId37"/>
          <w:footerReference w:type="default" r:id="rId38"/>
          <w:type w:val="nextPage"/>
          <w:pgSz w:w="11906" w:h="16838"/>
          <w:pgMar w:top="1440" w:right="1797" w:bottom="1440" w:left="1797" w:header="851" w:footer="992" w:gutter="0"/>
          <w:pgNumType w:fmt="decimal" w:start="11"/>
          <w:cols w:num="1" w:space="425"/>
          <w:titlePg w:val="0"/>
          <w:docGrid w:type="lines" w:linePitch="312" w:charSpace="0"/>
        </w:sectPr>
      </w:pPr>
    </w:p>
    <w:p>
      <w:pPr>
        <w:pStyle w:val="Heading1"/>
        <w:bidi w:val="0"/>
        <w:rPr>
          <w:color w:themeColor="text1"/>
          <w14:textFill>
            <w14:solidFill>
              <w14:schemeClr w14:val="tx1"/>
            </w14:solidFill>
          </w14:textFill>
        </w:rPr>
      </w:pPr>
      <w:bookmarkStart w:id="21" w:name="_Toc41079478"/>
      <w:bookmarkStart w:id="22" w:name="_Toc179"/>
      <w:r>
        <w:rPr>
          <w:rFonts w:hint="eastAsia"/>
          <w:color w:val="000000" w:themeColor="text1"/>
          <w14:textFill>
            <w14:solidFill>
              <w14:schemeClr w14:val="tx1"/>
            </w14:solidFill>
          </w14:textFill>
        </w:rPr>
        <w:t>乐高玩具品牌营销策略现存问题</w:t>
      </w:r>
      <w:bookmarkEnd w:id="21"/>
      <w:bookmarkEnd w:id="22"/>
    </w:p>
    <w:p>
      <w:pPr>
        <w:ind w:firstLine="480"/>
      </w:pPr>
      <w:r>
        <w:rPr>
          <w:rFonts w:hint="eastAsia"/>
          <w:color w:val="000000" w:themeColor="text1"/>
          <w14:textFill>
            <w14:solidFill>
              <w14:schemeClr w14:val="tx1"/>
            </w14:solidFill>
          </w14:textFill>
        </w:rPr>
        <w:t>目前乐高在中国国内的发展仍然产品销售为主，我们可以从近十年的乐高授权门店的数量不断增加，国内的乐高的直营店也是不断扩张，甚至连以乐高为主题的乐高乐园也是准备筹备兴建。从直观上来看乐高的发展是随着经济的发展，在我国的知名度不断提高，只要在大型的经济商圈都能找到乐高的产品线的影子，</w:t>
      </w:r>
      <w:r>
        <w:rPr>
          <w:rFonts w:hint="eastAsia"/>
          <w:color w:val="000000" w:themeColor="text1"/>
          <w:lang w:val="en-US" w:eastAsia="zh-CN"/>
          <w14:textFill>
            <w14:solidFill>
              <w14:schemeClr w14:val="tx1"/>
            </w14:solidFill>
          </w14:textFill>
        </w:rPr>
        <w:t>然而，在内陆地区，乐高知名度还需进行大力提高，国内家长认为，积木是孩子的玩具，对7-15岁的小孩而言，积木会影响到孩子的学习，虽然乐高教育可辅助孩子的发展，</w:t>
      </w:r>
      <w:r>
        <w:rPr>
          <w:rFonts w:hint="eastAsia"/>
          <w:color w:val="000000" w:themeColor="text1"/>
          <w14:textFill>
            <w14:solidFill>
              <w14:schemeClr w14:val="tx1"/>
            </w14:solidFill>
          </w14:textFill>
        </w:rPr>
        <w:t>可以说乐高在国内的销售成功很大得益于乐高兴趣班带起，但仍存在不少问题。</w:t>
      </w:r>
    </w:p>
    <w:p>
      <w:pPr>
        <w:pStyle w:val="Heading2"/>
        <w:bidi w:val="0"/>
        <w:rPr>
          <w:color w:val="000000" w:themeColor="text1"/>
          <w14:textFill>
            <w14:solidFill>
              <w14:schemeClr w14:val="tx1"/>
            </w14:solidFill>
          </w14:textFill>
        </w:rPr>
      </w:pPr>
      <w:bookmarkStart w:id="23" w:name="_Toc8511"/>
      <w:bookmarkStart w:id="24" w:name="_Toc41079479"/>
      <w:r>
        <w:rPr>
          <w:color w:val="000000" w:themeColor="text1"/>
          <w14:textFill>
            <w14:solidFill>
              <w14:schemeClr w14:val="tx1"/>
            </w14:solidFill>
          </w14:textFill>
        </w:rPr>
        <w:t>教育培训维权力度不够</w:t>
      </w:r>
      <w:bookmarkEnd w:id="23"/>
      <w:bookmarkEnd w:id="24"/>
    </w:p>
    <w:p>
      <w:pPr>
        <w:ind w:firstLine="480"/>
        <w:rPr>
          <w:rFonts w:hint="eastAsia"/>
        </w:rPr>
      </w:pPr>
      <w:r>
        <w:rPr>
          <w:rFonts w:hint="eastAsia"/>
          <w:color w:val="000000" w:themeColor="text1"/>
          <w14:textFill>
            <w14:solidFill>
              <w14:schemeClr w14:val="tx1"/>
            </w14:solidFill>
          </w14:textFill>
        </w:rPr>
        <w:t>目前乐高正致力于把玩具、教育、娱乐三大产业链打造成主要的品牌业务，乐高把玩具和娱乐结合得很好，但近几年，许多冒仿“乐高教育中心”打着“乐高教育”的名号，而国内很多的乐高机构培训班是没有经过乐高授权的，都是属于侵权开班，利用乐高玩具作为教学工具，</w:t>
      </w:r>
      <w:r>
        <w:rPr>
          <w:rFonts w:hint="eastAsia"/>
          <w:color w:val="000000" w:themeColor="text1"/>
          <w14:textFill>
            <w14:solidFill>
              <w14:schemeClr w14:val="tx1"/>
            </w14:solidFill>
          </w14:textFill>
        </w:rPr>
        <w:t>许多山寨机构</w:t>
      </w:r>
      <w:r>
        <w:rPr>
          <w:rFonts w:hint="eastAsia"/>
          <w:color w:val="000000" w:themeColor="text1"/>
          <w:lang w:val="en-US" w:eastAsia="zh-CN"/>
          <w14:textFill>
            <w14:solidFill>
              <w14:schemeClr w14:val="tx1"/>
            </w14:solidFill>
          </w14:textFill>
        </w:rPr>
        <w:t>利用水货渠道来获得产品，因为是仿制产品，此时产品质量无法保障。然而，收费与正规店基本相当，一些还更高。从正规乐高教育培训机构来看，其对培训老师开展了系统化的专业培训，然而，山寨培训机构的培训教师质量差，管理比较松散。</w:t>
      </w:r>
      <w:r>
        <w:rPr>
          <w:rFonts w:hint="eastAsia"/>
          <w:color w:val="000000" w:themeColor="text1"/>
          <w14:textFill>
            <w14:solidFill>
              <w14:schemeClr w14:val="tx1"/>
            </w14:solidFill>
          </w14:textFill>
        </w:rPr>
        <w:t>从一定程度上，不仅使乐高集团损失一部分的市场份额而且由于培训不专业导致不知情的家长对乐高品牌好感度下降。事实上乐高总部的建立是从2015年开始，因此目前市面上的乐高教育质量参差不齐，对于真正属于本集团的教育支线在本土的发展仍然需要跟国内众多冒牌的机构进行竞争。并且乐高集团既要管理分销产品，又要对教材的本土化，进而提升其产品的知名度。</w:t>
      </w:r>
    </w:p>
    <w:p>
      <w:pPr>
        <w:pStyle w:val="Heading2"/>
        <w:bidi w:val="0"/>
        <w:rPr>
          <w:rFonts w:hint="eastAsia"/>
          <w:color w:val="000000" w:themeColor="text1"/>
          <w14:textFill>
            <w14:solidFill>
              <w14:schemeClr w14:val="tx1"/>
            </w14:solidFill>
          </w14:textFill>
        </w:rPr>
      </w:pPr>
      <w:bookmarkStart w:id="25" w:name="_Toc32565"/>
      <w:bookmarkStart w:id="26" w:name="_Toc41079480"/>
      <w:r>
        <w:rPr>
          <w:rFonts w:hint="eastAsia"/>
          <w:color w:val="000000" w:themeColor="text1"/>
          <w14:textFill>
            <w14:solidFill>
              <w14:schemeClr w14:val="tx1"/>
            </w14:solidFill>
          </w14:textFill>
        </w:rPr>
        <w:t>乐高官网的建设难以提高产品转化率</w:t>
      </w:r>
      <w:bookmarkEnd w:id="25"/>
      <w:bookmarkEnd w:id="26"/>
    </w:p>
    <w:p>
      <w:pPr>
        <w:ind w:firstLine="480"/>
        <w:rPr>
          <w:rFonts w:hint="default"/>
        </w:rPr>
      </w:pPr>
      <w:r>
        <w:rPr>
          <w:rFonts w:hint="eastAsia"/>
          <w:color w:val="000000" w:themeColor="text1"/>
          <w14:textFill>
            <w14:solidFill>
              <w14:schemeClr w14:val="tx1"/>
            </w14:solidFill>
          </w14:textFill>
        </w:rPr>
        <w:t>一个品牌</w:t>
      </w:r>
      <w:r>
        <w:rPr>
          <w:rFonts w:hint="eastAsia"/>
          <w:color w:val="000000" w:themeColor="text1"/>
          <w:lang w:eastAsia="zh-CN"/>
          <w14:textFill>
            <w14:solidFill>
              <w14:schemeClr w14:val="tx1"/>
            </w14:solidFill>
          </w14:textFill>
        </w:rPr>
        <w:t>在</w:t>
      </w:r>
      <w:r>
        <w:rPr>
          <w:rFonts w:hint="eastAsia"/>
          <w:color w:val="000000" w:themeColor="text1"/>
          <w:lang w:val="en-US" w:eastAsia="zh-CN"/>
          <w14:textFill>
            <w14:solidFill>
              <w14:schemeClr w14:val="tx1"/>
            </w14:solidFill>
          </w14:textFill>
        </w:rPr>
        <w:t>官网开展宣传工作，可以促进产品的销售。乐高对于官网开展了升级操作，然而，从用户体验结果来看，展示出了很多不足：</w:t>
      </w:r>
    </w:p>
    <w:p>
      <w:pPr>
        <w:ind w:firstLine="480"/>
        <w:rPr>
          <w:rFonts w:hint="eastAsia"/>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并未</w:t>
      </w:r>
      <w:r>
        <w:rPr>
          <w:rFonts w:hint="eastAsia"/>
          <w:color w:val="000000" w:themeColor="text1"/>
          <w14:textFill>
            <w14:solidFill>
              <w14:schemeClr w14:val="tx1"/>
            </w14:solidFill>
          </w14:textFill>
        </w:rPr>
        <w:t>向顾客</w:t>
      </w:r>
      <w:r>
        <w:rPr>
          <w:rFonts w:hint="eastAsia"/>
          <w:color w:val="000000" w:themeColor="text1"/>
          <w:lang w:val="en-US" w:eastAsia="zh-CN"/>
          <w14:textFill>
            <w14:solidFill>
              <w14:schemeClr w14:val="tx1"/>
            </w14:solidFill>
          </w14:textFill>
        </w:rPr>
        <w:t>传递</w:t>
      </w:r>
      <w:r>
        <w:rPr>
          <w:rFonts w:hint="eastAsia"/>
          <w:color w:val="000000" w:themeColor="text1"/>
          <w14:textFill>
            <w14:solidFill>
              <w14:schemeClr w14:val="tx1"/>
            </w14:solidFill>
          </w14:textFill>
        </w:rPr>
        <w:t>企业的背景故事，</w:t>
      </w:r>
      <w:r>
        <w:rPr>
          <w:rFonts w:hint="eastAsia"/>
          <w:color w:val="000000" w:themeColor="text1"/>
          <w14:textFill>
            <w14:solidFill>
              <w14:schemeClr w14:val="tx1"/>
            </w14:solidFill>
          </w14:textFill>
        </w:rPr>
        <w:t>如果是新的消费者第一次接触乐高，可能以为乐高只是普通的玩具，没有对乐高背景的一个了解。如今电商市场，很多产品就是靠着故事来增加与顾客之间的黏性的；</w:t>
      </w:r>
    </w:p>
    <w:p>
      <w:pPr>
        <w:ind w:firstLine="480"/>
        <w:rPr>
          <w:rFonts w:hint="eastAsia"/>
        </w:rPr>
      </w:pPr>
      <w:r>
        <w:rPr>
          <w:rFonts w:hint="eastAsia"/>
          <w:color w:val="000000" w:themeColor="text1"/>
          <w14:textFill>
            <w14:solidFill>
              <w14:schemeClr w14:val="tx1"/>
            </w14:solidFill>
          </w14:textFill>
        </w:rPr>
        <w:t>（2）在产品上没有一个明确的分类，在官网的指引中，乐高产品的分类仅仅是一个个小的分类，让人看得眼花缭乱，这为顾客挑选产品增加了复杂度；</w:t>
      </w:r>
    </w:p>
    <w:p>
      <w:pPr>
        <w:ind w:firstLine="480"/>
        <w:rPr>
          <w:rFonts w:hint="eastAsia"/>
        </w:rPr>
      </w:pPr>
      <w:r>
        <w:rPr>
          <w:rFonts w:hint="eastAsia"/>
          <w:color w:val="000000" w:themeColor="text1"/>
          <w14:textFill>
            <w14:solidFill>
              <w14:schemeClr w14:val="tx1"/>
            </w14:solidFill>
          </w14:textFill>
        </w:rPr>
        <w:t>（3）缺乏中国地区实体店或线上旗舰店的指引，难以激起顾客的购买欲望。</w:t>
      </w:r>
    </w:p>
    <w:p>
      <w:pPr>
        <w:ind w:firstLine="480"/>
      </w:pPr>
      <w:r>
        <w:rPr>
          <w:color w:val="000000" w:themeColor="text1"/>
          <w14:textFill>
            <w14:solidFill>
              <w14:schemeClr w14:val="tx1"/>
            </w14:solidFill>
          </w14:textFill>
        </w:rPr>
        <w:t>以上的部分不足也导致了消费者难以获取</w:t>
      </w:r>
      <w:r>
        <w:rPr>
          <w:rFonts w:hint="eastAsia"/>
          <w:color w:val="000000" w:themeColor="text1"/>
          <w14:textFill>
            <w14:solidFill>
              <w14:schemeClr w14:val="tx1"/>
            </w14:solidFill>
          </w14:textFill>
        </w:rPr>
        <w:t>明确</w:t>
      </w:r>
      <w:r>
        <w:rPr>
          <w:color w:val="000000" w:themeColor="text1"/>
          <w14:textFill>
            <w14:solidFill>
              <w14:schemeClr w14:val="tx1"/>
            </w14:solidFill>
          </w14:textFill>
        </w:rPr>
        <w:t>的产品信息</w:t>
      </w:r>
      <w:r>
        <w:rPr>
          <w:rFonts w:hint="eastAsia"/>
          <w:color w:val="000000" w:themeColor="text1"/>
          <w14:textFill>
            <w14:solidFill>
              <w14:schemeClr w14:val="tx1"/>
            </w14:solidFill>
          </w14:textFill>
        </w:rPr>
        <w:t>，所以只能让消费者去别的电商平台进行了解，但消费者得到的也未必是正确的信息，所以</w:t>
      </w:r>
      <w:r>
        <w:rPr>
          <w:color w:val="000000" w:themeColor="text1"/>
          <w14:textFill>
            <w14:solidFill>
              <w14:schemeClr w14:val="tx1"/>
            </w14:solidFill>
          </w14:textFill>
        </w:rPr>
        <w:t>对于线上转化率有一定的阻碍</w:t>
      </w:r>
      <w:r>
        <w:rPr>
          <w:rFonts w:hint="eastAsia"/>
          <w:color w:val="000000" w:themeColor="text1"/>
          <w14:textFill>
            <w14:solidFill>
              <w14:schemeClr w14:val="tx1"/>
            </w14:solidFill>
          </w14:textFill>
        </w:rPr>
        <w:t>。</w:t>
      </w:r>
      <w:r>
        <w:br/>
      </w:r>
      <w:r>
        <w:br/>
      </w:r>
    </w:p>
    <w:p>
      <w:pPr>
        <w:widowControl/>
        <w:spacing w:line="240" w:lineRule="auto"/>
        <w:ind w:firstLine="0" w:firstLineChars="0"/>
        <w:jc w:val="left"/>
        <w:rPr>
          <w:rFonts w:ascii="SimSun" w:eastAsia="SimSun" w:hAnsi="SimSun" w:cs="SimSun"/>
          <w:b/>
          <w:bCs/>
          <w:kern w:val="0"/>
          <w:sz w:val="30"/>
          <w:szCs w:val="30"/>
        </w:rPr>
      </w:pPr>
      <w:r>
        <w:rPr>
          <w:rFonts w:ascii="SimSun" w:eastAsia="SimSun" w:hAnsi="SimSun" w:cs="SimSun"/>
          <w:b/>
          <w:bCs/>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https://d.book118.com/927001036112006052</w:t>
        </w:r>
      </w:hyperlink>
    </w:p>
    <w:p>
      <w:pPr>
        <w:ind w:firstLine="480"/>
      </w:pPr>
    </w:p>
    <w:sectPr>
      <w:headerReference w:type="default" r:id="rId40"/>
      <w:footerReference w:type="default" r:id="rId41"/>
      <w:pgSz w:w="11906" w:h="16838"/>
      <w:pgMar w:top="1440" w:right="1797" w:bottom="1440" w:left="1797" w:header="851" w:footer="992" w:gutter="0"/>
      <w:pgNumType w:fmt="decimal" w:start="12"/>
      <w:cols w:num="1" w:space="425"/>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074">
      <wne:acd wne:acdName="acd-1"/>
    </wne:keymap>
    <wne:keymap wne:kcmPrimary="0071">
      <wne:acd wne:acdName="acd-1"/>
    </wne:keymap>
    <wne:keymap wne:kcmPrimary="0072">
      <wne:acd wne:acdName="acd-1"/>
    </wne:keymap>
    <wne:keymap wne:kcmPrimary="0073">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楷体">
    <w:panose1 w:val="02010600040101010101"/>
    <w:charset w:val="86"/>
    <w:family w:val="auto"/>
    <w:pitch w:val="default"/>
    <w:sig w:usb0="00000287" w:usb1="080F0000" w:usb2="00000000" w:usb3="00000000" w:csb0="0004009F" w:csb1="DFD70000"/>
  </w:font>
  <w:font w:name="AdobeHeitiStd-Regular">
    <w:altName w:val="黑体"/>
    <w:panose1 w:val="00000000000000000000"/>
    <w:charset w:val="86"/>
    <w:family w:val="auto"/>
    <w:pitch w:val="default"/>
    <w:sig w:usb0="00000000" w:usb1="00000000" w:usb2="00000010" w:usb3="00000000" w:csb0="0004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20509000000000000"/>
    <w:charset w:val="88"/>
    <w:family w:val="modern"/>
    <w:pitch w:val="default"/>
    <w:sig w:usb0="00000000" w:usb1="00000000" w:usb2="00000016" w:usb3="00000000" w:csb0="00100001" w:csb1="00000000"/>
  </w:font>
  <w:font w:name="华文宋体">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420"/>
      <w:rPr>
        <w:rFonts w:ascii="Times New Roman" w:hAnsi="Times New Roman"/>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420"/>
      <w:rPr>
        <w:rFonts w:ascii="Times New Roman" w:hAnsi="Times New Roman"/>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9270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2244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7521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9039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1687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7586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8127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42043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231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149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2623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ind w:firstLine="0" w:firstLineChars="0"/>
      <w:jc w:val="center"/>
      <w:rPr>
        <w:b w:val="0"/>
        <w:bCs/>
      </w:rPr>
    </w:pPr>
    <w:r>
      <w:rPr>
        <w:rFonts w:eastAsia="黑体" w:hint="eastAsia"/>
        <w:b w:val="0"/>
        <w:bCs/>
        <w:sz w:val="18"/>
        <w:szCs w:val="18"/>
        <w:u w:val="none"/>
      </w:rPr>
      <w:t>乐高玩具品牌在中国的营销策略研究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D6300ED"/>
    <w:multiLevelType w:val="multilevel"/>
    <w:tmpl w:val="9D6300ED"/>
    <w:lvl w:ilvl="0">
      <w:start w:val="1"/>
      <w:numFmt w:val="decimal"/>
      <w:pStyle w:val="Heading1"/>
      <w:lvlText w:val="%1"/>
      <w:lvlJc w:val="left"/>
      <w:pPr>
        <w:ind w:left="432" w:hanging="432"/>
      </w:pPr>
      <w:rPr>
        <w:rFonts w:ascii="宋体" w:eastAsia="宋体" w:hAnsi="宋体" w:cs="宋体" w:hint="default"/>
      </w:rPr>
    </w:lvl>
    <w:lvl w:ilvl="1">
      <w:start w:val="1"/>
      <w:numFmt w:val="decimal"/>
      <w:pStyle w:val="Heading2"/>
      <w:lvlText w:val="%1.%2"/>
      <w:lvlJc w:val="left"/>
      <w:pPr>
        <w:ind w:left="575" w:hanging="575"/>
      </w:pPr>
      <w:rPr>
        <w:rFonts w:ascii="宋体" w:eastAsia="宋体" w:hAnsi="宋体" w:cs="宋体" w:hint="default"/>
      </w:rPr>
    </w:lvl>
    <w:lvl w:ilvl="2">
      <w:start w:val="1"/>
      <w:numFmt w:val="decimal"/>
      <w:pStyle w:val="Heading3"/>
      <w:lvlText w:val="%1.%2.%3"/>
      <w:lvlJc w:val="left"/>
      <w:pPr>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
    <w:nsid w:val="00165767"/>
    <w:multiLevelType w:val="singleLevel"/>
    <w:tmpl w:val="00165767"/>
    <w:lvl w:ilvl="0">
      <w:start w:val="1"/>
      <w:numFmt w:val="decimal"/>
      <w:suff w:val="nothing"/>
      <w:lvlText w:val="[%1]"/>
      <w:lvlJc w:val="left"/>
      <w:pPr>
        <w:ind w:left="0" w:firstLine="403"/>
      </w:pPr>
      <w:rPr>
        <w:rFonts w:hint="default"/>
      </w:rPr>
    </w:lvl>
  </w:abstractNum>
  <w:abstractNum w:abstractNumId="2">
    <w:nsid w:val="1D9B0173"/>
    <w:multiLevelType w:val="multilevel"/>
    <w:tmpl w:val="1D9B017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B3F0EA3"/>
    <w:multiLevelType w:val="multilevel"/>
    <w:tmpl w:val="3B3F0EA3"/>
    <w:lvl w:ilvl="0">
      <w:start w:val="1"/>
      <w:numFmt w:val="japaneseCounting"/>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416343E2"/>
    <w:multiLevelType w:val="multilevel"/>
    <w:tmpl w:val="416343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89A734C"/>
    <w:multiLevelType w:val="multilevel"/>
    <w:tmpl w:val="489A73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1E767F8"/>
    <w:multiLevelType w:val="multilevel"/>
    <w:tmpl w:val="3B3F0EA3"/>
    <w:lvl w:ilvl="0">
      <w:start w:val="1"/>
      <w:numFmt w:val="japaneseCounting"/>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6CF70705"/>
    <w:multiLevelType w:val="multilevel"/>
    <w:tmpl w:val="6CF70705"/>
    <w:lvl w:ilvl="0">
      <w:start w:val="1"/>
      <w:numFmt w:val="japaneseCounting"/>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3"/>
  </w:num>
  <w:num w:numId="3">
    <w:abstractNumId w:val="7"/>
  </w:num>
  <w:num w:numId="4">
    <w:abstractNumId w:val="4"/>
  </w:num>
  <w:num w:numId="5">
    <w:abstractNumId w:val="5"/>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5D30"/>
    <w:rsid w:val="006A6980"/>
    <w:rsid w:val="012704AA"/>
    <w:rsid w:val="0226238D"/>
    <w:rsid w:val="022A725C"/>
    <w:rsid w:val="027139F1"/>
    <w:rsid w:val="02FC2550"/>
    <w:rsid w:val="030D282D"/>
    <w:rsid w:val="0324440F"/>
    <w:rsid w:val="0326778D"/>
    <w:rsid w:val="03746BFF"/>
    <w:rsid w:val="045A0048"/>
    <w:rsid w:val="046371A9"/>
    <w:rsid w:val="0478054F"/>
    <w:rsid w:val="04911893"/>
    <w:rsid w:val="055A5203"/>
    <w:rsid w:val="05862B81"/>
    <w:rsid w:val="058A7AE3"/>
    <w:rsid w:val="059F6437"/>
    <w:rsid w:val="05A209C6"/>
    <w:rsid w:val="05B269C1"/>
    <w:rsid w:val="05CF6AD5"/>
    <w:rsid w:val="06043B32"/>
    <w:rsid w:val="061215FF"/>
    <w:rsid w:val="065B7FD8"/>
    <w:rsid w:val="06D82BB8"/>
    <w:rsid w:val="06FE72FF"/>
    <w:rsid w:val="07606932"/>
    <w:rsid w:val="078D50C6"/>
    <w:rsid w:val="07D07E7D"/>
    <w:rsid w:val="084D6AB4"/>
    <w:rsid w:val="08B5415D"/>
    <w:rsid w:val="08D5328B"/>
    <w:rsid w:val="08F03A7A"/>
    <w:rsid w:val="091652ED"/>
    <w:rsid w:val="09467ADC"/>
    <w:rsid w:val="098B2F0C"/>
    <w:rsid w:val="09BC7B3E"/>
    <w:rsid w:val="09C17E31"/>
    <w:rsid w:val="09E0292B"/>
    <w:rsid w:val="0A176230"/>
    <w:rsid w:val="0A813771"/>
    <w:rsid w:val="0A880AEC"/>
    <w:rsid w:val="0A9D0903"/>
    <w:rsid w:val="0AA518EC"/>
    <w:rsid w:val="0AB063B6"/>
    <w:rsid w:val="0AD124F0"/>
    <w:rsid w:val="0AF05FB0"/>
    <w:rsid w:val="0B6B2BE9"/>
    <w:rsid w:val="0B7B7D3C"/>
    <w:rsid w:val="0B9D5AE3"/>
    <w:rsid w:val="0BA11B38"/>
    <w:rsid w:val="0BF04BC6"/>
    <w:rsid w:val="0BFD344D"/>
    <w:rsid w:val="0C6B11AD"/>
    <w:rsid w:val="0CDB52A7"/>
    <w:rsid w:val="0CE96906"/>
    <w:rsid w:val="0CF340B5"/>
    <w:rsid w:val="0D09561E"/>
    <w:rsid w:val="0D0B6691"/>
    <w:rsid w:val="0D71748D"/>
    <w:rsid w:val="0D7405D6"/>
    <w:rsid w:val="0DAA2983"/>
    <w:rsid w:val="0DAF7E03"/>
    <w:rsid w:val="0DD23E74"/>
    <w:rsid w:val="0DDA0277"/>
    <w:rsid w:val="0E7304BB"/>
    <w:rsid w:val="0EB22906"/>
    <w:rsid w:val="0EBD50DE"/>
    <w:rsid w:val="0F1C118A"/>
    <w:rsid w:val="0F3D40D5"/>
    <w:rsid w:val="0F67460A"/>
    <w:rsid w:val="0FC33D14"/>
    <w:rsid w:val="10025D25"/>
    <w:rsid w:val="106A07C4"/>
    <w:rsid w:val="10824EF6"/>
    <w:rsid w:val="110445AD"/>
    <w:rsid w:val="119545EA"/>
    <w:rsid w:val="12553C38"/>
    <w:rsid w:val="125B32AB"/>
    <w:rsid w:val="12AE2A80"/>
    <w:rsid w:val="131D0F15"/>
    <w:rsid w:val="138265CD"/>
    <w:rsid w:val="13B73562"/>
    <w:rsid w:val="13F01640"/>
    <w:rsid w:val="142C3C7E"/>
    <w:rsid w:val="14507CAD"/>
    <w:rsid w:val="14656BF6"/>
    <w:rsid w:val="14804F31"/>
    <w:rsid w:val="14C3279E"/>
    <w:rsid w:val="155619E4"/>
    <w:rsid w:val="155E12C2"/>
    <w:rsid w:val="158143C5"/>
    <w:rsid w:val="15A34AD9"/>
    <w:rsid w:val="15D5631D"/>
    <w:rsid w:val="15E34A17"/>
    <w:rsid w:val="163319F4"/>
    <w:rsid w:val="166A1D61"/>
    <w:rsid w:val="170E752E"/>
    <w:rsid w:val="176B7D58"/>
    <w:rsid w:val="17755BAD"/>
    <w:rsid w:val="17B41D39"/>
    <w:rsid w:val="17C2589D"/>
    <w:rsid w:val="18312648"/>
    <w:rsid w:val="1875416C"/>
    <w:rsid w:val="18786AF3"/>
    <w:rsid w:val="18887210"/>
    <w:rsid w:val="188B18CB"/>
    <w:rsid w:val="19156AA9"/>
    <w:rsid w:val="191C10B3"/>
    <w:rsid w:val="192C5E7B"/>
    <w:rsid w:val="192D53B0"/>
    <w:rsid w:val="192E709F"/>
    <w:rsid w:val="193F1B03"/>
    <w:rsid w:val="19612C5E"/>
    <w:rsid w:val="19692D9D"/>
    <w:rsid w:val="19D63C2F"/>
    <w:rsid w:val="1A0D44AA"/>
    <w:rsid w:val="1A157038"/>
    <w:rsid w:val="1ABF69AA"/>
    <w:rsid w:val="1ADF480F"/>
    <w:rsid w:val="1AE71CA9"/>
    <w:rsid w:val="1B30557F"/>
    <w:rsid w:val="1BA60DE6"/>
    <w:rsid w:val="1BE51E21"/>
    <w:rsid w:val="1BF45B1E"/>
    <w:rsid w:val="1C1F7A1D"/>
    <w:rsid w:val="1C906251"/>
    <w:rsid w:val="1CA04D39"/>
    <w:rsid w:val="1CBE51A2"/>
    <w:rsid w:val="1CCB4E11"/>
    <w:rsid w:val="1CD82C1F"/>
    <w:rsid w:val="1CF81406"/>
    <w:rsid w:val="1D4816F7"/>
    <w:rsid w:val="1D7B4CE0"/>
    <w:rsid w:val="1D8419A7"/>
    <w:rsid w:val="1D8564ED"/>
    <w:rsid w:val="1DCC0DD1"/>
    <w:rsid w:val="1E2462B0"/>
    <w:rsid w:val="1E273AF6"/>
    <w:rsid w:val="1E2C6D5B"/>
    <w:rsid w:val="1E425271"/>
    <w:rsid w:val="1E5B578F"/>
    <w:rsid w:val="1E7A4D66"/>
    <w:rsid w:val="1EFF3D19"/>
    <w:rsid w:val="1F037268"/>
    <w:rsid w:val="1F29754B"/>
    <w:rsid w:val="20314740"/>
    <w:rsid w:val="204534C4"/>
    <w:rsid w:val="206C1D84"/>
    <w:rsid w:val="20807A4E"/>
    <w:rsid w:val="20BA7EF8"/>
    <w:rsid w:val="20EA6C13"/>
    <w:rsid w:val="21120A3C"/>
    <w:rsid w:val="21272C66"/>
    <w:rsid w:val="212F5454"/>
    <w:rsid w:val="21350617"/>
    <w:rsid w:val="2155267F"/>
    <w:rsid w:val="21AA3579"/>
    <w:rsid w:val="220028ED"/>
    <w:rsid w:val="22086DCA"/>
    <w:rsid w:val="221F3A43"/>
    <w:rsid w:val="223E4A14"/>
    <w:rsid w:val="2285363A"/>
    <w:rsid w:val="234C0162"/>
    <w:rsid w:val="237D6865"/>
    <w:rsid w:val="23977885"/>
    <w:rsid w:val="23AB66FE"/>
    <w:rsid w:val="23B5453D"/>
    <w:rsid w:val="2411628F"/>
    <w:rsid w:val="24652EAE"/>
    <w:rsid w:val="24B14149"/>
    <w:rsid w:val="24D66A16"/>
    <w:rsid w:val="256F2BB7"/>
    <w:rsid w:val="25F42951"/>
    <w:rsid w:val="262C4D30"/>
    <w:rsid w:val="267D7223"/>
    <w:rsid w:val="268A78A1"/>
    <w:rsid w:val="26C65D08"/>
    <w:rsid w:val="26CE2F24"/>
    <w:rsid w:val="273C5221"/>
    <w:rsid w:val="27662C40"/>
    <w:rsid w:val="27914FE2"/>
    <w:rsid w:val="27C6496D"/>
    <w:rsid w:val="27D367E6"/>
    <w:rsid w:val="27FC2DCF"/>
    <w:rsid w:val="28265F04"/>
    <w:rsid w:val="28435645"/>
    <w:rsid w:val="288B0BD6"/>
    <w:rsid w:val="28950B54"/>
    <w:rsid w:val="28E97BB5"/>
    <w:rsid w:val="292216DC"/>
    <w:rsid w:val="296F3FA2"/>
    <w:rsid w:val="29B537C4"/>
    <w:rsid w:val="29BD5D37"/>
    <w:rsid w:val="29D33F9F"/>
    <w:rsid w:val="2A4A335B"/>
    <w:rsid w:val="2A9B0BB3"/>
    <w:rsid w:val="2ADA56EC"/>
    <w:rsid w:val="2B7E1938"/>
    <w:rsid w:val="2B964652"/>
    <w:rsid w:val="2BE33E91"/>
    <w:rsid w:val="2C0E2A17"/>
    <w:rsid w:val="2C550BF7"/>
    <w:rsid w:val="2CD133BB"/>
    <w:rsid w:val="2CD81E1F"/>
    <w:rsid w:val="2CDB0D69"/>
    <w:rsid w:val="2D7C7177"/>
    <w:rsid w:val="2DCE29F9"/>
    <w:rsid w:val="2DEE773A"/>
    <w:rsid w:val="2E871978"/>
    <w:rsid w:val="2EA23265"/>
    <w:rsid w:val="2EF33A85"/>
    <w:rsid w:val="2F2A1224"/>
    <w:rsid w:val="2F9A4866"/>
    <w:rsid w:val="2FAC6275"/>
    <w:rsid w:val="2FAD5F8E"/>
    <w:rsid w:val="2FF2742E"/>
    <w:rsid w:val="2FF467AA"/>
    <w:rsid w:val="301279B2"/>
    <w:rsid w:val="305F3AFC"/>
    <w:rsid w:val="30912AD6"/>
    <w:rsid w:val="317926F4"/>
    <w:rsid w:val="31AF1D67"/>
    <w:rsid w:val="31C27F85"/>
    <w:rsid w:val="31F97A41"/>
    <w:rsid w:val="32366756"/>
    <w:rsid w:val="324D30F8"/>
    <w:rsid w:val="327778FE"/>
    <w:rsid w:val="327E49C3"/>
    <w:rsid w:val="329D279A"/>
    <w:rsid w:val="32CE0423"/>
    <w:rsid w:val="334A2665"/>
    <w:rsid w:val="33774A59"/>
    <w:rsid w:val="33D87B66"/>
    <w:rsid w:val="33E50987"/>
    <w:rsid w:val="34C1570D"/>
    <w:rsid w:val="34EB0611"/>
    <w:rsid w:val="354C370F"/>
    <w:rsid w:val="359E4F0C"/>
    <w:rsid w:val="35C2008D"/>
    <w:rsid w:val="36090452"/>
    <w:rsid w:val="360C04C6"/>
    <w:rsid w:val="36483CD9"/>
    <w:rsid w:val="364F51BA"/>
    <w:rsid w:val="366C17E4"/>
    <w:rsid w:val="36B93600"/>
    <w:rsid w:val="36C564EC"/>
    <w:rsid w:val="36E16233"/>
    <w:rsid w:val="3713140E"/>
    <w:rsid w:val="375B3F5F"/>
    <w:rsid w:val="37CB150D"/>
    <w:rsid w:val="37FA1948"/>
    <w:rsid w:val="381D7D41"/>
    <w:rsid w:val="385C512B"/>
    <w:rsid w:val="393C49E3"/>
    <w:rsid w:val="394B4067"/>
    <w:rsid w:val="395077F8"/>
    <w:rsid w:val="39E74B8B"/>
    <w:rsid w:val="39FC728D"/>
    <w:rsid w:val="3A5D655C"/>
    <w:rsid w:val="3A7D796F"/>
    <w:rsid w:val="3AF059FC"/>
    <w:rsid w:val="3B2444D3"/>
    <w:rsid w:val="3B2C2521"/>
    <w:rsid w:val="3B396281"/>
    <w:rsid w:val="3B7626F3"/>
    <w:rsid w:val="3BD70293"/>
    <w:rsid w:val="3C256AB2"/>
    <w:rsid w:val="3C3C091D"/>
    <w:rsid w:val="3C496752"/>
    <w:rsid w:val="3C4F0136"/>
    <w:rsid w:val="3C7F7202"/>
    <w:rsid w:val="3C82395E"/>
    <w:rsid w:val="3C965E29"/>
    <w:rsid w:val="3CB9529E"/>
    <w:rsid w:val="3CF5102C"/>
    <w:rsid w:val="3D156AE9"/>
    <w:rsid w:val="3D226434"/>
    <w:rsid w:val="3D356CEB"/>
    <w:rsid w:val="3D4E55CF"/>
    <w:rsid w:val="3D5B0E09"/>
    <w:rsid w:val="3D6254B4"/>
    <w:rsid w:val="3D814CAC"/>
    <w:rsid w:val="3D8F3FA0"/>
    <w:rsid w:val="3DA20F0B"/>
    <w:rsid w:val="3DE061BB"/>
    <w:rsid w:val="3E6C1514"/>
    <w:rsid w:val="3E987515"/>
    <w:rsid w:val="3EF667FA"/>
    <w:rsid w:val="3F5A4948"/>
    <w:rsid w:val="3FAB4FF8"/>
    <w:rsid w:val="3FAE00CA"/>
    <w:rsid w:val="3FC21B55"/>
    <w:rsid w:val="3FC9172F"/>
    <w:rsid w:val="3FCD6DAF"/>
    <w:rsid w:val="3FF5543E"/>
    <w:rsid w:val="400D6ACB"/>
    <w:rsid w:val="405F03F8"/>
    <w:rsid w:val="407D164A"/>
    <w:rsid w:val="40E618E0"/>
    <w:rsid w:val="41424482"/>
    <w:rsid w:val="414E5739"/>
    <w:rsid w:val="41C33531"/>
    <w:rsid w:val="41D81FA2"/>
    <w:rsid w:val="420F57A5"/>
    <w:rsid w:val="424B4D57"/>
    <w:rsid w:val="42AE3787"/>
    <w:rsid w:val="42CB158E"/>
    <w:rsid w:val="42EC0F03"/>
    <w:rsid w:val="43337697"/>
    <w:rsid w:val="436C5528"/>
    <w:rsid w:val="43AE2C0B"/>
    <w:rsid w:val="43CE1724"/>
    <w:rsid w:val="43DD75FD"/>
    <w:rsid w:val="43E17A60"/>
    <w:rsid w:val="448B3D33"/>
    <w:rsid w:val="44935B32"/>
    <w:rsid w:val="44EB0F99"/>
    <w:rsid w:val="44ED0455"/>
    <w:rsid w:val="44F41DCB"/>
    <w:rsid w:val="45422FD9"/>
    <w:rsid w:val="454840B5"/>
    <w:rsid w:val="458732BA"/>
    <w:rsid w:val="458A06DA"/>
    <w:rsid w:val="46382AE8"/>
    <w:rsid w:val="46586689"/>
    <w:rsid w:val="465E029E"/>
    <w:rsid w:val="46A37AB4"/>
    <w:rsid w:val="47022AD0"/>
    <w:rsid w:val="47027E4B"/>
    <w:rsid w:val="47176EB1"/>
    <w:rsid w:val="472E6C2A"/>
    <w:rsid w:val="477638F5"/>
    <w:rsid w:val="479836B4"/>
    <w:rsid w:val="47B619E4"/>
    <w:rsid w:val="47C56EDA"/>
    <w:rsid w:val="47F64ABC"/>
    <w:rsid w:val="48364A84"/>
    <w:rsid w:val="4837210A"/>
    <w:rsid w:val="49004CD7"/>
    <w:rsid w:val="492000B1"/>
    <w:rsid w:val="4979659E"/>
    <w:rsid w:val="49F625DC"/>
    <w:rsid w:val="4AE42A5E"/>
    <w:rsid w:val="4AFE6F13"/>
    <w:rsid w:val="4B215C69"/>
    <w:rsid w:val="4B8700E2"/>
    <w:rsid w:val="4B9A3A77"/>
    <w:rsid w:val="4C044FD3"/>
    <w:rsid w:val="4C7950F4"/>
    <w:rsid w:val="4CFD1D7B"/>
    <w:rsid w:val="4DC65DAD"/>
    <w:rsid w:val="4DED4B7F"/>
    <w:rsid w:val="4E417678"/>
    <w:rsid w:val="4E526BA0"/>
    <w:rsid w:val="4E6F591D"/>
    <w:rsid w:val="4E8A7718"/>
    <w:rsid w:val="4E963C04"/>
    <w:rsid w:val="4F6F4AF3"/>
    <w:rsid w:val="50604BD5"/>
    <w:rsid w:val="507E64BA"/>
    <w:rsid w:val="50A54D0D"/>
    <w:rsid w:val="50D81F0A"/>
    <w:rsid w:val="50E96331"/>
    <w:rsid w:val="510D3C1C"/>
    <w:rsid w:val="512049C9"/>
    <w:rsid w:val="513F3973"/>
    <w:rsid w:val="51AF44B3"/>
    <w:rsid w:val="51E15619"/>
    <w:rsid w:val="51F3416F"/>
    <w:rsid w:val="527F4EB1"/>
    <w:rsid w:val="52C97795"/>
    <w:rsid w:val="52F73D98"/>
    <w:rsid w:val="53014446"/>
    <w:rsid w:val="536257A4"/>
    <w:rsid w:val="536E2705"/>
    <w:rsid w:val="53AF3720"/>
    <w:rsid w:val="53B16A1E"/>
    <w:rsid w:val="53D60ABF"/>
    <w:rsid w:val="53E56951"/>
    <w:rsid w:val="540421E9"/>
    <w:rsid w:val="543236D4"/>
    <w:rsid w:val="543306D7"/>
    <w:rsid w:val="544C23AA"/>
    <w:rsid w:val="54882C81"/>
    <w:rsid w:val="54DB65BB"/>
    <w:rsid w:val="54FC499E"/>
    <w:rsid w:val="55276114"/>
    <w:rsid w:val="552B3E73"/>
    <w:rsid w:val="55560D11"/>
    <w:rsid w:val="55B708C4"/>
    <w:rsid w:val="55F33206"/>
    <w:rsid w:val="560A60F8"/>
    <w:rsid w:val="56255A84"/>
    <w:rsid w:val="56303D95"/>
    <w:rsid w:val="56BF79EE"/>
    <w:rsid w:val="56C35FA9"/>
    <w:rsid w:val="57492F43"/>
    <w:rsid w:val="57A80BA6"/>
    <w:rsid w:val="57C54FCF"/>
    <w:rsid w:val="57CD20BC"/>
    <w:rsid w:val="581E19B5"/>
    <w:rsid w:val="582B530A"/>
    <w:rsid w:val="583C229F"/>
    <w:rsid w:val="5857741E"/>
    <w:rsid w:val="58627BAC"/>
    <w:rsid w:val="588F27C1"/>
    <w:rsid w:val="589403C8"/>
    <w:rsid w:val="58B3051C"/>
    <w:rsid w:val="58BD220B"/>
    <w:rsid w:val="59327606"/>
    <w:rsid w:val="5941621B"/>
    <w:rsid w:val="594A5545"/>
    <w:rsid w:val="5993170E"/>
    <w:rsid w:val="59F36EA4"/>
    <w:rsid w:val="59F607D1"/>
    <w:rsid w:val="5A004B96"/>
    <w:rsid w:val="5A1C5167"/>
    <w:rsid w:val="5A552A8B"/>
    <w:rsid w:val="5A6E0A2A"/>
    <w:rsid w:val="5ADB03A3"/>
    <w:rsid w:val="5BBD1B67"/>
    <w:rsid w:val="5BE02BFA"/>
    <w:rsid w:val="5C633F99"/>
    <w:rsid w:val="5C792DE2"/>
    <w:rsid w:val="5C7F3C04"/>
    <w:rsid w:val="5C8645B2"/>
    <w:rsid w:val="5D12779C"/>
    <w:rsid w:val="5D473AD1"/>
    <w:rsid w:val="5D5E42FE"/>
    <w:rsid w:val="5DD559F5"/>
    <w:rsid w:val="5DDA4AEB"/>
    <w:rsid w:val="5E02333A"/>
    <w:rsid w:val="5E3151A6"/>
    <w:rsid w:val="5E3978C7"/>
    <w:rsid w:val="5E7D2916"/>
    <w:rsid w:val="5EB84B4B"/>
    <w:rsid w:val="5ED4553E"/>
    <w:rsid w:val="5F073652"/>
    <w:rsid w:val="5F4B7CE9"/>
    <w:rsid w:val="5F4F55D3"/>
    <w:rsid w:val="5F50535A"/>
    <w:rsid w:val="5FDC74BE"/>
    <w:rsid w:val="602F2D95"/>
    <w:rsid w:val="60B76146"/>
    <w:rsid w:val="60F72A25"/>
    <w:rsid w:val="61530A3B"/>
    <w:rsid w:val="6173506D"/>
    <w:rsid w:val="61EA22D5"/>
    <w:rsid w:val="624C17D9"/>
    <w:rsid w:val="62667CA4"/>
    <w:rsid w:val="62A2070D"/>
    <w:rsid w:val="62BA3053"/>
    <w:rsid w:val="636767AE"/>
    <w:rsid w:val="642711F1"/>
    <w:rsid w:val="643E62FC"/>
    <w:rsid w:val="64635BBE"/>
    <w:rsid w:val="646F1207"/>
    <w:rsid w:val="6481343A"/>
    <w:rsid w:val="64875DEC"/>
    <w:rsid w:val="64FF692B"/>
    <w:rsid w:val="652060DB"/>
    <w:rsid w:val="65380C3C"/>
    <w:rsid w:val="658B70B3"/>
    <w:rsid w:val="659A5816"/>
    <w:rsid w:val="659F14A7"/>
    <w:rsid w:val="65D31E8F"/>
    <w:rsid w:val="65DB3244"/>
    <w:rsid w:val="66E75F06"/>
    <w:rsid w:val="67185754"/>
    <w:rsid w:val="67215196"/>
    <w:rsid w:val="672D3841"/>
    <w:rsid w:val="679E2A23"/>
    <w:rsid w:val="6811531B"/>
    <w:rsid w:val="682B1A7D"/>
    <w:rsid w:val="68757F27"/>
    <w:rsid w:val="687A64B9"/>
    <w:rsid w:val="688D70E2"/>
    <w:rsid w:val="689661CD"/>
    <w:rsid w:val="690E5E8F"/>
    <w:rsid w:val="691925EC"/>
    <w:rsid w:val="697F530A"/>
    <w:rsid w:val="6A107C95"/>
    <w:rsid w:val="6A19122A"/>
    <w:rsid w:val="6A4A6E91"/>
    <w:rsid w:val="6A6A5F3E"/>
    <w:rsid w:val="6A7205ED"/>
    <w:rsid w:val="6A7A10C4"/>
    <w:rsid w:val="6AC742B8"/>
    <w:rsid w:val="6ACC3400"/>
    <w:rsid w:val="6B1A7B97"/>
    <w:rsid w:val="6B4C1A44"/>
    <w:rsid w:val="6B542CE2"/>
    <w:rsid w:val="6BB3321E"/>
    <w:rsid w:val="6BCF7094"/>
    <w:rsid w:val="6BD81164"/>
    <w:rsid w:val="6C446AEF"/>
    <w:rsid w:val="6C626C77"/>
    <w:rsid w:val="6C6A3BB8"/>
    <w:rsid w:val="6C960950"/>
    <w:rsid w:val="6CBA5222"/>
    <w:rsid w:val="6CD1027C"/>
    <w:rsid w:val="6CD530AE"/>
    <w:rsid w:val="6CDD059F"/>
    <w:rsid w:val="6CFB2456"/>
    <w:rsid w:val="6D103335"/>
    <w:rsid w:val="6D5A6F4E"/>
    <w:rsid w:val="6D796FBF"/>
    <w:rsid w:val="6DA46331"/>
    <w:rsid w:val="6E0524B0"/>
    <w:rsid w:val="6E0C311A"/>
    <w:rsid w:val="6E4D19B4"/>
    <w:rsid w:val="6E811701"/>
    <w:rsid w:val="6EFF60B6"/>
    <w:rsid w:val="6F0422A2"/>
    <w:rsid w:val="6F1B6D14"/>
    <w:rsid w:val="6F33158B"/>
    <w:rsid w:val="6F6B7D7D"/>
    <w:rsid w:val="6FA717B1"/>
    <w:rsid w:val="6FCC596C"/>
    <w:rsid w:val="70A73F89"/>
    <w:rsid w:val="70AF36BC"/>
    <w:rsid w:val="70F84523"/>
    <w:rsid w:val="71085EC2"/>
    <w:rsid w:val="715E7030"/>
    <w:rsid w:val="716640C5"/>
    <w:rsid w:val="71A6081F"/>
    <w:rsid w:val="71B4308B"/>
    <w:rsid w:val="71B76FAA"/>
    <w:rsid w:val="71DD50DD"/>
    <w:rsid w:val="720A38A4"/>
    <w:rsid w:val="725E2300"/>
    <w:rsid w:val="72837D39"/>
    <w:rsid w:val="72D93366"/>
    <w:rsid w:val="72FB0441"/>
    <w:rsid w:val="73BF58F4"/>
    <w:rsid w:val="73C8270E"/>
    <w:rsid w:val="740D46AF"/>
    <w:rsid w:val="741C70A1"/>
    <w:rsid w:val="744D523B"/>
    <w:rsid w:val="748C414B"/>
    <w:rsid w:val="749F0DE3"/>
    <w:rsid w:val="74D749D2"/>
    <w:rsid w:val="7562172C"/>
    <w:rsid w:val="76017F1D"/>
    <w:rsid w:val="765959E0"/>
    <w:rsid w:val="769C1BFE"/>
    <w:rsid w:val="76A31D61"/>
    <w:rsid w:val="76CF4272"/>
    <w:rsid w:val="77214A8C"/>
    <w:rsid w:val="7798168A"/>
    <w:rsid w:val="78007CB9"/>
    <w:rsid w:val="78481E5E"/>
    <w:rsid w:val="7897589C"/>
    <w:rsid w:val="78BD7256"/>
    <w:rsid w:val="790E6728"/>
    <w:rsid w:val="793B785E"/>
    <w:rsid w:val="794361BF"/>
    <w:rsid w:val="79AB53F2"/>
    <w:rsid w:val="7A487EAC"/>
    <w:rsid w:val="7A764C81"/>
    <w:rsid w:val="7A77484C"/>
    <w:rsid w:val="7A902877"/>
    <w:rsid w:val="7AC8156A"/>
    <w:rsid w:val="7AF97C30"/>
    <w:rsid w:val="7AFE394A"/>
    <w:rsid w:val="7B2F2CA1"/>
    <w:rsid w:val="7BD37775"/>
    <w:rsid w:val="7BDE4C85"/>
    <w:rsid w:val="7C696526"/>
    <w:rsid w:val="7CBB72E1"/>
    <w:rsid w:val="7E18535A"/>
    <w:rsid w:val="7E493184"/>
    <w:rsid w:val="7E6A53C0"/>
    <w:rsid w:val="7E740EE2"/>
    <w:rsid w:val="7EBD64D7"/>
    <w:rsid w:val="7EE10A34"/>
    <w:rsid w:val="7EE45A91"/>
    <w:rsid w:val="7F566017"/>
    <w:rsid w:val="7F7469E7"/>
    <w:rsid w:val="7FE705AC"/>
    <w:rsid w:val="7FEF04D7"/>
  </w:rsids>
  <w:docVars>
    <w:docVar w:name="commondata" w:val="eyJoZGlkIjoiYmJkMzFlZDU1MGY3MWIxY2MyMjhkMTlhNGVhMDBjO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nhideWhenUsed="0" w:qFormat="1"/>
    <w:lsdException w:name="header" w:semiHidden="0" w:unhideWhenUsed="0" w:qFormat="1"/>
    <w:lsdException w:name="footer" w:semiHidden="0" w:uiPriority="0" w:unhideWhenUsed="0" w:qFormat="1"/>
    <w:lsdException w:name="index heading" w:semiHidden="0" w:uiPriority="0" w:unhideWhenUsed="0"/>
    <w:lsdException w:name="caption" w:semiHidden="0" w:uiPriority="35"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nhideWhenUsed="0" w:qFormat="1"/>
    <w:lsdException w:name="Strong" w:semiHidden="0" w:unhideWhenUsed="0" w:qFormat="1"/>
    <w:lsdException w:name="Emphasis" w:semiHidden="0" w:uiPriority="0" w:unhideWhenUsed="0" w:qFormat="1"/>
    <w:lsdException w:name="Document Map" w:semiHidden="0" w:unhideWhenUsed="0" w:qFormat="1"/>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OAHeading"/>
    <w:qFormat/>
    <w:pPr>
      <w:widowControl w:val="0"/>
      <w:spacing w:line="400" w:lineRule="exact"/>
      <w:ind w:firstLine="482" w:firstLineChars="200"/>
      <w:jc w:val="both"/>
    </w:pPr>
    <w:rPr>
      <w:rFonts w:ascii="宋体" w:eastAsia="宋体" w:hAnsi="宋体" w:cs="Times New Roman"/>
      <w:color w:val="000000" w:themeColor="text1"/>
      <w:kern w:val="2"/>
      <w:sz w:val="24"/>
      <w:szCs w:val="22"/>
      <w:lang w:val="en-US" w:eastAsia="zh-CN" w:bidi="ar-SA"/>
      <w14:textFill>
        <w14:solidFill>
          <w14:schemeClr w14:val="tx1"/>
        </w14:solidFill>
      </w14:textFill>
    </w:rPr>
  </w:style>
  <w:style w:type="paragraph" w:styleId="Heading1">
    <w:name w:val="heading 1"/>
    <w:basedOn w:val="Normal"/>
    <w:next w:val="Normal"/>
    <w:link w:val="10"/>
    <w:autoRedefine/>
    <w:qFormat/>
    <w:pPr>
      <w:widowControl/>
      <w:numPr>
        <w:ilvl w:val="0"/>
        <w:numId w:val="1"/>
      </w:numPr>
      <w:spacing w:before="50" w:beforeLines="50" w:after="50" w:afterLines="50"/>
      <w:ind w:firstLineChars="0"/>
      <w:jc w:val="left"/>
      <w:outlineLvl w:val="0"/>
    </w:pPr>
    <w:rPr>
      <w:rFonts w:ascii="宋体" w:eastAsia="黑体" w:hAnsi="宋体" w:cs="宋体"/>
      <w:b/>
      <w:bCs/>
      <w:color w:val="000000"/>
      <w:kern w:val="36"/>
      <w:sz w:val="32"/>
      <w:szCs w:val="18"/>
    </w:rPr>
  </w:style>
  <w:style w:type="paragraph" w:styleId="Heading2">
    <w:name w:val="heading 2"/>
    <w:basedOn w:val="Normal"/>
    <w:next w:val="Normal"/>
    <w:link w:val="2"/>
    <w:qFormat/>
    <w:pPr>
      <w:keepNext/>
      <w:keepLines/>
      <w:numPr>
        <w:ilvl w:val="1"/>
        <w:numId w:val="1"/>
      </w:numPr>
      <w:spacing w:line="400" w:lineRule="exact"/>
      <w:ind w:left="575" w:hanging="575" w:firstLineChars="0"/>
      <w:jc w:val="left"/>
      <w:outlineLvl w:val="1"/>
    </w:pPr>
    <w:rPr>
      <w:rFonts w:ascii="Arial" w:eastAsia="黑体" w:hAnsi="Arial"/>
      <w:b/>
      <w:bCs/>
      <w:sz w:val="30"/>
      <w:szCs w:val="32"/>
    </w:rPr>
  </w:style>
  <w:style w:type="paragraph" w:styleId="Heading3">
    <w:name w:val="heading 3"/>
    <w:basedOn w:val="Normal"/>
    <w:next w:val="Normal"/>
    <w:link w:val="35"/>
    <w:qFormat/>
    <w:pPr>
      <w:keepNext/>
      <w:keepLines/>
      <w:numPr>
        <w:ilvl w:val="2"/>
        <w:numId w:val="1"/>
      </w:numPr>
      <w:spacing w:line="400" w:lineRule="exact"/>
      <w:ind w:left="720" w:hanging="720" w:firstLineChars="0"/>
      <w:jc w:val="left"/>
      <w:outlineLvl w:val="2"/>
    </w:pPr>
    <w:rPr>
      <w:rFonts w:ascii="Times New Roman" w:eastAsia="黑体" w:hAnsi="Times New Roman"/>
      <w:b/>
      <w:bCs/>
      <w:sz w:val="28"/>
      <w:szCs w:val="32"/>
    </w:rPr>
  </w:style>
  <w:style w:type="paragraph" w:styleId="Heading4">
    <w:name w:val="heading 4"/>
    <w:basedOn w:val="Normal"/>
    <w:next w:val="Normal"/>
    <w:autoRedefine/>
    <w:qFormat/>
    <w:pPr>
      <w:keepNext/>
      <w:keepLines/>
      <w:numPr>
        <w:ilvl w:val="3"/>
        <w:numId w:val="1"/>
      </w:numPr>
      <w:spacing w:before="280" w:after="290" w:line="400" w:lineRule="exact"/>
      <w:ind w:left="864" w:hanging="864" w:firstLineChars="0"/>
      <w:outlineLvl w:val="3"/>
    </w:pPr>
    <w:rPr>
      <w:rFonts w:ascii="Arial" w:hAnsi="Arial"/>
      <w:b/>
    </w:rPr>
  </w:style>
  <w:style w:type="paragraph" w:styleId="Heading5">
    <w:name w:val="heading 5"/>
    <w:basedOn w:val="Normal"/>
    <w:next w:val="Normal"/>
    <w:qFormat/>
    <w:pPr>
      <w:keepNext/>
      <w:keepLines/>
      <w:numPr>
        <w:ilvl w:val="4"/>
        <w:numId w:val="1"/>
      </w:numPr>
      <w:spacing w:before="280" w:after="290" w:line="372" w:lineRule="auto"/>
      <w:ind w:left="1008" w:hanging="1008" w:firstLineChars="0"/>
      <w:outlineLvl w:val="4"/>
    </w:pPr>
    <w:rPr>
      <w:b/>
      <w:sz w:val="28"/>
    </w:rPr>
  </w:style>
  <w:style w:type="paragraph" w:styleId="Heading6">
    <w:name w:val="heading 6"/>
    <w:basedOn w:val="Normal"/>
    <w:next w:val="Normal"/>
    <w:qFormat/>
    <w:pPr>
      <w:keepNext/>
      <w:keepLines/>
      <w:numPr>
        <w:ilvl w:val="5"/>
        <w:numId w:val="1"/>
      </w:numPr>
      <w:spacing w:before="240" w:after="64" w:line="317" w:lineRule="auto"/>
      <w:ind w:left="1151" w:hanging="1151" w:firstLineChars="0"/>
      <w:outlineLvl w:val="5"/>
    </w:pPr>
    <w:rPr>
      <w:rFonts w:ascii="Arial" w:eastAsia="黑体" w:hAnsi="Arial"/>
      <w:b/>
    </w:rPr>
  </w:style>
  <w:style w:type="paragraph" w:styleId="Heading7">
    <w:name w:val="heading 7"/>
    <w:basedOn w:val="Normal"/>
    <w:next w:val="Normal"/>
    <w:qFormat/>
    <w:pPr>
      <w:keepNext/>
      <w:keepLines/>
      <w:numPr>
        <w:ilvl w:val="6"/>
        <w:numId w:val="1"/>
      </w:numPr>
      <w:spacing w:before="240" w:after="64" w:line="317" w:lineRule="auto"/>
      <w:ind w:left="1296" w:hanging="1296" w:firstLineChars="0"/>
      <w:outlineLvl w:val="6"/>
    </w:pPr>
    <w:rPr>
      <w:b/>
    </w:rPr>
  </w:style>
  <w:style w:type="paragraph" w:styleId="Heading8">
    <w:name w:val="heading 8"/>
    <w:basedOn w:val="Normal"/>
    <w:next w:val="Normal"/>
    <w:qFormat/>
    <w:pPr>
      <w:keepNext/>
      <w:keepLines/>
      <w:numPr>
        <w:ilvl w:val="7"/>
        <w:numId w:val="1"/>
      </w:numPr>
      <w:spacing w:before="240" w:after="64" w:line="317" w:lineRule="auto"/>
      <w:ind w:left="1440" w:hanging="1440" w:firstLineChars="0"/>
      <w:outlineLvl w:val="7"/>
    </w:pPr>
    <w:rPr>
      <w:rFonts w:ascii="Arial" w:eastAsia="黑体" w:hAnsi="Arial"/>
    </w:rPr>
  </w:style>
  <w:style w:type="paragraph" w:styleId="Heading9">
    <w:name w:val="heading 9"/>
    <w:basedOn w:val="Normal"/>
    <w:next w:val="Normal"/>
    <w:qFormat/>
    <w:pPr>
      <w:keepNext/>
      <w:keepLines/>
      <w:numPr>
        <w:ilvl w:val="8"/>
        <w:numId w:val="1"/>
      </w:numPr>
      <w:spacing w:before="240" w:after="64"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qFormat/>
  </w:style>
  <w:style w:type="table" w:default="1" w:styleId="TableNormal">
    <w:name w:val="Normal Table"/>
    <w:autoRedefine/>
    <w:uiPriority w:val="99"/>
    <w:qFormat/>
    <w:tblPr>
      <w:tblCellMar>
        <w:top w:w="0" w:type="dxa"/>
        <w:left w:w="108" w:type="dxa"/>
        <w:bottom w:w="0" w:type="dxa"/>
        <w:right w:w="108" w:type="dxa"/>
      </w:tblCellMar>
    </w:tblPr>
  </w:style>
  <w:style w:type="paragraph" w:styleId="TOAHeading">
    <w:name w:val="toa heading"/>
    <w:basedOn w:val="Normal"/>
    <w:next w:val="Normal"/>
    <w:autoRedefine/>
    <w:qFormat/>
    <w:pPr>
      <w:widowControl w:val="0"/>
      <w:spacing w:before="120"/>
      <w:jc w:val="both"/>
    </w:pPr>
    <w:rPr>
      <w:rFonts w:ascii="Cambria" w:eastAsia="宋体" w:hAnsi="Cambria" w:cs="Times New Roman"/>
      <w:kern w:val="2"/>
      <w:sz w:val="24"/>
      <w:szCs w:val="24"/>
      <w:lang w:val="en-US" w:eastAsia="zh-CN" w:bidi="ar-SA"/>
    </w:r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DocumentMap">
    <w:name w:val="Document Map"/>
    <w:basedOn w:val="Normal"/>
    <w:link w:val="a10"/>
    <w:uiPriority w:val="99"/>
    <w:qFormat/>
    <w:pPr>
      <w:shd w:val="clear" w:color="auto" w:fill="000080"/>
    </w:pPr>
    <w:rPr>
      <w:rFonts w:ascii="Times New Roman" w:hAnsi="Times New Roman"/>
      <w:szCs w:val="24"/>
    </w:rPr>
  </w:style>
  <w:style w:type="paragraph" w:styleId="CommentText">
    <w:name w:val="annotation text"/>
    <w:basedOn w:val="Normal"/>
    <w:link w:val="a0"/>
    <w:autoRedefine/>
    <w:uiPriority w:val="99"/>
    <w:qFormat/>
    <w:pPr>
      <w:jc w:val="left"/>
    </w:pPr>
  </w:style>
  <w:style w:type="paragraph" w:styleId="BodyText">
    <w:name w:val="Body Text"/>
    <w:basedOn w:val="Normal"/>
    <w:link w:val="a8"/>
    <w:autoRedefine/>
    <w:uiPriority w:val="99"/>
    <w:qFormat/>
    <w:pPr>
      <w:spacing w:line="580" w:lineRule="exact"/>
      <w:ind w:right="25"/>
    </w:pPr>
    <w:rPr>
      <w:rFonts w:ascii="华文楷体" w:eastAsia="华文楷体" w:hAnsi="华文楷体"/>
      <w:spacing w:val="-12"/>
      <w:sz w:val="28"/>
      <w:szCs w:val="20"/>
    </w:rPr>
  </w:style>
  <w:style w:type="paragraph" w:styleId="TOC3">
    <w:name w:val="toc 3"/>
    <w:basedOn w:val="Normal"/>
    <w:next w:val="Normal"/>
    <w:uiPriority w:val="39"/>
    <w:qFormat/>
    <w:pPr>
      <w:ind w:left="840" w:leftChars="400"/>
    </w:pPr>
    <w:rPr>
      <w:rFonts w:ascii="Times New Roman" w:hAnsi="Times New Roman"/>
      <w:szCs w:val="24"/>
    </w:rPr>
  </w:style>
  <w:style w:type="paragraph" w:styleId="BalloonText">
    <w:name w:val="Balloon Text"/>
    <w:basedOn w:val="Normal"/>
    <w:link w:val="a11"/>
    <w:autoRedefine/>
    <w:uiPriority w:val="99"/>
    <w:qFormat/>
    <w:rPr>
      <w:rFonts w:ascii="Times New Roman" w:hAnsi="Times New Roman"/>
      <w:sz w:val="18"/>
      <w:szCs w:val="18"/>
    </w:rPr>
  </w:style>
  <w:style w:type="paragraph" w:styleId="Footer">
    <w:name w:val="footer"/>
    <w:basedOn w:val="Normal"/>
    <w:link w:val="a"/>
    <w:qFormat/>
    <w:pPr>
      <w:tabs>
        <w:tab w:val="center" w:pos="4153"/>
        <w:tab w:val="right" w:pos="8306"/>
      </w:tabs>
      <w:snapToGrid w:val="0"/>
      <w:jc w:val="left"/>
    </w:pPr>
    <w:rPr>
      <w:sz w:val="18"/>
      <w:szCs w:val="18"/>
    </w:rPr>
  </w:style>
  <w:style w:type="paragraph" w:styleId="Header">
    <w:name w:val="header"/>
    <w:basedOn w:val="Normal"/>
    <w:link w:val="a1"/>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9060"/>
      </w:tabs>
    </w:pPr>
    <w:rPr>
      <w:rFonts w:ascii="黑体" w:eastAsia="黑体" w:hAnsi="黑体" w:cs="AdobeHeitiStd-Regular"/>
      <w:kern w:val="0"/>
      <w:sz w:val="28"/>
      <w:szCs w:val="28"/>
    </w:rPr>
  </w:style>
  <w:style w:type="paragraph" w:styleId="TOC2">
    <w:name w:val="toc 2"/>
    <w:basedOn w:val="Normal"/>
    <w:next w:val="Normal"/>
    <w:autoRedefine/>
    <w:uiPriority w:val="39"/>
    <w:qFormat/>
    <w:pPr>
      <w:tabs>
        <w:tab w:val="right" w:leader="dot" w:pos="9060"/>
      </w:tabs>
    </w:pPr>
    <w:rPr>
      <w:rFonts w:ascii="黑体" w:eastAsia="黑体" w:hAnsi="黑体"/>
      <w:sz w:val="28"/>
      <w:szCs w:val="28"/>
    </w:rPr>
  </w:style>
  <w:style w:type="paragraph" w:styleId="HTMLPreformatted">
    <w:name w:val="HTML Preformatted"/>
    <w:basedOn w:val="Normal"/>
    <w:link w:val="HTM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Cs w:val="24"/>
    </w:rPr>
  </w:style>
  <w:style w:type="paragraph" w:styleId="NormalWeb">
    <w:name w:val="Normal (Web)"/>
    <w:basedOn w:val="Normal"/>
    <w:autoRedefine/>
    <w:uiPriority w:val="99"/>
    <w:qFormat/>
    <w:pPr>
      <w:widowControl/>
      <w:spacing w:before="100" w:beforeAutospacing="1" w:after="100" w:afterAutospacing="1"/>
      <w:jc w:val="left"/>
    </w:pPr>
    <w:rPr>
      <w:szCs w:val="24"/>
    </w:rPr>
  </w:style>
  <w:style w:type="paragraph" w:styleId="Title">
    <w:name w:val="Title"/>
    <w:basedOn w:val="Normal"/>
    <w:next w:val="Normal"/>
    <w:link w:val="a13"/>
    <w:autoRedefine/>
    <w:qFormat/>
    <w:pPr>
      <w:spacing w:before="240" w:after="60"/>
      <w:jc w:val="center"/>
      <w:outlineLvl w:val="0"/>
    </w:pPr>
    <w:rPr>
      <w:rFonts w:ascii="Cambria" w:eastAsia="宋体" w:hAnsi="Cambria" w:cs="宋体"/>
      <w:b/>
      <w:bCs/>
      <w:sz w:val="32"/>
      <w:szCs w:val="32"/>
    </w:rPr>
  </w:style>
  <w:style w:type="paragraph" w:styleId="CommentSubject">
    <w:name w:val="annotation subject"/>
    <w:basedOn w:val="CommentText"/>
    <w:next w:val="CommentText"/>
    <w:link w:val="a14"/>
    <w:uiPriority w:val="99"/>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99"/>
    <w:qFormat/>
  </w:style>
  <w:style w:type="character" w:styleId="PageNumber">
    <w:name w:val="page number"/>
    <w:autoRedefine/>
    <w:qFormat/>
    <w:rPr>
      <w:rFonts w:cs="Times New Roman"/>
    </w:rPr>
  </w:style>
  <w:style w:type="character" w:styleId="FollowedHyperlink">
    <w:name w:val="FollowedHyperlink"/>
    <w:uiPriority w:val="99"/>
    <w:qFormat/>
    <w:rPr>
      <w:color w:val="800080"/>
      <w:u w:val="single"/>
    </w:rPr>
  </w:style>
  <w:style w:type="character" w:styleId="Hyperlink">
    <w:name w:val="Hyperlink"/>
    <w:uiPriority w:val="99"/>
    <w:qFormat/>
    <w:rPr>
      <w:rFonts w:ascii="宋体" w:eastAsia="宋体" w:hAnsi="宋体"/>
      <w:color w:val="000000"/>
      <w:u w:val="none"/>
    </w:rPr>
  </w:style>
  <w:style w:type="character" w:styleId="CommentReference">
    <w:name w:val="annotation reference"/>
    <w:basedOn w:val="DefaultParagraphFont"/>
    <w:autoRedefine/>
    <w:uiPriority w:val="99"/>
    <w:qFormat/>
    <w:rPr>
      <w:sz w:val="21"/>
      <w:szCs w:val="21"/>
    </w:rPr>
  </w:style>
  <w:style w:type="character" w:customStyle="1" w:styleId="a">
    <w:name w:val="页脚 字符"/>
    <w:link w:val="Footer"/>
    <w:autoRedefine/>
    <w:qFormat/>
    <w:rPr>
      <w:rFonts w:cs="Times New Roman"/>
      <w:sz w:val="18"/>
      <w:szCs w:val="18"/>
    </w:rPr>
  </w:style>
  <w:style w:type="paragraph" w:customStyle="1" w:styleId="1">
    <w:name w:val="正文1"/>
    <w:uiPriority w:val="99"/>
    <w:qFormat/>
    <w:pPr>
      <w:jc w:val="both"/>
    </w:pPr>
    <w:rPr>
      <w:rFonts w:ascii="Times New Roman" w:eastAsia="宋体" w:hAnsi="Times New Roman" w:cs="Times New Roman"/>
      <w:sz w:val="21"/>
      <w:lang w:val="en-US" w:eastAsia="zh-CN" w:bidi="ar-SA"/>
    </w:rPr>
  </w:style>
  <w:style w:type="character" w:customStyle="1" w:styleId="10">
    <w:name w:val="标题 1 字符"/>
    <w:link w:val="Heading1"/>
    <w:autoRedefine/>
    <w:qFormat/>
    <w:rPr>
      <w:rFonts w:ascii="宋体" w:eastAsia="黑体" w:hAnsi="宋体"/>
      <w:b/>
      <w:color w:val="000000"/>
      <w:kern w:val="36"/>
      <w:sz w:val="32"/>
      <w:lang w:val="en-US" w:eastAsia="zh-CN"/>
    </w:rPr>
  </w:style>
  <w:style w:type="character" w:customStyle="1" w:styleId="2">
    <w:name w:val="标题 2 字符"/>
    <w:link w:val="Heading2"/>
    <w:autoRedefine/>
    <w:qFormat/>
    <w:rPr>
      <w:rFonts w:ascii="Arial" w:eastAsia="黑体" w:hAnsi="Arial"/>
      <w:b/>
      <w:kern w:val="2"/>
      <w:sz w:val="30"/>
      <w:lang w:val="en-US" w:eastAsia="zh-CN"/>
    </w:rPr>
  </w:style>
  <w:style w:type="paragraph" w:customStyle="1" w:styleId="WPSOffice1">
    <w:name w:val="WPSOffice手动目录 1"/>
    <w:autoRedefine/>
    <w:qFormat/>
    <w:pPr>
      <w:spacing w:line="360" w:lineRule="exact"/>
    </w:pPr>
    <w:rPr>
      <w:rFonts w:ascii="Times New Roman" w:eastAsia="宋体" w:hAnsi="Times New Roman" w:cs="宋体"/>
      <w:lang w:val="en-US" w:eastAsia="zh-CN" w:bidi="ar-SA"/>
    </w:rPr>
  </w:style>
  <w:style w:type="character" w:customStyle="1" w:styleId="a0">
    <w:name w:val="批注文字 字符"/>
    <w:basedOn w:val="DefaultParagraphFont"/>
    <w:link w:val="CommentText"/>
    <w:uiPriority w:val="99"/>
    <w:qFormat/>
    <w:rPr>
      <w:rFonts w:ascii="宋体" w:hAnsi="宋体"/>
      <w:kern w:val="2"/>
      <w:sz w:val="24"/>
      <w:szCs w:val="22"/>
    </w:rPr>
  </w:style>
  <w:style w:type="character" w:customStyle="1" w:styleId="Heading1Charcf0dafb9-7f3f-41fa-8f0b-5d165a79552c">
    <w:name w:val="Heading 1 Char_cf0dafb9-7f3f-41fa-8f0b-5d165a79552c"/>
    <w:autoRedefine/>
    <w:uiPriority w:val="9"/>
    <w:qFormat/>
    <w:rPr>
      <w:b/>
      <w:bCs/>
      <w:kern w:val="44"/>
      <w:sz w:val="44"/>
      <w:szCs w:val="44"/>
    </w:rPr>
  </w:style>
  <w:style w:type="character" w:customStyle="1" w:styleId="Heading2Char601a01e0-6fff-4321-a9e4-5ee5cb30b494">
    <w:name w:val="Heading 2 Char_601a01e0-6fff-4321-a9e4-5ee5cb30b494"/>
    <w:autoRedefine/>
    <w:uiPriority w:val="9"/>
    <w:qFormat/>
    <w:rPr>
      <w:rFonts w:ascii="Cambria" w:eastAsia="宋体" w:hAnsi="Cambria" w:cs="Times New Roman"/>
      <w:b/>
      <w:bCs/>
      <w:sz w:val="32"/>
      <w:szCs w:val="32"/>
    </w:rPr>
  </w:style>
  <w:style w:type="character" w:customStyle="1" w:styleId="a1">
    <w:name w:val="页眉 字符"/>
    <w:link w:val="Header"/>
    <w:uiPriority w:val="99"/>
    <w:qFormat/>
    <w:rPr>
      <w:rFonts w:cs="Times New Roman"/>
      <w:sz w:val="18"/>
      <w:szCs w:val="18"/>
    </w:rPr>
  </w:style>
  <w:style w:type="character" w:customStyle="1" w:styleId="longtext">
    <w:name w:val="long_text"/>
    <w:uiPriority w:val="99"/>
    <w:qFormat/>
    <w:rPr>
      <w:rFonts w:cs="Times New Roman"/>
    </w:rPr>
  </w:style>
  <w:style w:type="character" w:customStyle="1" w:styleId="z-Char">
    <w:name w:val="z-窗体顶端 Char"/>
    <w:link w:val="z-1"/>
    <w:autoRedefine/>
    <w:uiPriority w:val="99"/>
    <w:qFormat/>
    <w:rPr>
      <w:rFonts w:ascii="Arial" w:hAnsi="Arial"/>
      <w:vanish/>
      <w:sz w:val="16"/>
    </w:rPr>
  </w:style>
  <w:style w:type="paragraph" w:customStyle="1" w:styleId="z-1">
    <w:name w:val="z-窗体顶端1"/>
    <w:basedOn w:val="Normal"/>
    <w:next w:val="Normal"/>
    <w:link w:val="z-Char"/>
    <w:uiPriority w:val="99"/>
    <w:qFormat/>
    <w:pPr>
      <w:widowControl/>
      <w:pBdr>
        <w:bottom w:val="single" w:sz="6" w:space="1" w:color="auto"/>
      </w:pBdr>
      <w:jc w:val="center"/>
    </w:pPr>
    <w:rPr>
      <w:rFonts w:ascii="Arial" w:hAnsi="Arial"/>
      <w:vanish/>
      <w:kern w:val="0"/>
      <w:sz w:val="16"/>
      <w:szCs w:val="16"/>
    </w:rPr>
  </w:style>
  <w:style w:type="character" w:customStyle="1" w:styleId="z-Char0">
    <w:name w:val="z-窗体底端 Char"/>
    <w:link w:val="z-10"/>
    <w:autoRedefine/>
    <w:uiPriority w:val="99"/>
    <w:qFormat/>
    <w:rPr>
      <w:rFonts w:ascii="Arial" w:hAnsi="Arial"/>
      <w:vanish/>
      <w:sz w:val="16"/>
    </w:rPr>
  </w:style>
  <w:style w:type="paragraph" w:customStyle="1" w:styleId="z-10">
    <w:name w:val="z-窗体底端1"/>
    <w:basedOn w:val="Normal"/>
    <w:next w:val="Normal"/>
    <w:link w:val="z-Char0"/>
    <w:uiPriority w:val="99"/>
    <w:qFormat/>
    <w:pPr>
      <w:widowControl/>
      <w:pBdr>
        <w:top w:val="single" w:sz="6" w:space="1" w:color="auto"/>
      </w:pBdr>
      <w:jc w:val="center"/>
    </w:pPr>
    <w:rPr>
      <w:rFonts w:ascii="Arial" w:hAnsi="Arial"/>
      <w:vanish/>
      <w:kern w:val="0"/>
      <w:sz w:val="16"/>
      <w:szCs w:val="16"/>
    </w:rPr>
  </w:style>
  <w:style w:type="character" w:customStyle="1" w:styleId="a2">
    <w:name w:val="脚注_"/>
    <w:link w:val="a3"/>
    <w:uiPriority w:val="99"/>
    <w:qFormat/>
    <w:rPr>
      <w:spacing w:val="2"/>
      <w:sz w:val="15"/>
    </w:rPr>
  </w:style>
  <w:style w:type="paragraph" w:customStyle="1" w:styleId="a3">
    <w:name w:val="脚注"/>
    <w:basedOn w:val="Normal"/>
    <w:link w:val="a2"/>
    <w:autoRedefine/>
    <w:uiPriority w:val="99"/>
    <w:qFormat/>
    <w:pPr>
      <w:shd w:val="clear" w:color="auto" w:fill="FFFFFF"/>
      <w:spacing w:line="221" w:lineRule="exact"/>
    </w:pPr>
    <w:rPr>
      <w:rFonts w:ascii="Times New Roman" w:hAnsi="Times New Roman"/>
      <w:spacing w:val="2"/>
      <w:kern w:val="0"/>
      <w:sz w:val="15"/>
      <w:szCs w:val="15"/>
    </w:rPr>
  </w:style>
  <w:style w:type="character" w:customStyle="1" w:styleId="a4">
    <w:name w:val="正文文本_"/>
    <w:link w:val="11"/>
    <w:autoRedefine/>
    <w:uiPriority w:val="99"/>
    <w:qFormat/>
    <w:rPr>
      <w:spacing w:val="4"/>
      <w:sz w:val="16"/>
    </w:rPr>
  </w:style>
  <w:style w:type="paragraph" w:customStyle="1" w:styleId="11">
    <w:name w:val="正文文本1"/>
    <w:basedOn w:val="Normal"/>
    <w:link w:val="a4"/>
    <w:autoRedefine/>
    <w:uiPriority w:val="99"/>
    <w:qFormat/>
    <w:pPr>
      <w:shd w:val="clear" w:color="auto" w:fill="FFFFFF"/>
      <w:spacing w:before="300" w:line="259" w:lineRule="exact"/>
    </w:pPr>
    <w:rPr>
      <w:rFonts w:ascii="Times New Roman" w:hAnsi="Times New Roman"/>
      <w:spacing w:val="4"/>
      <w:kern w:val="0"/>
      <w:sz w:val="16"/>
      <w:szCs w:val="16"/>
    </w:rPr>
  </w:style>
  <w:style w:type="character" w:customStyle="1" w:styleId="4">
    <w:name w:val="标题 #4_"/>
    <w:link w:val="40"/>
    <w:uiPriority w:val="99"/>
    <w:qFormat/>
    <w:rPr>
      <w:b/>
      <w:sz w:val="21"/>
    </w:rPr>
  </w:style>
  <w:style w:type="paragraph" w:customStyle="1" w:styleId="40">
    <w:name w:val="标题 #4"/>
    <w:basedOn w:val="Normal"/>
    <w:link w:val="4"/>
    <w:uiPriority w:val="99"/>
    <w:qFormat/>
    <w:pPr>
      <w:shd w:val="clear" w:color="auto" w:fill="FFFFFF"/>
      <w:spacing w:before="900" w:after="300" w:line="240" w:lineRule="atLeast"/>
      <w:ind w:hanging="2660"/>
      <w:jc w:val="center"/>
      <w:outlineLvl w:val="3"/>
    </w:pPr>
    <w:rPr>
      <w:rFonts w:ascii="Times New Roman" w:hAnsi="Times New Roman"/>
      <w:b/>
      <w:bCs/>
      <w:kern w:val="0"/>
      <w:szCs w:val="21"/>
    </w:rPr>
  </w:style>
  <w:style w:type="character" w:customStyle="1" w:styleId="41">
    <w:name w:val="正文文本 (4)_"/>
    <w:link w:val="42"/>
    <w:uiPriority w:val="99"/>
    <w:qFormat/>
    <w:rPr>
      <w:sz w:val="11"/>
    </w:rPr>
  </w:style>
  <w:style w:type="paragraph" w:customStyle="1" w:styleId="42">
    <w:name w:val="正文文本 (4)"/>
    <w:basedOn w:val="Normal"/>
    <w:link w:val="41"/>
    <w:uiPriority w:val="99"/>
    <w:qFormat/>
    <w:pPr>
      <w:shd w:val="clear" w:color="auto" w:fill="FFFFFF"/>
      <w:spacing w:line="240" w:lineRule="atLeast"/>
      <w:jc w:val="center"/>
    </w:pPr>
    <w:rPr>
      <w:rFonts w:ascii="Times New Roman" w:hAnsi="Times New Roman"/>
      <w:spacing w:val="-1"/>
      <w:kern w:val="0"/>
      <w:sz w:val="11"/>
      <w:szCs w:val="11"/>
    </w:rPr>
  </w:style>
  <w:style w:type="character" w:customStyle="1" w:styleId="a5">
    <w:name w:val="页眉或页脚_"/>
    <w:link w:val="a6"/>
    <w:uiPriority w:val="99"/>
    <w:qFormat/>
    <w:rPr>
      <w:sz w:val="11"/>
    </w:rPr>
  </w:style>
  <w:style w:type="paragraph" w:customStyle="1" w:styleId="a6">
    <w:name w:val="页眉或页脚"/>
    <w:basedOn w:val="Normal"/>
    <w:link w:val="a5"/>
    <w:uiPriority w:val="99"/>
    <w:qFormat/>
    <w:pPr>
      <w:shd w:val="clear" w:color="auto" w:fill="FFFFFF"/>
      <w:spacing w:line="240" w:lineRule="atLeast"/>
      <w:jc w:val="left"/>
    </w:pPr>
    <w:rPr>
      <w:rFonts w:ascii="Times New Roman" w:hAnsi="Times New Roman"/>
      <w:kern w:val="0"/>
      <w:sz w:val="11"/>
      <w:szCs w:val="11"/>
    </w:rPr>
  </w:style>
  <w:style w:type="character" w:customStyle="1" w:styleId="3">
    <w:name w:val="页眉或页脚 (3)_"/>
    <w:link w:val="30"/>
    <w:autoRedefine/>
    <w:uiPriority w:val="99"/>
    <w:qFormat/>
    <w:rPr>
      <w:i/>
      <w:spacing w:val="7"/>
      <w:sz w:val="17"/>
    </w:rPr>
  </w:style>
  <w:style w:type="paragraph" w:customStyle="1" w:styleId="30">
    <w:name w:val="页眉或页脚 (3)"/>
    <w:basedOn w:val="Normal"/>
    <w:link w:val="3"/>
    <w:autoRedefine/>
    <w:uiPriority w:val="99"/>
    <w:qFormat/>
    <w:pPr>
      <w:shd w:val="clear" w:color="auto" w:fill="FFFFFF"/>
      <w:spacing w:line="240" w:lineRule="atLeast"/>
      <w:jc w:val="left"/>
    </w:pPr>
    <w:rPr>
      <w:rFonts w:ascii="Times New Roman" w:hAnsi="Times New Roman"/>
      <w:i/>
      <w:iCs/>
      <w:spacing w:val="7"/>
      <w:kern w:val="0"/>
      <w:sz w:val="17"/>
      <w:szCs w:val="17"/>
    </w:rPr>
  </w:style>
  <w:style w:type="character" w:customStyle="1" w:styleId="12">
    <w:name w:val="标题 #1_"/>
    <w:link w:val="13"/>
    <w:uiPriority w:val="99"/>
    <w:qFormat/>
    <w:rPr>
      <w:b/>
      <w:spacing w:val="-5"/>
      <w:sz w:val="42"/>
    </w:rPr>
  </w:style>
  <w:style w:type="paragraph" w:customStyle="1" w:styleId="13">
    <w:name w:val="标题 #1"/>
    <w:basedOn w:val="Normal"/>
    <w:link w:val="12"/>
    <w:uiPriority w:val="99"/>
    <w:qFormat/>
    <w:pPr>
      <w:shd w:val="clear" w:color="auto" w:fill="FFFFFF"/>
      <w:spacing w:before="1440" w:after="900" w:line="240" w:lineRule="atLeast"/>
      <w:jc w:val="center"/>
      <w:outlineLvl w:val="0"/>
    </w:pPr>
    <w:rPr>
      <w:rFonts w:ascii="Times New Roman" w:hAnsi="Times New Roman"/>
      <w:b/>
      <w:bCs/>
      <w:spacing w:val="-5"/>
      <w:kern w:val="0"/>
      <w:sz w:val="42"/>
      <w:szCs w:val="42"/>
    </w:rPr>
  </w:style>
  <w:style w:type="character" w:customStyle="1" w:styleId="lineheight1">
    <w:name w:val="lineheight1"/>
    <w:uiPriority w:val="99"/>
    <w:qFormat/>
    <w:rPr>
      <w:sz w:val="18"/>
      <w:u w:val="none"/>
    </w:rPr>
  </w:style>
  <w:style w:type="character" w:customStyle="1" w:styleId="20">
    <w:name w:val="标题 #2_"/>
    <w:link w:val="21"/>
    <w:uiPriority w:val="99"/>
    <w:qFormat/>
    <w:rPr>
      <w:rFonts w:ascii="Sylfaen" w:eastAsia="Times New Roman" w:hAnsi="Sylfaen"/>
      <w:spacing w:val="5"/>
      <w:sz w:val="28"/>
    </w:rPr>
  </w:style>
  <w:style w:type="paragraph" w:customStyle="1" w:styleId="21">
    <w:name w:val="标题 #2"/>
    <w:basedOn w:val="Normal"/>
    <w:link w:val="20"/>
    <w:uiPriority w:val="99"/>
    <w:qFormat/>
    <w:pPr>
      <w:shd w:val="clear" w:color="auto" w:fill="FFFFFF"/>
      <w:spacing w:before="900" w:after="60" w:line="240" w:lineRule="atLeast"/>
      <w:jc w:val="center"/>
      <w:outlineLvl w:val="1"/>
    </w:pPr>
    <w:rPr>
      <w:rFonts w:ascii="Sylfaen" w:eastAsia="Times New Roman" w:hAnsi="Sylfaen"/>
      <w:spacing w:val="5"/>
      <w:kern w:val="0"/>
      <w:sz w:val="28"/>
      <w:szCs w:val="28"/>
    </w:rPr>
  </w:style>
  <w:style w:type="character" w:customStyle="1" w:styleId="CharChar2">
    <w:name w:val="Char Char2"/>
    <w:uiPriority w:val="99"/>
    <w:qFormat/>
    <w:rPr>
      <w:kern w:val="2"/>
      <w:sz w:val="18"/>
    </w:rPr>
  </w:style>
  <w:style w:type="character" w:customStyle="1" w:styleId="22">
    <w:name w:val="正文文本 (2)_"/>
    <w:link w:val="23"/>
    <w:uiPriority w:val="99"/>
    <w:qFormat/>
    <w:rPr>
      <w:rFonts w:ascii="Sylfaen" w:eastAsia="Times New Roman" w:hAnsi="Sylfaen"/>
      <w:i/>
      <w:sz w:val="16"/>
    </w:rPr>
  </w:style>
  <w:style w:type="paragraph" w:customStyle="1" w:styleId="23">
    <w:name w:val="正文文本 (2)"/>
    <w:basedOn w:val="Normal"/>
    <w:link w:val="22"/>
    <w:autoRedefine/>
    <w:uiPriority w:val="99"/>
    <w:qFormat/>
    <w:pPr>
      <w:shd w:val="clear" w:color="auto" w:fill="FFFFFF"/>
      <w:spacing w:after="1440" w:line="259" w:lineRule="exact"/>
      <w:jc w:val="left"/>
    </w:pPr>
    <w:rPr>
      <w:rFonts w:ascii="Sylfaen" w:eastAsia="Times New Roman" w:hAnsi="Sylfaen"/>
      <w:i/>
      <w:iCs/>
      <w:spacing w:val="-1"/>
      <w:kern w:val="0"/>
      <w:sz w:val="16"/>
      <w:szCs w:val="16"/>
    </w:rPr>
  </w:style>
  <w:style w:type="character" w:customStyle="1" w:styleId="CharChar3">
    <w:name w:val="Char Char3"/>
    <w:uiPriority w:val="99"/>
    <w:qFormat/>
    <w:rPr>
      <w:kern w:val="2"/>
      <w:sz w:val="18"/>
    </w:rPr>
  </w:style>
  <w:style w:type="character" w:customStyle="1" w:styleId="style61">
    <w:name w:val="style61"/>
    <w:uiPriority w:val="99"/>
    <w:qFormat/>
    <w:rPr>
      <w:rFonts w:ascii="黑体" w:eastAsia="黑体"/>
      <w:color w:val="003366"/>
      <w:sz w:val="18"/>
    </w:rPr>
  </w:style>
  <w:style w:type="character" w:customStyle="1" w:styleId="31">
    <w:name w:val="标题 #3_"/>
    <w:link w:val="32"/>
    <w:autoRedefine/>
    <w:uiPriority w:val="99"/>
    <w:qFormat/>
    <w:rPr>
      <w:rFonts w:ascii="Sylfaen" w:eastAsia="Times New Roman" w:hAnsi="Sylfaen"/>
      <w:i/>
      <w:spacing w:val="4"/>
    </w:rPr>
  </w:style>
  <w:style w:type="paragraph" w:customStyle="1" w:styleId="32">
    <w:name w:val="标题 #3"/>
    <w:basedOn w:val="Normal"/>
    <w:link w:val="31"/>
    <w:autoRedefine/>
    <w:uiPriority w:val="99"/>
    <w:qFormat/>
    <w:pPr>
      <w:shd w:val="clear" w:color="auto" w:fill="FFFFFF"/>
      <w:spacing w:before="60" w:after="900" w:line="240" w:lineRule="atLeast"/>
      <w:jc w:val="center"/>
      <w:outlineLvl w:val="2"/>
    </w:pPr>
    <w:rPr>
      <w:rFonts w:ascii="Sylfaen" w:eastAsia="Times New Roman" w:hAnsi="Sylfaen"/>
      <w:i/>
      <w:iCs/>
      <w:spacing w:val="4"/>
      <w:kern w:val="0"/>
      <w:sz w:val="20"/>
      <w:szCs w:val="20"/>
    </w:rPr>
  </w:style>
  <w:style w:type="character" w:customStyle="1" w:styleId="MingLiU">
    <w:name w:val="正文文本 + MingLiU"/>
    <w:autoRedefine/>
    <w:uiPriority w:val="99"/>
    <w:qFormat/>
    <w:rPr>
      <w:rFonts w:ascii="MingLiU" w:eastAsia="MingLiU" w:hAnsi="MingLiU"/>
      <w:color w:val="000000"/>
      <w:spacing w:val="-26"/>
      <w:w w:val="100"/>
      <w:position w:val="0"/>
      <w:sz w:val="13"/>
      <w:u w:val="none"/>
      <w:lang w:val="en-US"/>
    </w:rPr>
  </w:style>
  <w:style w:type="character" w:customStyle="1" w:styleId="33">
    <w:name w:val="正文文本 (3)_"/>
    <w:link w:val="34"/>
    <w:autoRedefine/>
    <w:uiPriority w:val="99"/>
    <w:qFormat/>
    <w:rPr>
      <w:b/>
      <w:sz w:val="18"/>
    </w:rPr>
  </w:style>
  <w:style w:type="paragraph" w:customStyle="1" w:styleId="34">
    <w:name w:val="正文文本 (3)"/>
    <w:basedOn w:val="Normal"/>
    <w:link w:val="33"/>
    <w:autoRedefine/>
    <w:uiPriority w:val="99"/>
    <w:qFormat/>
    <w:pPr>
      <w:shd w:val="clear" w:color="auto" w:fill="FFFFFF"/>
      <w:spacing w:before="300" w:after="720" w:line="254" w:lineRule="exact"/>
    </w:pPr>
    <w:rPr>
      <w:rFonts w:ascii="Times New Roman" w:hAnsi="Times New Roman"/>
      <w:b/>
      <w:bCs/>
      <w:kern w:val="0"/>
      <w:sz w:val="18"/>
      <w:szCs w:val="18"/>
    </w:rPr>
  </w:style>
  <w:style w:type="character" w:customStyle="1" w:styleId="a7">
    <w:name w:val="正文文本 + 粗体"/>
    <w:autoRedefine/>
    <w:uiPriority w:val="99"/>
    <w:qFormat/>
    <w:rPr>
      <w:rFonts w:ascii="Times New Roman" w:eastAsia="Times New Roman" w:hAnsi="Times New Roman"/>
      <w:b/>
      <w:i/>
      <w:color w:val="000000"/>
      <w:spacing w:val="2"/>
      <w:w w:val="100"/>
      <w:position w:val="0"/>
      <w:sz w:val="16"/>
      <w:u w:val="none"/>
      <w:lang w:val="en-US"/>
    </w:rPr>
  </w:style>
  <w:style w:type="character" w:customStyle="1" w:styleId="24">
    <w:name w:val="页眉或页脚 (2)_"/>
    <w:link w:val="25"/>
    <w:uiPriority w:val="99"/>
    <w:qFormat/>
    <w:rPr>
      <w:rFonts w:ascii="Sylfaen" w:eastAsia="Times New Roman" w:hAnsi="Sylfaen"/>
      <w:spacing w:val="4"/>
      <w:sz w:val="17"/>
    </w:rPr>
  </w:style>
  <w:style w:type="paragraph" w:customStyle="1" w:styleId="25">
    <w:name w:val="页眉或页脚 (2)"/>
    <w:basedOn w:val="Normal"/>
    <w:link w:val="24"/>
    <w:autoRedefine/>
    <w:uiPriority w:val="99"/>
    <w:qFormat/>
    <w:pPr>
      <w:shd w:val="clear" w:color="auto" w:fill="FFFFFF"/>
      <w:spacing w:line="240" w:lineRule="atLeast"/>
      <w:jc w:val="left"/>
    </w:pPr>
    <w:rPr>
      <w:rFonts w:ascii="Sylfaen" w:eastAsia="Times New Roman" w:hAnsi="Sylfaen"/>
      <w:spacing w:val="4"/>
      <w:kern w:val="0"/>
      <w:sz w:val="17"/>
      <w:szCs w:val="17"/>
    </w:rPr>
  </w:style>
  <w:style w:type="character" w:customStyle="1" w:styleId="1pt">
    <w:name w:val="正文文本 + 间距 1 pt"/>
    <w:uiPriority w:val="99"/>
    <w:qFormat/>
    <w:rPr>
      <w:rFonts w:ascii="Times New Roman" w:eastAsia="Times New Roman" w:hAnsi="Times New Roman"/>
      <w:color w:val="000000"/>
      <w:spacing w:val="30"/>
      <w:w w:val="100"/>
      <w:position w:val="0"/>
      <w:sz w:val="16"/>
      <w:u w:val="none"/>
      <w:lang w:val="en-US"/>
    </w:rPr>
  </w:style>
  <w:style w:type="paragraph" w:customStyle="1" w:styleId="14">
    <w:name w:val="列出段落1"/>
    <w:basedOn w:val="Normal"/>
    <w:uiPriority w:val="99"/>
    <w:qFormat/>
    <w:pPr>
      <w:ind w:firstLine="420"/>
    </w:pPr>
    <w:rPr>
      <w:rFonts w:ascii="Times New Roman" w:hAnsi="Times New Roman"/>
      <w:szCs w:val="24"/>
    </w:rPr>
  </w:style>
  <w:style w:type="character" w:customStyle="1" w:styleId="a8">
    <w:name w:val="正文文本 字符"/>
    <w:basedOn w:val="DefaultParagraphFont"/>
    <w:link w:val="BodyText"/>
    <w:autoRedefine/>
    <w:uiPriority w:val="99"/>
    <w:qFormat/>
  </w:style>
  <w:style w:type="paragraph" w:customStyle="1" w:styleId="a9">
    <w:name w:val="毕设_摘要标题"/>
    <w:basedOn w:val="Normal"/>
    <w:uiPriority w:val="99"/>
    <w:qFormat/>
    <w:pPr>
      <w:spacing w:before="400" w:after="280"/>
      <w:jc w:val="center"/>
      <w:outlineLvl w:val="0"/>
    </w:pPr>
    <w:rPr>
      <w:rFonts w:ascii="Times New Roman" w:eastAsia="黑体" w:hAnsi="Times New Roman" w:cs="Arial"/>
      <w:bCs/>
      <w:sz w:val="30"/>
      <w:szCs w:val="32"/>
    </w:rPr>
  </w:style>
  <w:style w:type="character" w:customStyle="1" w:styleId="a10">
    <w:name w:val="文档结构图 字符"/>
    <w:link w:val="DocumentMap"/>
    <w:uiPriority w:val="99"/>
    <w:qFormat/>
    <w:rPr>
      <w:rFonts w:ascii="Times New Roman" w:hAnsi="Times New Roman"/>
      <w:sz w:val="0"/>
      <w:szCs w:val="0"/>
    </w:rPr>
  </w:style>
  <w:style w:type="character" w:customStyle="1" w:styleId="a11">
    <w:name w:val="批注框文本 字符"/>
    <w:link w:val="BalloonText"/>
    <w:autoRedefine/>
    <w:uiPriority w:val="99"/>
    <w:qFormat/>
  </w:style>
  <w:style w:type="paragraph" w:customStyle="1" w:styleId="111">
    <w:name w:val="列出段落111"/>
    <w:basedOn w:val="Normal"/>
    <w:autoRedefine/>
    <w:uiPriority w:val="99"/>
    <w:qFormat/>
    <w:pPr>
      <w:ind w:firstLine="420"/>
    </w:pPr>
    <w:rPr>
      <w:rFonts w:ascii="Times New Roman" w:hAnsi="Times New Roman"/>
      <w:szCs w:val="24"/>
    </w:rPr>
  </w:style>
  <w:style w:type="character" w:customStyle="1" w:styleId="HTML">
    <w:name w:val="HTML 预设格式 字符"/>
    <w:link w:val="HTMLPreformatted"/>
    <w:uiPriority w:val="99"/>
    <w:qFormat/>
    <w:rPr>
      <w:rFonts w:ascii="Courier New" w:hAnsi="Courier New" w:cs="Courier New"/>
      <w:sz w:val="20"/>
      <w:szCs w:val="20"/>
    </w:rPr>
  </w:style>
  <w:style w:type="character" w:customStyle="1" w:styleId="z-TopofFormChar">
    <w:name w:val="z-Top of Form Char"/>
    <w:autoRedefine/>
    <w:uiPriority w:val="99"/>
    <w:qFormat/>
    <w:rPr>
      <w:rFonts w:ascii="Arial" w:hAnsi="Arial" w:cs="Arial"/>
      <w:vanish/>
      <w:sz w:val="16"/>
      <w:szCs w:val="16"/>
    </w:rPr>
  </w:style>
  <w:style w:type="character" w:customStyle="1" w:styleId="z-BottomofFormChar">
    <w:name w:val="z-Bottom of Form Char"/>
    <w:autoRedefine/>
    <w:uiPriority w:val="99"/>
    <w:qFormat/>
    <w:rPr>
      <w:rFonts w:ascii="Arial" w:hAnsi="Arial" w:cs="Arial"/>
      <w:vanish/>
      <w:sz w:val="16"/>
      <w:szCs w:val="16"/>
    </w:rPr>
  </w:style>
  <w:style w:type="paragraph" w:customStyle="1" w:styleId="26">
    <w:name w:val="列出段落2"/>
    <w:basedOn w:val="Normal"/>
    <w:autoRedefine/>
    <w:qFormat/>
    <w:pPr>
      <w:ind w:firstLine="420"/>
    </w:pPr>
    <w:rPr>
      <w:rFonts w:ascii="Times New Roman" w:hAnsi="Times New Roman"/>
      <w:szCs w:val="24"/>
    </w:rPr>
  </w:style>
  <w:style w:type="paragraph" w:customStyle="1" w:styleId="110">
    <w:name w:val="列出段落11"/>
    <w:basedOn w:val="Normal"/>
    <w:autoRedefine/>
    <w:uiPriority w:val="99"/>
    <w:qFormat/>
    <w:pPr>
      <w:ind w:firstLine="420"/>
    </w:pPr>
    <w:rPr>
      <w:rFonts w:ascii="Times New Roman" w:hAnsi="Times New Roman"/>
      <w:szCs w:val="24"/>
    </w:rPr>
  </w:style>
  <w:style w:type="character" w:customStyle="1" w:styleId="font01">
    <w:name w:val="font01"/>
    <w:basedOn w:val="DefaultParagraphFont"/>
    <w:autoRedefine/>
    <w:qFormat/>
    <w:rPr>
      <w:rFonts w:ascii="华文宋体" w:eastAsia="华文宋体" w:hAnsi="华文宋体" w:cs="华文宋体"/>
      <w:b/>
      <w:color w:val="000000"/>
      <w:sz w:val="24"/>
      <w:szCs w:val="24"/>
      <w:u w:val="none"/>
    </w:rPr>
  </w:style>
  <w:style w:type="character" w:customStyle="1" w:styleId="font91">
    <w:name w:val="font91"/>
    <w:basedOn w:val="DefaultParagraphFont"/>
    <w:qFormat/>
    <w:rPr>
      <w:rFonts w:ascii="Arial" w:hAnsi="Arial" w:cs="Arial" w:hint="default"/>
      <w:b/>
      <w:color w:val="000000"/>
      <w:sz w:val="24"/>
      <w:szCs w:val="24"/>
      <w:u w:val="none"/>
    </w:rPr>
  </w:style>
  <w:style w:type="character" w:customStyle="1" w:styleId="font81">
    <w:name w:val="font81"/>
    <w:basedOn w:val="DefaultParagraphFont"/>
    <w:autoRedefine/>
    <w:qFormat/>
    <w:rPr>
      <w:rFonts w:ascii="宋体" w:eastAsia="宋体" w:hAnsi="宋体" w:cs="宋体" w:hint="eastAsia"/>
      <w:b/>
      <w:color w:val="000000"/>
      <w:sz w:val="18"/>
      <w:szCs w:val="18"/>
      <w:u w:val="none"/>
    </w:rPr>
  </w:style>
  <w:style w:type="character" w:customStyle="1" w:styleId="font41">
    <w:name w:val="font41"/>
    <w:basedOn w:val="DefaultParagraphFont"/>
    <w:autoRedefine/>
    <w:qFormat/>
    <w:rPr>
      <w:rFonts w:ascii="Arial" w:hAnsi="Arial" w:cs="Arial" w:hint="default"/>
      <w:b/>
      <w:color w:val="000000"/>
      <w:sz w:val="18"/>
      <w:szCs w:val="18"/>
      <w:u w:val="none"/>
    </w:rPr>
  </w:style>
  <w:style w:type="character" w:customStyle="1" w:styleId="35">
    <w:name w:val="标题 3 字符"/>
    <w:basedOn w:val="DefaultParagraphFont"/>
    <w:link w:val="Heading3"/>
    <w:autoRedefine/>
    <w:qFormat/>
    <w:rPr>
      <w:rFonts w:ascii="Times New Roman" w:eastAsia="黑体" w:hAnsi="Times New Roman"/>
      <w:b/>
      <w:bCs/>
      <w:kern w:val="2"/>
      <w:sz w:val="28"/>
      <w:szCs w:val="32"/>
    </w:rPr>
  </w:style>
  <w:style w:type="paragraph" w:customStyle="1" w:styleId="label">
    <w:name w:val="label"/>
    <w:basedOn w:val="Normal"/>
    <w:qFormat/>
    <w:pPr>
      <w:widowControl/>
      <w:spacing w:before="100" w:beforeAutospacing="1" w:after="100" w:afterAutospacing="1"/>
      <w:jc w:val="left"/>
    </w:pPr>
    <w:rPr>
      <w:rFonts w:cs="宋体"/>
      <w:kern w:val="0"/>
      <w:szCs w:val="24"/>
    </w:rPr>
  </w:style>
  <w:style w:type="paragraph" w:customStyle="1" w:styleId="abstract">
    <w:name w:val="abstract"/>
    <w:basedOn w:val="Normal"/>
    <w:qFormat/>
    <w:pPr>
      <w:widowControl/>
      <w:spacing w:before="100" w:beforeAutospacing="1" w:after="100" w:afterAutospacing="1"/>
      <w:jc w:val="left"/>
    </w:pPr>
    <w:rPr>
      <w:rFonts w:cs="宋体"/>
      <w:kern w:val="0"/>
      <w:szCs w:val="24"/>
    </w:rPr>
  </w:style>
  <w:style w:type="paragraph" w:customStyle="1" w:styleId="A12">
    <w:name w:val="正文 A"/>
    <w:qFormat/>
    <w:pPr>
      <w:widowControl w:val="0"/>
      <w:spacing w:line="300" w:lineRule="auto"/>
      <w:ind w:firstLine="723"/>
      <w:jc w:val="both"/>
    </w:pPr>
    <w:rPr>
      <w:rFonts w:ascii="Arial Unicode MS" w:eastAsia="Times New Roman" w:hAnsi="Arial Unicode MS" w:cs="Arial Unicode MS" w:hint="eastAsia"/>
      <w:color w:val="000000"/>
      <w:kern w:val="2"/>
      <w:sz w:val="24"/>
      <w:szCs w:val="24"/>
      <w:lang w:val="en-US" w:eastAsia="zh-CN" w:bidi="ar-SA"/>
    </w:rPr>
  </w:style>
  <w:style w:type="paragraph" w:customStyle="1" w:styleId="0826">
    <w:name w:val="正文0826"/>
    <w:basedOn w:val="Normal"/>
    <w:qFormat/>
    <w:pPr>
      <w:autoSpaceDE w:val="0"/>
      <w:autoSpaceDN w:val="0"/>
      <w:adjustRightInd w:val="0"/>
      <w:ind w:firstLine="480"/>
    </w:pPr>
    <w:rPr>
      <w:rFonts w:ascii="Times New Roman" w:hAnsi="Times New Roman"/>
      <w:color w:val="000000"/>
      <w:szCs w:val="21"/>
    </w:rPr>
  </w:style>
  <w:style w:type="character" w:customStyle="1" w:styleId="a13">
    <w:name w:val="标题 字符"/>
    <w:basedOn w:val="DefaultParagraphFont"/>
    <w:link w:val="Title"/>
    <w:qFormat/>
    <w:rPr>
      <w:rFonts w:ascii="Cambria" w:eastAsia="宋体" w:hAnsi="Cambria" w:cs="宋体"/>
      <w:b/>
      <w:bCs/>
      <w:kern w:val="2"/>
      <w:sz w:val="32"/>
      <w:szCs w:val="32"/>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a14">
    <w:name w:val="批注主题 字符"/>
    <w:basedOn w:val="a0"/>
    <w:link w:val="CommentSubject"/>
    <w:uiPriority w:val="99"/>
    <w:qFormat/>
    <w:rPr>
      <w:rFonts w:ascii="宋体" w:hAnsi="宋体"/>
      <w:b/>
      <w:bCs/>
      <w:kern w:val="2"/>
      <w:sz w:val="24"/>
      <w:szCs w:val="22"/>
    </w:rPr>
  </w:style>
  <w:style w:type="table" w:customStyle="1" w:styleId="Table-temp">
    <w:name w:val="Table-temp"/>
    <w:basedOn w:val="TableNormal"/>
    <w:uiPriority w:val="99"/>
    <w:qFormat/>
    <w:pPr>
      <w:jc w:val="both"/>
    </w:pPr>
    <w:rPr>
      <w:rFonts w:ascii="宋体" w:eastAsia="宋体" w:hAnsi="宋体" w:cs="宋体"/>
      <w:color w:val="404040"/>
      <w:kern w:val="2"/>
      <w:sz w:val="18"/>
      <w:szCs w:val="15"/>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7F7F7F"/>
      </w:rPr>
      <w:tblPr/>
      <w:tcPr>
        <w:shd w:val="clear" w:color="auto" w:fill="F2F2F2"/>
      </w:tcPr>
    </w:tblStylePr>
    <w:tblStylePr w:type="firstCol">
      <w:rPr>
        <w:color w:val="7F7F7F"/>
      </w:rPr>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1.png"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image" Target="media/image2.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3.jpe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4.emf"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chart" Target="charts/chart1.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yperlink" Target="https://d.book118.com/927001036112006052" TargetMode="External" /><Relationship Id="rId4" Type="http://schemas.openxmlformats.org/officeDocument/2006/relationships/webSettings" Target="webSettings.xml" /><Relationship Id="rId40" Type="http://schemas.openxmlformats.org/officeDocument/2006/relationships/header" Target="header14.xml" /><Relationship Id="rId41" Type="http://schemas.openxmlformats.org/officeDocument/2006/relationships/footer" Target="footer14.xml" /><Relationship Id="rId42" Type="http://schemas.microsoft.com/office/2006/relationships/keyMapCustomizations" Target="customizations.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Sheet1!$B$1</c:f>
              <c:strCache>
                <c:ptCount val="1"/>
                <c:pt idx="0">
                  <c:v>天猫</c:v>
                </c:pt>
              </c:strCache>
            </c:strRef>
          </c:tx>
          <c:invertIfNegative val="0"/>
          <c:dLbls>
            <c:spPr>
              <a:noFill/>
              <a:ln>
                <a:noFill/>
              </a:ln>
              <a:effectLst/>
            </c:spPr>
            <c:txPr>
              <a:bodyPr rot="0" spcFirstLastPara="0" vertOverflow="ellipsis" vert="horz" wrap="square" lIns="38100" tIns="19050" rIns="38100" bIns="19050" anchor="ctr" anchorCtr="1"/>
              <a:lstStyle/>
              <a:p>
                <a:pPr>
                  <a:defRPr sz="1000" b="0" i="0" u="none" strike="noStrike" kern="1200" baseline="0">
                    <a:solidFill>
                      <a:schemeClr val="tx1"/>
                    </a:solidFill>
                    <a:latin typeface="+mn-lt"/>
                    <a:ea typeface="+mn-ea"/>
                    <a:cs typeface="+mn-cs"/>
                  </a:defRPr>
                </a:pPr>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Sheet1!$A$2:$A$11</c:f>
              <c:strCache>
                <c:ptCount val="10"/>
                <c:pt idx="0">
                  <c:v>LEGO/乐高</c:v>
                </c:pt>
                <c:pt idx="1">
                  <c:v>AULDEY/奥迪双钻</c:v>
                </c:pt>
                <c:pt idx="2">
                  <c:v>Disney/迪士尼</c:v>
                </c:pt>
                <c:pt idx="3">
                  <c:v>Fisher-price/费雪</c:v>
                </c:pt>
                <c:pt idx="4">
                  <c:v>KUB/可优比</c:v>
                </c:pt>
                <c:pt idx="5">
                  <c:v>beiens/贝恩施</c:v>
                </c:pt>
                <c:pt idx="6">
                  <c:v>火火兔</c:v>
                </c:pt>
                <c:pt idx="7">
                  <c:v>AOLE-HW/澳乐</c:v>
                </c:pt>
                <c:pt idx="8">
                  <c:v>Auby/澳贝</c:v>
                </c:pt>
                <c:pt idx="9">
                  <c:v>LIVING STONES/活石</c:v>
                </c:pt>
              </c:strCache>
            </c:strRef>
          </c:cat>
          <c:val>
            <c:numRef>
              <c:f>Sheet1!$B$2:$B$11</c:f>
              <c:numCache>
                <c:formatCode>0.00%</c:formatCode>
                <c:ptCount val="10"/>
                <c:pt idx="0">
                  <c:v>0.372</c:v>
                </c:pt>
                <c:pt idx="1">
                  <c:v>0.667</c:v>
                </c:pt>
                <c:pt idx="2">
                  <c:v>0.736</c:v>
                </c:pt>
                <c:pt idx="3">
                  <c:v>0.368</c:v>
                </c:pt>
                <c:pt idx="4">
                  <c:v>0.992</c:v>
                </c:pt>
                <c:pt idx="5">
                  <c:v>0.546</c:v>
                </c:pt>
                <c:pt idx="6">
                  <c:v>0.563</c:v>
                </c:pt>
                <c:pt idx="7">
                  <c:v>0.627</c:v>
                </c:pt>
                <c:pt idx="8">
                  <c:v>0.372</c:v>
                </c:pt>
                <c:pt idx="9">
                  <c:v>0.538</c:v>
                </c:pt>
              </c:numCache>
            </c:numRef>
          </c:val>
        </c:ser>
        <c:ser>
          <c:idx val="1"/>
          <c:order val="1"/>
          <c:tx>
            <c:strRef>
              <c:f>Sheet1!$C$1</c:f>
              <c:strCache>
                <c:ptCount val="1"/>
                <c:pt idx="0">
                  <c:v>京东</c:v>
                </c:pt>
              </c:strCache>
            </c:strRef>
          </c:tx>
          <c:invertIfNegative val="0"/>
          <c:dLbls>
            <c:spPr>
              <a:noFill/>
              <a:ln>
                <a:noFill/>
              </a:ln>
              <a:effectLst/>
            </c:spPr>
            <c:txPr>
              <a:bodyPr rot="0" spcFirstLastPara="0" vertOverflow="ellipsis" vert="horz" wrap="square" lIns="38100" tIns="19050" rIns="38100" bIns="19050" anchor="ctr" anchorCtr="1"/>
              <a:lstStyle/>
              <a:p>
                <a:pPr>
                  <a:defRPr sz="1000" b="0" i="0" u="none" strike="noStrike" kern="1200" baseline="0">
                    <a:solidFill>
                      <a:schemeClr val="tx1"/>
                    </a:solidFill>
                    <a:latin typeface="+mn-lt"/>
                    <a:ea typeface="+mn-ea"/>
                    <a:cs typeface="+mn-cs"/>
                  </a:defRPr>
                </a:pPr>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Sheet1!$A$2:$A$11</c:f>
              <c:strCache>
                <c:ptCount val="10"/>
                <c:pt idx="0">
                  <c:v>LEGO/乐高</c:v>
                </c:pt>
                <c:pt idx="1">
                  <c:v>AULDEY/奥迪双钻</c:v>
                </c:pt>
                <c:pt idx="2">
                  <c:v>Disney/迪士尼</c:v>
                </c:pt>
                <c:pt idx="3">
                  <c:v>Fisher-price/费雪</c:v>
                </c:pt>
                <c:pt idx="4">
                  <c:v>KUB/可优比</c:v>
                </c:pt>
                <c:pt idx="5">
                  <c:v>beiens/贝恩施</c:v>
                </c:pt>
                <c:pt idx="6">
                  <c:v>火火兔</c:v>
                </c:pt>
                <c:pt idx="7">
                  <c:v>AOLE-HW/澳乐</c:v>
                </c:pt>
                <c:pt idx="8">
                  <c:v>Auby/澳贝</c:v>
                </c:pt>
                <c:pt idx="9">
                  <c:v>LIVING STONES/活石</c:v>
                </c:pt>
              </c:strCache>
            </c:strRef>
          </c:cat>
          <c:val>
            <c:numRef>
              <c:f>Sheet1!$C$2:$C$11</c:f>
              <c:numCache>
                <c:formatCode>0.00%</c:formatCode>
                <c:ptCount val="10"/>
                <c:pt idx="0">
                  <c:v>0.585</c:v>
                </c:pt>
                <c:pt idx="1">
                  <c:v>0.313</c:v>
                </c:pt>
                <c:pt idx="2">
                  <c:v>0.253</c:v>
                </c:pt>
                <c:pt idx="3">
                  <c:v>0.542</c:v>
                </c:pt>
                <c:pt idx="4">
                  <c:v>0.008</c:v>
                </c:pt>
                <c:pt idx="5">
                  <c:v>0.409</c:v>
                </c:pt>
                <c:pt idx="6">
                  <c:v>0.409</c:v>
                </c:pt>
                <c:pt idx="7">
                  <c:v>0.342</c:v>
                </c:pt>
                <c:pt idx="8">
                  <c:v>0.604</c:v>
                </c:pt>
                <c:pt idx="9">
                  <c:v>0.461</c:v>
                </c:pt>
              </c:numCache>
            </c:numRef>
          </c:val>
        </c:ser>
        <c:ser>
          <c:idx val="2"/>
          <c:order val="2"/>
          <c:tx>
            <c:strRef>
              <c:f>Sheet1!$D$1</c:f>
              <c:strCache>
                <c:ptCount val="1"/>
                <c:pt idx="0">
                  <c:v>考拉+苏宁+聚美</c:v>
                </c:pt>
              </c:strCache>
            </c:strRef>
          </c:tx>
          <c:invertIfNegative val="0"/>
          <c:dLbls>
            <c:spPr>
              <a:noFill/>
              <a:ln>
                <a:noFill/>
              </a:ln>
              <a:effectLst/>
            </c:spPr>
            <c:txPr>
              <a:bodyPr rot="0" spcFirstLastPara="0" vertOverflow="ellipsis" vert="horz" wrap="square" lIns="38100" tIns="19050" rIns="38100" bIns="19050" anchor="ctr" anchorCtr="1"/>
              <a:lstStyle/>
              <a:p>
                <a:pPr>
                  <a:defRPr sz="1000" b="0" i="0" u="none" strike="noStrike" kern="1200" baseline="0">
                    <a:solidFill>
                      <a:schemeClr val="tx1"/>
                    </a:solidFill>
                    <a:latin typeface="+mn-lt"/>
                    <a:ea typeface="+mn-ea"/>
                    <a:cs typeface="+mn-cs"/>
                  </a:defRPr>
                </a:pPr>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Sheet1!$A$2:$A$11</c:f>
              <c:strCache>
                <c:ptCount val="10"/>
                <c:pt idx="0">
                  <c:v>LEGO/乐高</c:v>
                </c:pt>
                <c:pt idx="1">
                  <c:v>AULDEY/奥迪双钻</c:v>
                </c:pt>
                <c:pt idx="2">
                  <c:v>Disney/迪士尼</c:v>
                </c:pt>
                <c:pt idx="3">
                  <c:v>Fisher-price/费雪</c:v>
                </c:pt>
                <c:pt idx="4">
                  <c:v>KUB/可优比</c:v>
                </c:pt>
                <c:pt idx="5">
                  <c:v>beiens/贝恩施</c:v>
                </c:pt>
                <c:pt idx="6">
                  <c:v>火火兔</c:v>
                </c:pt>
                <c:pt idx="7">
                  <c:v>AOLE-HW/澳乐</c:v>
                </c:pt>
                <c:pt idx="8">
                  <c:v>Auby/澳贝</c:v>
                </c:pt>
                <c:pt idx="9">
                  <c:v>LIVING STONES/活石</c:v>
                </c:pt>
              </c:strCache>
            </c:strRef>
          </c:cat>
          <c:val>
            <c:numRef>
              <c:f>Sheet1!$D$2:$D$11</c:f>
              <c:numCache>
                <c:formatCode>0.00%</c:formatCode>
                <c:ptCount val="10"/>
                <c:pt idx="0">
                  <c:v>0.043</c:v>
                </c:pt>
                <c:pt idx="1">
                  <c:v>0.02</c:v>
                </c:pt>
                <c:pt idx="2">
                  <c:v>0.011</c:v>
                </c:pt>
                <c:pt idx="3">
                  <c:v>0.09</c:v>
                </c:pt>
                <c:pt idx="4">
                  <c:v>0</c:v>
                </c:pt>
                <c:pt idx="5">
                  <c:v>0.045</c:v>
                </c:pt>
                <c:pt idx="6">
                  <c:v>0.0280000000000001</c:v>
                </c:pt>
                <c:pt idx="7">
                  <c:v>0.031</c:v>
                </c:pt>
                <c:pt idx="8">
                  <c:v>0.024</c:v>
                </c:pt>
                <c:pt idx="9">
                  <c:v>0.000999999999999945</c:v>
                </c:pt>
              </c:numCache>
            </c:numRef>
          </c:val>
        </c:ser>
        <c:dLbls>
          <c:showLegendKey val="0"/>
          <c:showVal val="1"/>
          <c:showCatName val="0"/>
          <c:showSerName val="0"/>
          <c:showPercent val="0"/>
          <c:showBubbleSize val="0"/>
        </c:dLbls>
        <c:gapWidth val="150"/>
        <c:overlap val="100"/>
        <c:axId val="345146880"/>
        <c:axId val="345148416"/>
      </c:barChart>
      <c:catAx>
        <c:axId val="345146880"/>
        <c:scaling>
          <c:orientation val="maxMin"/>
        </c:scaling>
        <c:delete val="0"/>
        <c:axPos val="l"/>
        <c:majorTickMark val="out"/>
        <c:minorTickMark val="none"/>
        <c:tickLblPos val="nextTo"/>
        <c:txPr>
          <a:bodyPr rot="-60000000" spcFirstLastPara="0" vertOverflow="ellipsis" vert="horz" wrap="square" anchor="ctr" anchorCtr="1"/>
          <a:lstStyle/>
          <a:p>
            <a:pPr>
              <a:defRPr sz="1000" b="0" i="0" u="none" strike="noStrike" kern="1200" baseline="0">
                <a:solidFill>
                  <a:schemeClr val="tx1"/>
                </a:solidFill>
                <a:latin typeface="+mn-lt"/>
                <a:ea typeface="+mn-ea"/>
                <a:cs typeface="+mn-cs"/>
              </a:defRPr>
            </a:pPr>
          </a:p>
        </c:txPr>
        <c:crossAx val="345148416"/>
        <c:crosses val="autoZero"/>
        <c:auto val="1"/>
        <c:lblAlgn val="ctr"/>
        <c:lblOffset val="100"/>
        <c:noMultiLvlLbl val="0"/>
      </c:catAx>
      <c:valAx>
        <c:axId val="345148416"/>
        <c:scaling>
          <c:orientation val="minMax"/>
        </c:scaling>
        <c:delete val="1"/>
        <c:axPos val="t"/>
        <c:majorGridlines/>
        <c:numFmt formatCode="0%" sourceLinked="1"/>
        <c:majorTickMark val="out"/>
        <c:minorTickMark val="none"/>
        <c:tickLblPos val="nextTo"/>
        <c:txPr>
          <a:bodyPr rot="-60000000" spcFirstLastPara="0" vertOverflow="ellipsis" vert="horz" wrap="square" anchor="ctr" anchorCtr="1"/>
          <a:lstStyle/>
          <a:p>
            <a:pPr>
              <a:defRPr sz="1000" b="0" i="0" u="none" strike="noStrike" kern="1200" baseline="0">
                <a:solidFill>
                  <a:schemeClr val="tx1"/>
                </a:solidFill>
                <a:latin typeface="+mn-lt"/>
                <a:ea typeface="+mn-ea"/>
                <a:cs typeface="+mn-cs"/>
              </a:defRPr>
            </a:pPr>
          </a:p>
        </c:txPr>
        <c:crossAx val="345146880"/>
        <c:crosses val="autoZero"/>
        <c:crossBetween val="between"/>
      </c:valAx>
    </c:plotArea>
    <c:legend>
      <c:legendPos val="b"/>
      <c:layout/>
      <c:overlay val="0"/>
      <c:txPr>
        <a:bodyPr rot="0" spcFirstLastPara="0" vertOverflow="ellipsis" vert="horz" wrap="square" anchor="ctr" anchorCtr="1"/>
        <a:lstStyle/>
        <a:p>
          <a:pPr>
            <a:defRPr sz="1000" b="0" i="0" u="none" strike="noStrike" kern="1200" baseline="0">
              <a:solidFill>
                <a:schemeClr val="tx1"/>
              </a:solidFill>
              <a:latin typeface="+mn-lt"/>
              <a:ea typeface="+mn-ea"/>
              <a:cs typeface="+mn-cs"/>
            </a:defRPr>
          </a:pPr>
        </a:p>
      </c:txPr>
    </c:legend>
    <c:plotVisOnly val="1"/>
    <c:dispBlanksAs val="gap"/>
    <c:showDLblsOverMax val="0"/>
  </c:chart>
  <c:spPr>
    <a:ln w="9525">
      <a:noFill/>
      <a:prstDash val="solid"/>
      <a:round/>
    </a:ln>
  </c:spPr>
  <c:txPr>
    <a:bodyPr/>
    <a:lstStyle/>
    <a:p>
      <a:pPr>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xmlns:a="http://schemas.openxmlformats.org/drawingml/2006/main"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xmlns:a="http://schemas.openxmlformats.org/drawingml/2006/main"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lgn="ctr" cap="flat" cmpd="sng" w="9525">
        <a:solidFill>
          <a:schemeClr val="phClr">
            <a:shade val="95000"/>
            <a:satMod val="105000"/>
          </a:schemeClr>
        </a:solidFill>
        <a:prstDash val="solid"/>
      </a:ln>
      <a:ln algn="ctr" cap="flat" cmpd="sng" w="25400">
        <a:solidFill>
          <a:schemeClr val="phClr"/>
        </a:solidFill>
        <a:prstDash val="solid"/>
      </a:ln>
      <a:ln algn="ctr" cap="flat" cmpd="sng" w="38100">
        <a:solidFill>
          <a:schemeClr val="phClr"/>
        </a:solidFill>
        <a:prstDash val="solid"/>
      </a:ln>
    </a:lnStyleLst>
    <a:effectStyleLst>
      <a:effectStyle>
        <a:effectLst>
          <a:outerShdw blurRad="40000" dir="5400000" dist="20000" rotWithShape="0">
            <a:srgbClr val="000000">
              <a:alpha val="38000"/>
            </a:srgbClr>
          </a:outerShdw>
        </a:effectLst>
      </a:effectStyle>
      <a:effectStyle>
        <a:effectLst>
          <a:outerShdw blurRad="40000" dir="5400000" dist="23000" rotWithShape="0">
            <a:srgbClr val="000000">
              <a:alpha val="35000"/>
            </a:srgbClr>
          </a:outerShdw>
        </a:effectLst>
      </a:effectStyle>
      <a:effectStyle>
        <a:effectLst>
          <a:outerShdw blurRad="40000" dir="5400000" dist="23000" rotWithShape="0">
            <a:srgbClr val="000000">
              <a:alpha val="35000"/>
            </a:srgbClr>
          </a:outerShdw>
        </a:effectLst>
        <a:scene3d>
          <a:camera prst="orthographicFront">
            <a:rot lat="0" lon="0" rev="0"/>
          </a:camera>
          <a:lightRig dir="t" rig="threePt">
            <a:rot lat="0" lon="0" rev="1200000"/>
          </a:lightRig>
        </a:scene3d>
        <a:sp3d>
          <a:bevelT h="25400" w="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b="180000" l="50000" r="50000" t="-80000"/>
        </a:path>
      </a:gradFill>
      <a:gradFill rotWithShape="1">
        <a:gsLst>
          <a:gs pos="0">
            <a:schemeClr val="phClr">
              <a:tint val="80000"/>
              <a:satMod val="300000"/>
            </a:schemeClr>
          </a:gs>
          <a:gs pos="100000">
            <a:schemeClr val="phClr">
              <a:shade val="30000"/>
              <a:satMod val="200000"/>
            </a:schemeClr>
          </a:gs>
        </a:gsLst>
        <a:path path="circle">
          <a:fillToRect b="50000" l="50000" r="50000" t="50000"/>
        </a:path>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521906-29E2-4D47-8A3E-4C44496990D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12626</Words>
  <Characters>13559</Characters>
  <Application>Microsoft Office Word</Application>
  <DocSecurity>0</DocSecurity>
  <Lines>0</Lines>
  <Paragraphs>291</Paragraphs>
  <ScaleCrop>false</ScaleCrop>
  <Company>Sky123.Org</Company>
  <LinksUpToDate>false</LinksUpToDate>
  <CharactersWithSpaces>13884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YokiZhang(WG_SH)</dc:creator>
  <cp:lastModifiedBy>浮城</cp:lastModifiedBy>
  <cp:revision>7</cp:revision>
  <cp:lastPrinted>2019-05-03T07:00:00Z</cp:lastPrinted>
  <dcterms:created xsi:type="dcterms:W3CDTF">2021-04-11T04:09:00Z</dcterms:created>
  <dcterms:modified xsi:type="dcterms:W3CDTF">2024-03-14T01:26:15Z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62DADBFDF0634A47A153CE8E94C30A18</vt:lpwstr>
  </property>
  <property fmtid="{D5CDD505-2E9C-101B-9397-08002B2CF9AE}" pid="3" name="KSOProductBuildVer">
    <vt:lpwstr>2052-12.1.0.16250</vt:lpwstr>
  </property>
</Properties>
</file>