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9" w:after="1"/>
        <w:rPr>
          <w:rFonts w:ascii="Times New Roman"/>
        </w:rPr>
      </w:pPr>
    </w:p>
    <w:p>
      <w:pPr>
        <w:pStyle w:val="BodyText"/>
        <w:ind w:left="904"/>
        <w:rPr>
          <w:rFonts w:ascii="Times New Roman"/>
          <w:sz w:val="20"/>
        </w:rPr>
      </w:pPr>
      <w:r>
        <w:rPr>
          <w:rFonts w:ascii="Times New Roman"/>
          <w:sz w:val="20"/>
        </w:rPr>
        <w:pict>
          <v:group id="_x0000_i1025" style="width:477.9pt;height:36.8pt;mso-position-horizontal-relative:char;mso-position-vertical-relative:line" coordorigin="0,0" coordsize="9558,7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661;height:717;left:16;position:absolute;top:11" stroked="f">
              <v:imagedata r:id="rId4" o:title=""/>
            </v:shape>
            <v:shape id="_x0000_s1027" type="#_x0000_t75" style="width:2483;height:736;position:absolute" stroked="f">
              <v:imagedata r:id="rId5" o:title=""/>
            </v:shape>
            <v:shape id="_x0000_s1028" style="width:2551;height:589;left:38;position:absolute;top:33" coordorigin="38,34" coordsize="2551,589" path="m2152,34l38,34,38,623,2152,623,2589,328,2152,34xe" filled="t" fillcolor="#9c4a45" stroked="f">
              <v:fill type="solid"/>
              <v:path arrowok="t"/>
            </v:shape>
            <v:shape id="_x0000_s1029" type="#_x0000_t75" style="width:7014;height:184;left:2544;position:absolute;top:278" stroked="f">
              <v:imagedata r:id="rId6" o:title=""/>
            </v:shape>
            <v:line id="_x0000_s1030" style="position:absolute" from="2590,330" to="9427,330" stroked="t" strokecolor="#9c4a45" strokeweight="0.75pt">
              <v:stroke dashstyle="solid"/>
            </v:line>
            <v:shapetype id="_x0000_t202" coordsize="21600,21600" o:spt="202" path="m,l,21600r21600,l21600,xe">
              <v:stroke joinstyle="miter"/>
              <v:path gradientshapeok="t" o:connecttype="rect"/>
            </v:shapetype>
            <v:shape id="_x0000_s1031" type="#_x0000_t202" style="width:9558;height:736;position:absolute" filled="f" stroked="f">
              <v:textbox inset="0,0,0,0">
                <w:txbxContent>
                  <w:p>
                    <w:pPr>
                      <w:spacing w:before="132"/>
                      <w:ind w:left="187" w:right="0" w:firstLine="0"/>
                      <w:jc w:val="left"/>
                      <w:rPr>
                        <w:sz w:val="30"/>
                      </w:rPr>
                    </w:pPr>
                    <w:r>
                      <w:rPr>
                        <w:color w:val="FFFFFF"/>
                        <w:sz w:val="30"/>
                      </w:rPr>
                      <w:t>内容目录</w:t>
                    </w:r>
                  </w:p>
                </w:txbxContent>
              </v:textbox>
            </v:shape>
            <w10:wrap type="none"/>
          </v:group>
        </w:pict>
      </w:r>
    </w:p>
    <w:sdt>
      <w:sdtPr>
        <w:id w:val="935661838"/>
        <w:docPartObj>
          <w:docPartGallery w:val="Table of Contents"/>
          <w:docPartUnique/>
        </w:docPartObj>
      </w:sdtPr>
      <w:sdtContent>
        <w:p>
          <w:pPr>
            <w:pStyle w:val="TOC1"/>
            <w:numPr>
              <w:ilvl w:val="0"/>
              <w:numId w:val="12"/>
            </w:numPr>
            <w:tabs>
              <w:tab w:val="left" w:pos="1509"/>
              <w:tab w:val="left" w:pos="1510"/>
              <w:tab w:val="right" w:leader="dot" w:pos="10263"/>
            </w:tabs>
            <w:spacing w:before="77" w:after="0" w:line="240" w:lineRule="auto"/>
            <w:ind w:left="1509" w:right="0" w:hanging="419"/>
            <w:jc w:val="left"/>
            <w:rPr>
              <w:rFonts w:ascii="Times New Roman" w:eastAsia="Times New Roman"/>
            </w:rPr>
          </w:pPr>
          <w:hyperlink w:anchor="_TOC_250021" w:history="1">
            <w:r>
              <w:t>复调行业否极泰来，头部企业修身聚能</w:t>
              <w:tab/>
            </w:r>
            <w:r>
              <w:rPr>
                <w:rFonts w:ascii="Times New Roman" w:eastAsia="Times New Roman"/>
              </w:rPr>
              <w:t>6</w:t>
            </w:r>
          </w:hyperlink>
        </w:p>
        <w:p>
          <w:pPr>
            <w:pStyle w:val="TOC1"/>
            <w:numPr>
              <w:ilvl w:val="1"/>
              <w:numId w:val="12"/>
            </w:numPr>
            <w:tabs>
              <w:tab w:val="left" w:pos="1720"/>
              <w:tab w:val="left" w:pos="1721"/>
              <w:tab w:val="right" w:leader="dot" w:pos="10263"/>
            </w:tabs>
            <w:spacing w:before="139" w:after="0" w:line="240" w:lineRule="auto"/>
            <w:ind w:left="1721" w:right="0" w:hanging="630"/>
            <w:jc w:val="left"/>
            <w:rPr>
              <w:rFonts w:ascii="Times New Roman" w:eastAsia="Times New Roman"/>
            </w:rPr>
          </w:pPr>
          <w:hyperlink w:anchor="_TOC_250020" w:history="1">
            <w:r>
              <w:t>需求企稳、格局优化，行业发展迎新</w:t>
            </w:r>
            <w:r>
              <w:rPr>
                <w:spacing w:val="-5"/>
              </w:rPr>
              <w:t>起</w:t>
            </w:r>
            <w:r>
              <w:t>点</w:t>
              <w:tab/>
            </w:r>
            <w:r>
              <w:rPr>
                <w:rFonts w:ascii="Times New Roman" w:eastAsia="Times New Roman"/>
              </w:rPr>
              <w:t>6</w:t>
            </w:r>
          </w:hyperlink>
        </w:p>
        <w:p>
          <w:pPr>
            <w:pStyle w:val="TOC1"/>
            <w:numPr>
              <w:ilvl w:val="1"/>
              <w:numId w:val="12"/>
            </w:numPr>
            <w:tabs>
              <w:tab w:val="left" w:pos="1720"/>
              <w:tab w:val="left" w:pos="1721"/>
              <w:tab w:val="right" w:leader="dot" w:pos="10263"/>
            </w:tabs>
            <w:spacing w:before="139" w:after="0" w:line="240" w:lineRule="auto"/>
            <w:ind w:left="1721" w:right="0" w:hanging="630"/>
            <w:jc w:val="left"/>
            <w:rPr>
              <w:rFonts w:ascii="Times New Roman" w:eastAsia="Times New Roman"/>
            </w:rPr>
          </w:pPr>
          <w:hyperlink w:anchor="_TOC_250019" w:history="1">
            <w:r>
              <w:t>头部企业修身聚能，积极调整内外双修</w:t>
              <w:tab/>
            </w:r>
            <w:r>
              <w:rPr>
                <w:rFonts w:ascii="Times New Roman" w:eastAsia="Times New Roman"/>
              </w:rPr>
              <w:t>9</w:t>
            </w:r>
          </w:hyperlink>
        </w:p>
        <w:p>
          <w:pPr>
            <w:pStyle w:val="TOC1"/>
            <w:numPr>
              <w:ilvl w:val="0"/>
              <w:numId w:val="12"/>
            </w:numPr>
            <w:tabs>
              <w:tab w:val="left" w:pos="1509"/>
              <w:tab w:val="left" w:pos="1510"/>
              <w:tab w:val="right" w:leader="dot" w:pos="10263"/>
            </w:tabs>
            <w:spacing w:before="139" w:after="0" w:line="240" w:lineRule="auto"/>
            <w:ind w:left="1509" w:right="0" w:hanging="419"/>
            <w:jc w:val="left"/>
            <w:rPr>
              <w:rFonts w:ascii="Times New Roman" w:eastAsia="Times New Roman"/>
            </w:rPr>
          </w:pPr>
          <w:hyperlink w:anchor="_TOC_250018" w:history="1">
            <w:r>
              <w:rPr>
                <w:rFonts w:ascii="Times New Roman" w:eastAsia="Times New Roman"/>
              </w:rPr>
              <w:t>BC</w:t>
            </w:r>
            <w:r>
              <w:rPr>
                <w:rFonts w:ascii="Times New Roman" w:eastAsia="Times New Roman"/>
                <w:spacing w:val="-4"/>
              </w:rPr>
              <w:t xml:space="preserve"> </w:t>
            </w:r>
            <w:r>
              <w:t>双轮驱动，行业空间广阔，发</w:t>
            </w:r>
            <w:r>
              <w:rPr>
                <w:spacing w:val="-5"/>
              </w:rPr>
              <w:t>展</w:t>
            </w:r>
            <w:r>
              <w:t>潜力可持续</w:t>
              <w:tab/>
            </w:r>
            <w:r>
              <w:rPr>
                <w:rFonts w:ascii="Times New Roman" w:eastAsia="Times New Roman"/>
              </w:rPr>
              <w:t>10</w:t>
            </w:r>
          </w:hyperlink>
        </w:p>
        <w:p>
          <w:pPr>
            <w:pStyle w:val="TOC1"/>
            <w:numPr>
              <w:ilvl w:val="1"/>
              <w:numId w:val="12"/>
            </w:numPr>
            <w:tabs>
              <w:tab w:val="left" w:pos="1720"/>
              <w:tab w:val="left" w:pos="1721"/>
              <w:tab w:val="right" w:leader="dot" w:pos="10263"/>
            </w:tabs>
            <w:spacing w:before="139" w:after="0" w:line="240" w:lineRule="auto"/>
            <w:ind w:left="1721" w:right="0" w:hanging="630"/>
            <w:jc w:val="left"/>
            <w:rPr>
              <w:rFonts w:ascii="Times New Roman" w:eastAsia="Times New Roman"/>
            </w:rPr>
          </w:pPr>
          <w:hyperlink w:anchor="_TOC_250017" w:history="1">
            <w:r>
              <w:t>他山之石：从日本复调行业经验看国</w:t>
            </w:r>
            <w:r>
              <w:rPr>
                <w:spacing w:val="-5"/>
              </w:rPr>
              <w:t>内</w:t>
            </w:r>
            <w:r>
              <w:t>复调发展新</w:t>
            </w:r>
            <w:r>
              <w:rPr>
                <w:spacing w:val="-5"/>
              </w:rPr>
              <w:t>机</w:t>
            </w:r>
            <w:r>
              <w:t>遇</w:t>
              <w:tab/>
            </w:r>
            <w:r>
              <w:rPr>
                <w:rFonts w:ascii="Times New Roman" w:eastAsia="Times New Roman"/>
              </w:rPr>
              <w:t>10</w:t>
            </w:r>
          </w:hyperlink>
        </w:p>
        <w:p>
          <w:pPr>
            <w:pStyle w:val="TOC1"/>
            <w:numPr>
              <w:ilvl w:val="2"/>
              <w:numId w:val="12"/>
            </w:numPr>
            <w:tabs>
              <w:tab w:val="left" w:pos="1932"/>
              <w:tab w:val="left" w:pos="1933"/>
              <w:tab w:val="right" w:leader="dot" w:pos="10263"/>
            </w:tabs>
            <w:spacing w:before="139" w:after="0" w:line="240" w:lineRule="auto"/>
            <w:ind w:left="1932" w:right="0" w:hanging="842"/>
            <w:jc w:val="left"/>
            <w:rPr>
              <w:rFonts w:ascii="Times New Roman" w:eastAsia="Times New Roman"/>
            </w:rPr>
          </w:pPr>
          <w:hyperlink w:anchor="_TOC_250016" w:history="1">
            <w:r>
              <w:t>日本复调行业：横向扩张是企业发展</w:t>
            </w:r>
            <w:r>
              <w:rPr>
                <w:spacing w:val="-5"/>
              </w:rPr>
              <w:t>趋</w:t>
            </w:r>
            <w:r>
              <w:t>势，行业渗</w:t>
            </w:r>
            <w:r>
              <w:rPr>
                <w:spacing w:val="-5"/>
              </w:rPr>
              <w:t>透</w:t>
            </w:r>
            <w:r>
              <w:t>率和集中度高</w:t>
              <w:tab/>
            </w:r>
            <w:r>
              <w:rPr>
                <w:rFonts w:ascii="Times New Roman" w:eastAsia="Times New Roman"/>
              </w:rPr>
              <w:t>10</w:t>
            </w:r>
          </w:hyperlink>
        </w:p>
        <w:p>
          <w:pPr>
            <w:pStyle w:val="TOC1"/>
            <w:numPr>
              <w:ilvl w:val="2"/>
              <w:numId w:val="12"/>
            </w:numPr>
            <w:tabs>
              <w:tab w:val="left" w:pos="1932"/>
              <w:tab w:val="left" w:pos="1933"/>
              <w:tab w:val="right" w:leader="dot" w:pos="10263"/>
            </w:tabs>
            <w:spacing w:before="144" w:after="0" w:line="240" w:lineRule="auto"/>
            <w:ind w:left="1932" w:right="0" w:hanging="842"/>
            <w:jc w:val="left"/>
            <w:rPr>
              <w:rFonts w:ascii="Times New Roman" w:eastAsia="Times New Roman"/>
            </w:rPr>
          </w:pPr>
          <w:hyperlink w:anchor="_TOC_250015" w:history="1">
            <w:r>
              <w:t>我国复调行业：行业格局优化空间大</w:t>
            </w:r>
            <w:r>
              <w:rPr>
                <w:spacing w:val="-5"/>
              </w:rPr>
              <w:t>，</w:t>
            </w:r>
            <w:r>
              <w:t>集中度提升</w:t>
            </w:r>
            <w:r>
              <w:rPr>
                <w:spacing w:val="-5"/>
              </w:rPr>
              <w:t>是</w:t>
            </w:r>
            <w:r>
              <w:t>趋势</w:t>
              <w:tab/>
            </w:r>
            <w:r>
              <w:rPr>
                <w:rFonts w:ascii="Times New Roman" w:eastAsia="Times New Roman"/>
              </w:rPr>
              <w:t>12</w:t>
            </w:r>
          </w:hyperlink>
        </w:p>
        <w:p>
          <w:pPr>
            <w:pStyle w:val="TOC1"/>
            <w:numPr>
              <w:ilvl w:val="1"/>
              <w:numId w:val="12"/>
            </w:numPr>
            <w:tabs>
              <w:tab w:val="left" w:pos="1720"/>
              <w:tab w:val="left" w:pos="1721"/>
              <w:tab w:val="right" w:leader="dot" w:pos="10263"/>
            </w:tabs>
            <w:spacing w:before="138" w:after="0" w:line="240" w:lineRule="auto"/>
            <w:ind w:left="1721" w:right="0" w:hanging="630"/>
            <w:jc w:val="left"/>
            <w:rPr>
              <w:rFonts w:ascii="Times New Roman" w:eastAsia="Times New Roman"/>
            </w:rPr>
          </w:pPr>
          <w:hyperlink w:anchor="_TOC_250014" w:history="1">
            <w:r>
              <w:rPr>
                <w:rFonts w:ascii="Times New Roman" w:eastAsia="Times New Roman"/>
              </w:rPr>
              <w:t>B</w:t>
            </w:r>
            <w:r>
              <w:rPr>
                <w:rFonts w:ascii="Times New Roman" w:eastAsia="Times New Roman"/>
                <w:spacing w:val="-2"/>
              </w:rPr>
              <w:t xml:space="preserve"> </w:t>
            </w:r>
            <w:r>
              <w:t>端受益连锁化，</w:t>
            </w:r>
            <w:r>
              <w:rPr>
                <w:rFonts w:ascii="Times New Roman" w:eastAsia="Times New Roman"/>
              </w:rPr>
              <w:t>C</w:t>
            </w:r>
            <w:r>
              <w:rPr>
                <w:rFonts w:ascii="Times New Roman" w:eastAsia="Times New Roman"/>
                <w:spacing w:val="-4"/>
              </w:rPr>
              <w:t xml:space="preserve"> </w:t>
            </w:r>
            <w:r>
              <w:t>端渗透率提升，</w:t>
            </w:r>
            <w:r>
              <w:rPr>
                <w:rFonts w:ascii="Times New Roman" w:eastAsia="Times New Roman"/>
              </w:rPr>
              <w:t>BC</w:t>
            </w:r>
            <w:r>
              <w:rPr>
                <w:rFonts w:ascii="Times New Roman" w:eastAsia="Times New Roman"/>
                <w:spacing w:val="-4"/>
              </w:rPr>
              <w:t xml:space="preserve"> </w:t>
            </w:r>
            <w:r>
              <w:t>双轮驱动行业景气度提升</w:t>
              <w:tab/>
            </w:r>
            <w:r>
              <w:rPr>
                <w:rFonts w:ascii="Times New Roman" w:eastAsia="Times New Roman"/>
              </w:rPr>
              <w:t>15</w:t>
            </w:r>
          </w:hyperlink>
        </w:p>
        <w:p>
          <w:pPr>
            <w:pStyle w:val="TOC1"/>
            <w:numPr>
              <w:ilvl w:val="2"/>
              <w:numId w:val="12"/>
            </w:numPr>
            <w:tabs>
              <w:tab w:val="left" w:pos="1932"/>
              <w:tab w:val="left" w:pos="1933"/>
              <w:tab w:val="right" w:leader="dot" w:pos="10263"/>
            </w:tabs>
            <w:spacing w:before="140" w:after="0" w:line="240" w:lineRule="auto"/>
            <w:ind w:left="1932" w:right="0" w:hanging="842"/>
            <w:jc w:val="left"/>
            <w:rPr>
              <w:rFonts w:ascii="Times New Roman" w:eastAsia="Times New Roman"/>
            </w:rPr>
          </w:pPr>
          <w:hyperlink w:anchor="_TOC_250013" w:history="1">
            <w:r>
              <w:t>大</w:t>
            </w:r>
            <w:r>
              <w:rPr>
                <w:spacing w:val="-54"/>
              </w:rPr>
              <w:t xml:space="preserve"> </w:t>
            </w:r>
            <w:r>
              <w:rPr>
                <w:rFonts w:ascii="Times New Roman" w:eastAsia="Times New Roman"/>
              </w:rPr>
              <w:t>B</w:t>
            </w:r>
            <w:r>
              <w:t>：餐饮连锁化</w:t>
            </w:r>
            <w:r>
              <w:rPr>
                <w:rFonts w:ascii="Times New Roman" w:eastAsia="Times New Roman"/>
                <w:spacing w:val="-6"/>
              </w:rPr>
              <w:t>+</w:t>
            </w:r>
            <w:r>
              <w:t>西式餐供本土化，定制餐调量</w:t>
            </w:r>
            <w:r>
              <w:rPr>
                <w:spacing w:val="-5"/>
              </w:rPr>
              <w:t>增</w:t>
            </w:r>
            <w:r>
              <w:t>可期</w:t>
              <w:tab/>
            </w:r>
            <w:r>
              <w:rPr>
                <w:rFonts w:ascii="Times New Roman" w:eastAsia="Times New Roman"/>
              </w:rPr>
              <w:t>15</w:t>
            </w:r>
          </w:hyperlink>
        </w:p>
        <w:p>
          <w:pPr>
            <w:pStyle w:val="TOC1"/>
            <w:numPr>
              <w:ilvl w:val="2"/>
              <w:numId w:val="12"/>
            </w:numPr>
            <w:tabs>
              <w:tab w:val="left" w:pos="1932"/>
              <w:tab w:val="left" w:pos="1933"/>
              <w:tab w:val="right" w:leader="dot" w:pos="10263"/>
            </w:tabs>
            <w:spacing w:before="139" w:after="0" w:line="240" w:lineRule="auto"/>
            <w:ind w:left="1932" w:right="0" w:hanging="842"/>
            <w:jc w:val="left"/>
            <w:rPr>
              <w:rFonts w:ascii="Times New Roman" w:eastAsia="Times New Roman"/>
            </w:rPr>
          </w:pPr>
          <w:hyperlink w:anchor="_TOC_250012" w:history="1">
            <w:r>
              <w:t>小</w:t>
            </w:r>
            <w:r>
              <w:rPr>
                <w:spacing w:val="-54"/>
              </w:rPr>
              <w:t xml:space="preserve"> </w:t>
            </w:r>
            <w:r>
              <w:rPr>
                <w:rFonts w:ascii="Times New Roman" w:eastAsia="Times New Roman"/>
              </w:rPr>
              <w:t>B</w:t>
            </w:r>
            <w:r>
              <w:t>：复调优势契合小</w:t>
            </w:r>
            <w:r>
              <w:rPr>
                <w:spacing w:val="-53"/>
              </w:rPr>
              <w:t xml:space="preserve"> </w:t>
            </w:r>
            <w:r>
              <w:rPr>
                <w:rFonts w:ascii="Times New Roman" w:eastAsia="Times New Roman"/>
              </w:rPr>
              <w:t>B</w:t>
            </w:r>
            <w:r>
              <w:rPr>
                <w:rFonts w:ascii="Times New Roman" w:eastAsia="Times New Roman"/>
                <w:spacing w:val="-2"/>
              </w:rPr>
              <w:t xml:space="preserve"> </w:t>
            </w:r>
            <w:r>
              <w:t>端应用需求，未来星辰</w:t>
            </w:r>
            <w:r>
              <w:rPr>
                <w:spacing w:val="-5"/>
              </w:rPr>
              <w:t>大</w:t>
            </w:r>
            <w:r>
              <w:t>海</w:t>
              <w:tab/>
            </w:r>
            <w:r>
              <w:rPr>
                <w:rFonts w:ascii="Times New Roman" w:eastAsia="Times New Roman"/>
              </w:rPr>
              <w:t>17</w:t>
            </w:r>
          </w:hyperlink>
        </w:p>
        <w:p>
          <w:pPr>
            <w:pStyle w:val="TOC1"/>
            <w:numPr>
              <w:ilvl w:val="2"/>
              <w:numId w:val="12"/>
            </w:numPr>
            <w:tabs>
              <w:tab w:val="left" w:pos="1932"/>
              <w:tab w:val="left" w:pos="1933"/>
              <w:tab w:val="right" w:leader="dot" w:pos="10263"/>
            </w:tabs>
            <w:spacing w:before="139" w:after="0" w:line="240" w:lineRule="auto"/>
            <w:ind w:left="1932" w:right="0" w:hanging="842"/>
            <w:jc w:val="left"/>
            <w:rPr>
              <w:rFonts w:ascii="Times New Roman" w:eastAsia="Times New Roman"/>
            </w:rPr>
          </w:pPr>
          <w:hyperlink w:anchor="_TOC_250011" w:history="1">
            <w:r>
              <w:rPr>
                <w:rFonts w:ascii="Times New Roman" w:eastAsia="Times New Roman"/>
              </w:rPr>
              <w:t>C</w:t>
            </w:r>
            <w:r>
              <w:rPr>
                <w:rFonts w:ascii="Times New Roman" w:eastAsia="Times New Roman"/>
                <w:spacing w:val="-4"/>
              </w:rPr>
              <w:t xml:space="preserve"> </w:t>
            </w:r>
            <w:r>
              <w:t>端：必选属性增</w:t>
            </w:r>
            <w:r>
              <w:rPr>
                <w:spacing w:val="5"/>
              </w:rPr>
              <w:t>强</w:t>
            </w:r>
            <w:r>
              <w:rPr>
                <w:rFonts w:ascii="Times New Roman" w:eastAsia="Times New Roman"/>
                <w:spacing w:val="-5"/>
              </w:rPr>
              <w:t>+</w:t>
            </w:r>
            <w:r>
              <w:t>生活节奏加快+家庭结构变化</w:t>
            </w:r>
            <w:r>
              <w:rPr>
                <w:spacing w:val="-5"/>
              </w:rPr>
              <w:t>，</w:t>
            </w:r>
            <w:r>
              <w:t>共同提振新需求</w:t>
              <w:tab/>
            </w:r>
            <w:r>
              <w:rPr>
                <w:rFonts w:ascii="Times New Roman" w:eastAsia="Times New Roman"/>
              </w:rPr>
              <w:t>19</w:t>
            </w:r>
          </w:hyperlink>
        </w:p>
        <w:p>
          <w:pPr>
            <w:pStyle w:val="TOC1"/>
            <w:numPr>
              <w:ilvl w:val="2"/>
              <w:numId w:val="12"/>
            </w:numPr>
            <w:tabs>
              <w:tab w:val="left" w:pos="1932"/>
              <w:tab w:val="left" w:pos="1933"/>
              <w:tab w:val="right" w:leader="dot" w:pos="10263"/>
            </w:tabs>
            <w:spacing w:before="139" w:after="0" w:line="240" w:lineRule="auto"/>
            <w:ind w:left="1932" w:right="0" w:hanging="842"/>
            <w:jc w:val="left"/>
            <w:rPr>
              <w:rFonts w:ascii="Times New Roman" w:eastAsia="Times New Roman"/>
            </w:rPr>
          </w:pPr>
          <w:hyperlink w:anchor="_TOC_250010" w:history="1">
            <w:r>
              <w:t>综上，我国复合调味品市场呈现快速</w:t>
            </w:r>
            <w:r>
              <w:rPr>
                <w:spacing w:val="-5"/>
              </w:rPr>
              <w:t>增</w:t>
            </w:r>
            <w:r>
              <w:t>长趋势，远</w:t>
            </w:r>
            <w:r>
              <w:rPr>
                <w:spacing w:val="-5"/>
              </w:rPr>
              <w:t>期</w:t>
            </w:r>
            <w:r>
              <w:t>规模或达</w:t>
            </w:r>
            <w:r>
              <w:rPr>
                <w:spacing w:val="-46"/>
              </w:rPr>
              <w:t xml:space="preserve"> </w:t>
            </w:r>
            <w:r>
              <w:rPr>
                <w:rFonts w:ascii="Times New Roman" w:eastAsia="Times New Roman"/>
              </w:rPr>
              <w:t>4700</w:t>
            </w:r>
            <w:r>
              <w:rPr>
                <w:rFonts w:ascii="Times New Roman" w:eastAsia="Times New Roman"/>
                <w:spacing w:val="-5"/>
              </w:rPr>
              <w:t xml:space="preserve"> </w:t>
            </w:r>
            <w:r>
              <w:t>亿元</w:t>
              <w:tab/>
            </w:r>
            <w:r>
              <w:rPr>
                <w:rFonts w:ascii="Times New Roman" w:eastAsia="Times New Roman"/>
              </w:rPr>
              <w:t>22</w:t>
            </w:r>
          </w:hyperlink>
        </w:p>
        <w:p>
          <w:pPr>
            <w:pStyle w:val="TOC1"/>
            <w:numPr>
              <w:ilvl w:val="1"/>
              <w:numId w:val="12"/>
            </w:numPr>
            <w:tabs>
              <w:tab w:val="left" w:pos="1720"/>
              <w:tab w:val="left" w:pos="1721"/>
              <w:tab w:val="right" w:leader="dot" w:pos="10263"/>
            </w:tabs>
            <w:spacing w:before="139" w:after="0" w:line="240" w:lineRule="auto"/>
            <w:ind w:left="1721" w:right="0" w:hanging="630"/>
            <w:jc w:val="left"/>
            <w:rPr>
              <w:rFonts w:ascii="Times New Roman" w:eastAsia="Times New Roman"/>
            </w:rPr>
          </w:pPr>
          <w:hyperlink w:anchor="_TOC_250009" w:history="1">
            <w:r>
              <w:t>西式复调平稳，中式调料</w:t>
            </w:r>
            <w:r>
              <w:rPr>
                <w:rFonts w:ascii="Times New Roman" w:eastAsia="Times New Roman"/>
                <w:spacing w:val="-6"/>
              </w:rPr>
              <w:t>+</w:t>
            </w:r>
            <w:r>
              <w:t>火锅底料推动行业增长</w:t>
              <w:tab/>
            </w:r>
            <w:r>
              <w:rPr>
                <w:rFonts w:ascii="Times New Roman" w:eastAsia="Times New Roman"/>
              </w:rPr>
              <w:t>22</w:t>
            </w:r>
          </w:hyperlink>
        </w:p>
        <w:p>
          <w:pPr>
            <w:pStyle w:val="TOC1"/>
            <w:numPr>
              <w:ilvl w:val="0"/>
              <w:numId w:val="12"/>
            </w:numPr>
            <w:tabs>
              <w:tab w:val="left" w:pos="1509"/>
              <w:tab w:val="left" w:pos="1510"/>
              <w:tab w:val="right" w:leader="dot" w:pos="10263"/>
            </w:tabs>
            <w:spacing w:before="139" w:after="0" w:line="240" w:lineRule="auto"/>
            <w:ind w:left="1509" w:right="0" w:hanging="419"/>
            <w:jc w:val="left"/>
            <w:rPr>
              <w:rFonts w:ascii="Times New Roman" w:eastAsia="Times New Roman"/>
            </w:rPr>
          </w:pPr>
          <w:hyperlink w:anchor="_TOC_250008" w:history="1">
            <w:r>
              <w:t>商业模式各有千秋，</w:t>
            </w:r>
            <w:r>
              <w:rPr>
                <w:rFonts w:ascii="Times New Roman" w:eastAsia="Times New Roman"/>
              </w:rPr>
              <w:t>C+B</w:t>
            </w:r>
            <w:r>
              <w:rPr>
                <w:rFonts w:ascii="Times New Roman" w:eastAsia="Times New Roman"/>
                <w:spacing w:val="-1"/>
              </w:rPr>
              <w:t xml:space="preserve"> </w:t>
            </w:r>
            <w:r>
              <w:t>更见成长空间</w:t>
              <w:tab/>
            </w:r>
            <w:r>
              <w:rPr>
                <w:rFonts w:ascii="Times New Roman" w:eastAsia="Times New Roman"/>
              </w:rPr>
              <w:t>25</w:t>
            </w:r>
          </w:hyperlink>
        </w:p>
        <w:p>
          <w:pPr>
            <w:pStyle w:val="TOC1"/>
            <w:numPr>
              <w:ilvl w:val="1"/>
              <w:numId w:val="12"/>
            </w:numPr>
            <w:tabs>
              <w:tab w:val="left" w:pos="1720"/>
              <w:tab w:val="left" w:pos="1721"/>
              <w:tab w:val="right" w:leader="dot" w:pos="10263"/>
            </w:tabs>
            <w:spacing w:before="139" w:after="0" w:line="240" w:lineRule="auto"/>
            <w:ind w:left="1721" w:right="0" w:hanging="630"/>
            <w:jc w:val="left"/>
            <w:rPr>
              <w:rFonts w:ascii="Times New Roman" w:eastAsia="Times New Roman"/>
            </w:rPr>
          </w:pPr>
          <w:hyperlink w:anchor="_TOC_250007" w:history="1">
            <w:r>
              <w:t>多维对比，</w:t>
            </w:r>
            <w:r>
              <w:rPr>
                <w:rFonts w:ascii="Times New Roman" w:eastAsia="Times New Roman"/>
              </w:rPr>
              <w:t>B</w:t>
            </w:r>
            <w:r>
              <w:rPr>
                <w:rFonts w:ascii="Times New Roman" w:eastAsia="Times New Roman"/>
                <w:spacing w:val="-2"/>
              </w:rPr>
              <w:t xml:space="preserve"> </w:t>
            </w:r>
            <w:r>
              <w:t>端定制化是主要抓手，</w:t>
            </w:r>
            <w:r>
              <w:rPr>
                <w:rFonts w:ascii="Times New Roman" w:eastAsia="Times New Roman"/>
              </w:rPr>
              <w:t>C</w:t>
            </w:r>
            <w:r>
              <w:rPr>
                <w:rFonts w:ascii="Times New Roman" w:eastAsia="Times New Roman"/>
                <w:spacing w:val="-4"/>
              </w:rPr>
              <w:t xml:space="preserve"> </w:t>
            </w:r>
            <w:r>
              <w:t>端侧重渠道</w:t>
            </w:r>
            <w:r>
              <w:rPr>
                <w:spacing w:val="-5"/>
              </w:rPr>
              <w:t>建</w:t>
            </w:r>
            <w:r>
              <w:t>设</w:t>
              <w:tab/>
            </w:r>
            <w:r>
              <w:rPr>
                <w:rFonts w:ascii="Times New Roman" w:eastAsia="Times New Roman"/>
              </w:rPr>
              <w:t>25</w:t>
            </w:r>
          </w:hyperlink>
        </w:p>
        <w:p>
          <w:pPr>
            <w:pStyle w:val="TOC1"/>
            <w:numPr>
              <w:ilvl w:val="1"/>
              <w:numId w:val="12"/>
            </w:numPr>
            <w:tabs>
              <w:tab w:val="left" w:pos="1720"/>
              <w:tab w:val="left" w:pos="1721"/>
              <w:tab w:val="right" w:leader="dot" w:pos="10263"/>
            </w:tabs>
            <w:spacing w:before="139" w:after="0" w:line="240" w:lineRule="auto"/>
            <w:ind w:left="1721" w:right="0" w:hanging="630"/>
            <w:jc w:val="left"/>
            <w:rPr>
              <w:rFonts w:ascii="Times New Roman" w:eastAsia="Times New Roman"/>
            </w:rPr>
          </w:pPr>
          <w:hyperlink w:anchor="_TOC_250006" w:history="1">
            <w:r>
              <w:t>排列组合看不同商业模式组合，探寻</w:t>
            </w:r>
            <w:r>
              <w:rPr>
                <w:spacing w:val="-5"/>
              </w:rPr>
              <w:t>企</w:t>
            </w:r>
            <w:r>
              <w:t>业发展之路</w:t>
              <w:tab/>
            </w:r>
            <w:r>
              <w:rPr>
                <w:rFonts w:ascii="Times New Roman" w:eastAsia="Times New Roman"/>
              </w:rPr>
              <w:t>28</w:t>
            </w:r>
          </w:hyperlink>
        </w:p>
        <w:p>
          <w:pPr>
            <w:pStyle w:val="TOC1"/>
            <w:numPr>
              <w:ilvl w:val="2"/>
              <w:numId w:val="12"/>
            </w:numPr>
            <w:tabs>
              <w:tab w:val="left" w:pos="1932"/>
              <w:tab w:val="left" w:pos="1933"/>
              <w:tab w:val="right" w:leader="dot" w:pos="10263"/>
            </w:tabs>
            <w:spacing w:before="144" w:after="0" w:line="240" w:lineRule="auto"/>
            <w:ind w:left="1932" w:right="0" w:hanging="842"/>
            <w:jc w:val="left"/>
            <w:rPr>
              <w:rFonts w:ascii="Times New Roman" w:eastAsia="Times New Roman"/>
            </w:rPr>
          </w:pPr>
          <w:hyperlink w:anchor="_TOC_250005" w:history="1">
            <w:r>
              <w:t>大</w:t>
            </w:r>
            <w:r>
              <w:rPr>
                <w:spacing w:val="-54"/>
              </w:rPr>
              <w:t xml:space="preserve"> </w:t>
            </w:r>
            <w:r>
              <w:rPr>
                <w:rFonts w:ascii="Times New Roman" w:eastAsia="Times New Roman"/>
              </w:rPr>
              <w:t>B+</w:t>
            </w:r>
            <w:r>
              <w:t>小</w:t>
            </w:r>
            <w:r>
              <w:rPr>
                <w:spacing w:val="-53"/>
              </w:rPr>
              <w:t xml:space="preserve"> </w:t>
            </w:r>
            <w:r>
              <w:rPr>
                <w:rFonts w:ascii="Times New Roman" w:eastAsia="Times New Roman"/>
              </w:rPr>
              <w:t>B</w:t>
            </w:r>
            <w:r>
              <w:t>：相辅相成，渠道共性产品力促进客户</w:t>
            </w:r>
            <w:r>
              <w:rPr>
                <w:spacing w:val="-5"/>
              </w:rPr>
              <w:t>结</w:t>
            </w:r>
            <w:r>
              <w:t>构优化</w:t>
              <w:tab/>
            </w:r>
            <w:r>
              <w:rPr>
                <w:rFonts w:ascii="Times New Roman" w:eastAsia="Times New Roman"/>
              </w:rPr>
              <w:t>29</w:t>
            </w:r>
          </w:hyperlink>
        </w:p>
        <w:p>
          <w:pPr>
            <w:pStyle w:val="TOC1"/>
            <w:numPr>
              <w:ilvl w:val="2"/>
              <w:numId w:val="12"/>
            </w:numPr>
            <w:tabs>
              <w:tab w:val="left" w:pos="1932"/>
              <w:tab w:val="left" w:pos="1933"/>
              <w:tab w:val="right" w:leader="dot" w:pos="10263"/>
            </w:tabs>
            <w:spacing w:before="139" w:after="0" w:line="240" w:lineRule="auto"/>
            <w:ind w:left="1932" w:right="0" w:hanging="842"/>
            <w:jc w:val="left"/>
            <w:rPr>
              <w:rFonts w:ascii="Times New Roman" w:eastAsia="Times New Roman"/>
            </w:rPr>
          </w:pPr>
          <w:hyperlink w:anchor="_TOC_250004" w:history="1">
            <w:r>
              <w:rPr>
                <w:rFonts w:ascii="Times New Roman" w:eastAsia="Times New Roman"/>
              </w:rPr>
              <w:t>B+C</w:t>
            </w:r>
            <w:r>
              <w:t>：</w:t>
            </w:r>
            <w:r>
              <w:rPr>
                <w:rFonts w:ascii="Times New Roman" w:eastAsia="Times New Roman"/>
              </w:rPr>
              <w:t>B</w:t>
            </w:r>
            <w:r>
              <w:rPr>
                <w:rFonts w:ascii="Times New Roman" w:eastAsia="Times New Roman"/>
                <w:spacing w:val="-1"/>
              </w:rPr>
              <w:t xml:space="preserve"> </w:t>
            </w:r>
            <w:r>
              <w:t>端稳健，</w:t>
            </w:r>
            <w:r>
              <w:rPr>
                <w:rFonts w:ascii="Times New Roman" w:eastAsia="Times New Roman"/>
              </w:rPr>
              <w:t>C</w:t>
            </w:r>
            <w:r>
              <w:rPr>
                <w:rFonts w:ascii="Times New Roman" w:eastAsia="Times New Roman"/>
                <w:spacing w:val="-4"/>
              </w:rPr>
              <w:t xml:space="preserve"> </w:t>
            </w:r>
            <w:r>
              <w:t>端打开天花板，但存基因差异</w:t>
              <w:tab/>
            </w:r>
            <w:r>
              <w:rPr>
                <w:rFonts w:ascii="Times New Roman" w:eastAsia="Times New Roman"/>
              </w:rPr>
              <w:t>30</w:t>
            </w:r>
          </w:hyperlink>
        </w:p>
        <w:p>
          <w:pPr>
            <w:pStyle w:val="TOC1"/>
            <w:numPr>
              <w:ilvl w:val="2"/>
              <w:numId w:val="12"/>
            </w:numPr>
            <w:tabs>
              <w:tab w:val="left" w:pos="1932"/>
              <w:tab w:val="left" w:pos="1933"/>
              <w:tab w:val="right" w:leader="dot" w:pos="10263"/>
            </w:tabs>
            <w:spacing w:before="139" w:after="0" w:line="240" w:lineRule="auto"/>
            <w:ind w:left="1932" w:right="0" w:hanging="842"/>
            <w:jc w:val="left"/>
            <w:rPr>
              <w:rFonts w:ascii="Times New Roman" w:eastAsia="Times New Roman"/>
            </w:rPr>
          </w:pPr>
          <w:hyperlink w:anchor="_TOC_250003" w:history="1">
            <w:r>
              <w:rPr>
                <w:rFonts w:ascii="Times New Roman" w:eastAsia="Times New Roman"/>
              </w:rPr>
              <w:t>C+B</w:t>
            </w:r>
            <w:r>
              <w:t>：全渠覆盖优势显著，综合</w:t>
            </w:r>
            <w:r>
              <w:rPr>
                <w:spacing w:val="-5"/>
              </w:rPr>
              <w:t>商</w:t>
            </w:r>
            <w:r>
              <w:t>业模式拔头筹</w:t>
              <w:tab/>
            </w:r>
            <w:r>
              <w:rPr>
                <w:rFonts w:ascii="Times New Roman" w:eastAsia="Times New Roman"/>
              </w:rPr>
              <w:t>31</w:t>
            </w:r>
          </w:hyperlink>
        </w:p>
        <w:p>
          <w:pPr>
            <w:pStyle w:val="TOC1"/>
            <w:numPr>
              <w:ilvl w:val="2"/>
              <w:numId w:val="12"/>
            </w:numPr>
            <w:tabs>
              <w:tab w:val="left" w:pos="1932"/>
              <w:tab w:val="left" w:pos="1933"/>
              <w:tab w:val="right" w:leader="dot" w:pos="10263"/>
            </w:tabs>
            <w:spacing w:before="139" w:after="0" w:line="240" w:lineRule="auto"/>
            <w:ind w:left="1932" w:right="0" w:hanging="842"/>
            <w:jc w:val="left"/>
            <w:rPr>
              <w:rFonts w:ascii="Times New Roman" w:eastAsia="Times New Roman"/>
            </w:rPr>
          </w:pPr>
          <w:hyperlink w:anchor="_TOC_250002" w:history="1">
            <w:r>
              <w:t>一致百虑殊途同归，基于自身禀赋不</w:t>
            </w:r>
            <w:r>
              <w:rPr>
                <w:spacing w:val="-5"/>
              </w:rPr>
              <w:t>断</w:t>
            </w:r>
            <w:r>
              <w:t>优化</w:t>
              <w:tab/>
            </w:r>
            <w:r>
              <w:rPr>
                <w:rFonts w:ascii="Times New Roman" w:eastAsia="Times New Roman"/>
              </w:rPr>
              <w:t>33</w:t>
            </w:r>
          </w:hyperlink>
        </w:p>
        <w:p>
          <w:pPr>
            <w:pStyle w:val="TOC1"/>
            <w:numPr>
              <w:ilvl w:val="0"/>
              <w:numId w:val="12"/>
            </w:numPr>
            <w:tabs>
              <w:tab w:val="left" w:pos="1509"/>
              <w:tab w:val="left" w:pos="1510"/>
              <w:tab w:val="right" w:leader="dot" w:pos="10263"/>
            </w:tabs>
            <w:spacing w:before="139" w:after="0" w:line="240" w:lineRule="auto"/>
            <w:ind w:left="1509" w:right="0" w:hanging="419"/>
            <w:jc w:val="left"/>
            <w:rPr>
              <w:rFonts w:ascii="Times New Roman" w:eastAsia="Times New Roman"/>
            </w:rPr>
          </w:pPr>
          <w:hyperlink w:anchor="_TOC_250001" w:history="1">
            <w:r>
              <w:t>投资建议：行业格局逐步优化，</w:t>
            </w:r>
            <w:r>
              <w:rPr>
                <w:rFonts w:ascii="Times New Roman" w:eastAsia="Times New Roman"/>
              </w:rPr>
              <w:t>BC</w:t>
            </w:r>
            <w:r>
              <w:rPr>
                <w:rFonts w:ascii="Times New Roman" w:eastAsia="Times New Roman"/>
                <w:spacing w:val="-4"/>
              </w:rPr>
              <w:t xml:space="preserve"> </w:t>
            </w:r>
            <w:r>
              <w:t>端看龙头引领</w:t>
            </w:r>
            <w:r>
              <w:rPr>
                <w:spacing w:val="-5"/>
              </w:rPr>
              <w:t>发</w:t>
            </w:r>
            <w:r>
              <w:t>展</w:t>
              <w:tab/>
            </w:r>
            <w:r>
              <w:rPr>
                <w:rFonts w:ascii="Times New Roman" w:eastAsia="Times New Roman"/>
              </w:rPr>
              <w:t>34</w:t>
            </w:r>
          </w:hyperlink>
        </w:p>
        <w:p>
          <w:pPr>
            <w:pStyle w:val="TOC1"/>
            <w:numPr>
              <w:ilvl w:val="0"/>
              <w:numId w:val="12"/>
            </w:numPr>
            <w:tabs>
              <w:tab w:val="left" w:pos="1509"/>
              <w:tab w:val="left" w:pos="1510"/>
              <w:tab w:val="right" w:leader="dot" w:pos="10263"/>
            </w:tabs>
            <w:spacing w:before="139" w:after="0" w:line="240" w:lineRule="auto"/>
            <w:ind w:left="1509" w:right="0" w:hanging="419"/>
            <w:jc w:val="left"/>
            <w:rPr>
              <w:rFonts w:ascii="Times New Roman" w:eastAsia="Times New Roman"/>
            </w:rPr>
          </w:pPr>
          <w:hyperlink w:anchor="_TOC_250000" w:history="1">
            <w:r>
              <w:t>风险提示</w:t>
              <w:tab/>
            </w:r>
            <w:r>
              <w:rPr>
                <w:rFonts w:ascii="Times New Roman" w:eastAsia="Times New Roman"/>
              </w:rPr>
              <w:t>35</w:t>
            </w:r>
          </w:hyperlink>
        </w:p>
      </w:sdtContent>
    </w:sdt>
    <w:p>
      <w:pPr>
        <w:pStyle w:val="BodyText"/>
        <w:rPr>
          <w:rFonts w:ascii="Times New Roman"/>
          <w:b/>
          <w:sz w:val="20"/>
        </w:rPr>
      </w:pPr>
    </w:p>
    <w:p>
      <w:pPr>
        <w:pStyle w:val="BodyText"/>
        <w:spacing w:before="4"/>
        <w:rPr>
          <w:rFonts w:ascii="Times New Roman"/>
          <w:b/>
          <w:sz w:val="23"/>
        </w:rPr>
      </w:pPr>
      <w:r>
        <w:pict>
          <v:group id="_x0000_s1032" style="width:477.9pt;height:37.05pt;margin-top:15.41pt;margin-left:67.2pt;mso-position-horizontal-relative:page;mso-wrap-distance-left:0;mso-wrap-distance-right:0;position:absolute;z-index:-251658240" coordorigin="1344,308" coordsize="9558,741">
            <v:shape id="_x0000_s1033" type="#_x0000_t75" style="width:2661;height:717;left:1360;position:absolute;top:320" stroked="f">
              <v:imagedata r:id="rId4" o:title=""/>
            </v:shape>
            <v:shape id="_x0000_s1034" type="#_x0000_t75" style="width:2483;height:741;left:1344;position:absolute;top:308" stroked="f">
              <v:imagedata r:id="rId7" o:title=""/>
            </v:shape>
            <v:shape id="_x0000_s1035" style="width:2551;height:589;left:1382;position:absolute;top:341" coordorigin="1382,342" coordsize="2551,589" path="m3496,342l1382,342,1382,931,3496,931,3933,636,3496,342xe" filled="t" fillcolor="#9c4a45" stroked="f">
              <v:fill type="solid"/>
              <v:path arrowok="t"/>
            </v:shape>
            <v:shape id="_x0000_s1036" type="#_x0000_t75" style="width:7014;height:184;left:3888;position:absolute;top:586" stroked="f">
              <v:imagedata r:id="rId8" o:title=""/>
            </v:shape>
            <v:line id="_x0000_s1037" style="position:absolute" from="3933,638" to="10770,638" stroked="t" strokecolor="#9c4a45" strokeweight="0.75pt">
              <v:stroke dashstyle="solid"/>
            </v:line>
            <v:shape id="_x0000_s1038" type="#_x0000_t202" style="width:9558;height:741;left:1344;position:absolute;top:308" filled="f" stroked="f">
              <v:textbox inset="0,0,0,0">
                <w:txbxContent>
                  <w:p>
                    <w:pPr>
                      <w:spacing w:before="145"/>
                      <w:ind w:left="187" w:right="0" w:firstLine="0"/>
                      <w:jc w:val="left"/>
                      <w:rPr>
                        <w:sz w:val="30"/>
                      </w:rPr>
                    </w:pPr>
                    <w:r>
                      <w:rPr>
                        <w:color w:val="FFFFFF"/>
                        <w:sz w:val="30"/>
                      </w:rPr>
                      <w:t>图表目录</w:t>
                    </w:r>
                  </w:p>
                </w:txbxContent>
              </v:textbox>
            </v:shape>
            <w10:wrap type="topAndBottom"/>
          </v:group>
        </w:pict>
      </w:r>
    </w:p>
    <w:p>
      <w:pPr>
        <w:tabs>
          <w:tab w:val="left" w:leader="dot" w:pos="10157"/>
        </w:tabs>
        <w:spacing w:before="80"/>
        <w:ind w:left="1091" w:right="0" w:firstLine="0"/>
        <w:jc w:val="left"/>
        <w:rPr>
          <w:rFonts w:ascii="Times New Roman" w:eastAsia="Times New Roman"/>
          <w:b/>
          <w:sz w:val="21"/>
        </w:rPr>
      </w:pPr>
      <w:r>
        <w:rPr>
          <w:b/>
          <w:sz w:val="21"/>
        </w:rPr>
        <w:t>图</w:t>
      </w:r>
      <w:r>
        <w:rPr>
          <w:b/>
          <w:spacing w:val="-48"/>
          <w:sz w:val="21"/>
        </w:rPr>
        <w:t xml:space="preserve"> </w:t>
      </w:r>
      <w:r>
        <w:rPr>
          <w:rFonts w:ascii="Times New Roman" w:eastAsia="Times New Roman"/>
          <w:b/>
          <w:sz w:val="21"/>
        </w:rPr>
        <w:t>1.</w:t>
      </w:r>
      <w:r>
        <w:rPr>
          <w:rFonts w:ascii="Times New Roman" w:eastAsia="Times New Roman"/>
          <w:b/>
          <w:spacing w:val="52"/>
          <w:sz w:val="21"/>
        </w:rPr>
        <w:t xml:space="preserve"> </w:t>
      </w:r>
      <w:r>
        <w:rPr>
          <w:b/>
          <w:sz w:val="21"/>
        </w:rPr>
        <w:t>中国复合调味品零售端市场</w:t>
      </w:r>
      <w:r>
        <w:rPr>
          <w:b/>
          <w:spacing w:val="-5"/>
          <w:sz w:val="21"/>
        </w:rPr>
        <w:t>规</w:t>
      </w:r>
      <w:r>
        <w:rPr>
          <w:b/>
          <w:sz w:val="21"/>
        </w:rPr>
        <w:t>模及市场发展</w:t>
      </w:r>
      <w:r>
        <w:rPr>
          <w:b/>
          <w:spacing w:val="-5"/>
          <w:sz w:val="21"/>
        </w:rPr>
        <w:t>历</w:t>
      </w:r>
      <w:r>
        <w:rPr>
          <w:b/>
          <w:sz w:val="21"/>
        </w:rPr>
        <w:t>程</w:t>
        <w:tab/>
      </w:r>
      <w:r>
        <w:rPr>
          <w:rFonts w:ascii="Times New Roman" w:eastAsia="Times New Roman"/>
          <w:b/>
          <w:sz w:val="21"/>
        </w:rPr>
        <w:t>6</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2. 2017-2019</w:t>
      </w:r>
      <w:r>
        <w:rPr>
          <w:rFonts w:ascii="Times New Roman" w:eastAsia="Times New Roman"/>
          <w:b/>
          <w:spacing w:val="-5"/>
          <w:sz w:val="21"/>
        </w:rPr>
        <w:t xml:space="preserve"> </w:t>
      </w:r>
      <w:r>
        <w:rPr>
          <w:b/>
          <w:sz w:val="21"/>
        </w:rPr>
        <w:t>年复合调味品生产总量与增长率</w:t>
        <w:tab/>
      </w:r>
      <w:r>
        <w:rPr>
          <w:rFonts w:ascii="Times New Roman" w:eastAsia="Times New Roman"/>
          <w:b/>
          <w:sz w:val="21"/>
        </w:rPr>
        <w:t>7</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 xml:space="preserve">3. </w:t>
      </w:r>
      <w:r>
        <w:rPr>
          <w:rFonts w:ascii="Times New Roman" w:eastAsia="Times New Roman"/>
          <w:b/>
          <w:spacing w:val="-3"/>
          <w:sz w:val="21"/>
        </w:rPr>
        <w:t>2011-2020</w:t>
      </w:r>
      <w:r>
        <w:rPr>
          <w:rFonts w:ascii="Times New Roman" w:eastAsia="Times New Roman"/>
          <w:b/>
          <w:spacing w:val="-5"/>
          <w:sz w:val="21"/>
        </w:rPr>
        <w:t xml:space="preserve"> </w:t>
      </w:r>
      <w:r>
        <w:rPr>
          <w:b/>
          <w:sz w:val="21"/>
        </w:rPr>
        <w:t>年调味品品牌投融资事件数</w:t>
      </w:r>
      <w:r>
        <w:rPr>
          <w:rFonts w:ascii="Times New Roman" w:eastAsia="Times New Roman"/>
          <w:b/>
          <w:spacing w:val="-3"/>
          <w:sz w:val="21"/>
        </w:rPr>
        <w:t>&amp;</w:t>
      </w:r>
      <w:r>
        <w:rPr>
          <w:b/>
          <w:sz w:val="21"/>
        </w:rPr>
        <w:t>披露</w:t>
      </w:r>
      <w:r>
        <w:rPr>
          <w:b/>
          <w:spacing w:val="-5"/>
          <w:sz w:val="21"/>
        </w:rPr>
        <w:t>金</w:t>
      </w:r>
      <w:r>
        <w:rPr>
          <w:b/>
          <w:sz w:val="21"/>
        </w:rPr>
        <w:t>额</w:t>
        <w:tab/>
      </w:r>
      <w:r>
        <w:rPr>
          <w:rFonts w:ascii="Times New Roman" w:eastAsia="Times New Roman"/>
          <w:b/>
          <w:sz w:val="21"/>
        </w:rPr>
        <w:t>7</w:t>
      </w:r>
    </w:p>
    <w:p>
      <w:pPr>
        <w:tabs>
          <w:tab w:val="right" w:leader="dot" w:pos="10263"/>
        </w:tabs>
        <w:spacing w:before="144"/>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4.</w:t>
      </w:r>
      <w:r>
        <w:rPr>
          <w:rFonts w:ascii="Times New Roman" w:eastAsia="Times New Roman"/>
          <w:b/>
          <w:spacing w:val="48"/>
          <w:sz w:val="21"/>
        </w:rPr>
        <w:t xml:space="preserve"> </w:t>
      </w:r>
      <w:r>
        <w:rPr>
          <w:b/>
          <w:sz w:val="21"/>
        </w:rPr>
        <w:t>颐海国际与天味食品股价变</w:t>
      </w:r>
      <w:r>
        <w:rPr>
          <w:b/>
          <w:spacing w:val="-5"/>
          <w:sz w:val="21"/>
        </w:rPr>
        <w:t>动</w:t>
      </w:r>
      <w:r>
        <w:rPr>
          <w:b/>
          <w:sz w:val="21"/>
        </w:rPr>
        <w:t>趋势</w:t>
        <w:tab/>
      </w:r>
      <w:r>
        <w:rPr>
          <w:rFonts w:ascii="Times New Roman" w:eastAsia="Times New Roman"/>
          <w:b/>
          <w:sz w:val="21"/>
        </w:rPr>
        <w:t>7</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5.</w:t>
      </w:r>
      <w:r>
        <w:rPr>
          <w:rFonts w:ascii="Times New Roman" w:eastAsia="Times New Roman"/>
          <w:b/>
          <w:spacing w:val="48"/>
          <w:sz w:val="21"/>
        </w:rPr>
        <w:t xml:space="preserve"> </w:t>
      </w:r>
      <w:r>
        <w:rPr>
          <w:b/>
          <w:sz w:val="21"/>
        </w:rPr>
        <w:t>颐海国际与天味食品营收变动</w:t>
        <w:tab/>
      </w:r>
      <w:r>
        <w:rPr>
          <w:rFonts w:ascii="Times New Roman" w:eastAsia="Times New Roman"/>
          <w:b/>
          <w:sz w:val="21"/>
        </w:rPr>
        <w:t>7</w:t>
      </w:r>
    </w:p>
    <w:p>
      <w:pPr>
        <w:spacing w:after="0"/>
        <w:jc w:val="left"/>
        <w:rPr>
          <w:rFonts w:ascii="Times New Roman" w:eastAsia="Times New Roman"/>
          <w:sz w:val="21"/>
        </w:rPr>
        <w:sectPr>
          <w:headerReference w:type="default" r:id="rId9"/>
          <w:footerReference w:type="default" r:id="rId10"/>
          <w:type w:val="continuous"/>
          <w:pgSz w:w="11910" w:h="16840"/>
          <w:pgMar w:top="1700" w:right="0" w:bottom="1500" w:left="440" w:header="708" w:footer="708"/>
          <w:cols w:space="708"/>
        </w:sectPr>
      </w:pPr>
    </w:p>
    <w:p>
      <w:pPr>
        <w:tabs>
          <w:tab w:val="right" w:leader="dot" w:pos="10263"/>
        </w:tabs>
        <w:spacing w:before="161"/>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6. 2009-2021</w:t>
      </w:r>
      <w:r>
        <w:rPr>
          <w:rFonts w:ascii="Times New Roman" w:eastAsia="Times New Roman"/>
          <w:b/>
          <w:spacing w:val="-5"/>
          <w:sz w:val="21"/>
        </w:rPr>
        <w:t xml:space="preserve"> </w:t>
      </w:r>
      <w:r>
        <w:rPr>
          <w:b/>
          <w:sz w:val="21"/>
        </w:rPr>
        <w:t>年中国新增调味品企业注册数量</w:t>
        <w:tab/>
      </w:r>
      <w:r>
        <w:rPr>
          <w:rFonts w:ascii="Times New Roman" w:eastAsia="Times New Roman"/>
          <w:b/>
          <w:sz w:val="21"/>
        </w:rPr>
        <w:t>8</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7. 2019-2023</w:t>
      </w:r>
      <w:r>
        <w:rPr>
          <w:rFonts w:ascii="Times New Roman" w:eastAsia="Times New Roman"/>
          <w:b/>
          <w:spacing w:val="-5"/>
          <w:sz w:val="21"/>
        </w:rPr>
        <w:t xml:space="preserve"> </w:t>
      </w:r>
      <w:r>
        <w:rPr>
          <w:b/>
          <w:sz w:val="21"/>
        </w:rPr>
        <w:t>天味食品与颐海国际单季度营收增速</w:t>
        <w:tab/>
      </w:r>
      <w:r>
        <w:rPr>
          <w:rFonts w:ascii="Times New Roman" w:eastAsia="Times New Roman"/>
          <w:b/>
          <w:sz w:val="21"/>
        </w:rPr>
        <w:t>8</w:t>
      </w:r>
    </w:p>
    <w:p>
      <w:pPr>
        <w:tabs>
          <w:tab w:val="right" w:leader="dot" w:pos="10263"/>
        </w:tabs>
        <w:spacing w:before="140"/>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8.</w:t>
      </w:r>
      <w:r>
        <w:rPr>
          <w:rFonts w:ascii="Times New Roman" w:eastAsia="Times New Roman"/>
          <w:b/>
          <w:spacing w:val="48"/>
          <w:sz w:val="21"/>
        </w:rPr>
        <w:t xml:space="preserve"> </w:t>
      </w:r>
      <w:r>
        <w:rPr>
          <w:b/>
          <w:sz w:val="21"/>
        </w:rPr>
        <w:t>行业景气度回调原因</w:t>
        <w:tab/>
      </w:r>
      <w:r>
        <w:rPr>
          <w:rFonts w:ascii="Times New Roman" w:eastAsia="Times New Roman"/>
          <w:b/>
          <w:sz w:val="21"/>
        </w:rPr>
        <w:t>8</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9. 2014-2027</w:t>
      </w:r>
      <w:r>
        <w:rPr>
          <w:rFonts w:ascii="Times New Roman" w:eastAsia="Times New Roman"/>
          <w:b/>
          <w:spacing w:val="-5"/>
          <w:sz w:val="21"/>
        </w:rPr>
        <w:t xml:space="preserve"> </w:t>
      </w:r>
      <w:r>
        <w:rPr>
          <w:b/>
          <w:sz w:val="21"/>
        </w:rPr>
        <w:t>中国调味品行业市场规模及增长率</w:t>
        <w:tab/>
      </w:r>
      <w:r>
        <w:rPr>
          <w:rFonts w:ascii="Times New Roman" w:eastAsia="Times New Roman"/>
          <w:b/>
          <w:sz w:val="21"/>
        </w:rPr>
        <w:t>9</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10.</w:t>
      </w:r>
      <w:r>
        <w:rPr>
          <w:rFonts w:ascii="Times New Roman" w:eastAsia="Times New Roman"/>
          <w:b/>
          <w:spacing w:val="-6"/>
          <w:sz w:val="21"/>
        </w:rPr>
        <w:t xml:space="preserve"> </w:t>
      </w:r>
      <w:r>
        <w:rPr>
          <w:rFonts w:ascii="Times New Roman" w:eastAsia="Times New Roman"/>
          <w:b/>
          <w:sz w:val="21"/>
        </w:rPr>
        <w:t>2011-2027</w:t>
      </w:r>
      <w:r>
        <w:rPr>
          <w:rFonts w:ascii="Times New Roman" w:eastAsia="Times New Roman"/>
          <w:b/>
          <w:spacing w:val="-5"/>
          <w:sz w:val="21"/>
        </w:rPr>
        <w:t xml:space="preserve"> </w:t>
      </w:r>
      <w:r>
        <w:rPr>
          <w:b/>
          <w:sz w:val="21"/>
        </w:rPr>
        <w:t>中国复合调味品市场规模</w:t>
      </w:r>
      <w:r>
        <w:rPr>
          <w:b/>
          <w:spacing w:val="-5"/>
          <w:sz w:val="21"/>
        </w:rPr>
        <w:t>及</w:t>
      </w:r>
      <w:r>
        <w:rPr>
          <w:b/>
          <w:sz w:val="21"/>
        </w:rPr>
        <w:t>增长率</w:t>
        <w:tab/>
      </w:r>
      <w:r>
        <w:rPr>
          <w:rFonts w:ascii="Times New Roman" w:eastAsia="Times New Roman"/>
          <w:b/>
          <w:sz w:val="21"/>
        </w:rPr>
        <w:t>9</w:t>
      </w:r>
    </w:p>
    <w:p>
      <w:pPr>
        <w:tabs>
          <w:tab w:val="right" w:leader="dot" w:pos="10263"/>
        </w:tabs>
        <w:spacing w:before="139"/>
        <w:ind w:left="1091" w:right="0" w:firstLine="0"/>
        <w:jc w:val="left"/>
        <w:rPr>
          <w:rFonts w:ascii="Times New Roman" w:eastAsia="Times New Roman"/>
          <w:b/>
          <w:sz w:val="21"/>
        </w:rPr>
      </w:pPr>
      <w:r>
        <w:rPr>
          <w:b/>
          <w:sz w:val="21"/>
        </w:rPr>
        <w:t>图</w:t>
      </w:r>
      <w:r>
        <w:rPr>
          <w:b/>
          <w:spacing w:val="-54"/>
          <w:sz w:val="21"/>
        </w:rPr>
        <w:t xml:space="preserve"> </w:t>
      </w:r>
      <w:r>
        <w:rPr>
          <w:rFonts w:ascii="Times New Roman" w:eastAsia="Times New Roman"/>
          <w:b/>
          <w:spacing w:val="-4"/>
          <w:sz w:val="21"/>
        </w:rPr>
        <w:t xml:space="preserve">11. </w:t>
      </w:r>
      <w:r>
        <w:rPr>
          <w:rFonts w:ascii="Times New Roman" w:eastAsia="Times New Roman"/>
          <w:b/>
          <w:sz w:val="21"/>
        </w:rPr>
        <w:t xml:space="preserve"> </w:t>
      </w:r>
      <w:r>
        <w:rPr>
          <w:b/>
          <w:sz w:val="21"/>
        </w:rPr>
        <w:t>部分头部企业自我调整措施</w:t>
        <w:tab/>
      </w:r>
      <w:r>
        <w:rPr>
          <w:rFonts w:ascii="Times New Roman" w:eastAsia="Times New Roman"/>
          <w:b/>
          <w:sz w:val="21"/>
        </w:rPr>
        <w:t>10</w:t>
      </w:r>
    </w:p>
    <w:p>
      <w:pPr>
        <w:tabs>
          <w:tab w:val="right" w:leader="dot" w:pos="10258"/>
        </w:tabs>
        <w:spacing w:before="144"/>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12.</w:t>
      </w:r>
      <w:r>
        <w:rPr>
          <w:rFonts w:ascii="Times New Roman" w:eastAsia="Times New Roman"/>
          <w:b/>
          <w:spacing w:val="48"/>
          <w:sz w:val="21"/>
        </w:rPr>
        <w:t xml:space="preserve"> </w:t>
      </w:r>
      <w:r>
        <w:rPr>
          <w:b/>
          <w:sz w:val="21"/>
        </w:rPr>
        <w:t>日本外食率变化</w:t>
        <w:tab/>
      </w:r>
      <w:r>
        <w:rPr>
          <w:rFonts w:ascii="Times New Roman" w:eastAsia="Times New Roman"/>
          <w:b/>
          <w:spacing w:val="-10"/>
          <w:sz w:val="21"/>
        </w:rPr>
        <w:t>11</w:t>
      </w:r>
    </w:p>
    <w:p>
      <w:pPr>
        <w:tabs>
          <w:tab w:val="right" w:leader="dot" w:pos="10258"/>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13.</w:t>
      </w:r>
      <w:r>
        <w:rPr>
          <w:rFonts w:ascii="Times New Roman" w:eastAsia="Times New Roman"/>
          <w:b/>
          <w:spacing w:val="48"/>
          <w:sz w:val="21"/>
        </w:rPr>
        <w:t xml:space="preserve"> </w:t>
      </w:r>
      <w:r>
        <w:rPr>
          <w:b/>
          <w:sz w:val="21"/>
        </w:rPr>
        <w:t>日本家庭规模变化</w:t>
        <w:tab/>
      </w:r>
      <w:r>
        <w:rPr>
          <w:rFonts w:ascii="Times New Roman" w:eastAsia="Times New Roman"/>
          <w:b/>
          <w:spacing w:val="-10"/>
          <w:sz w:val="21"/>
        </w:rPr>
        <w:t>11</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14.</w:t>
      </w:r>
      <w:r>
        <w:rPr>
          <w:rFonts w:ascii="Times New Roman" w:eastAsia="Times New Roman"/>
          <w:b/>
          <w:spacing w:val="48"/>
          <w:sz w:val="21"/>
        </w:rPr>
        <w:t xml:space="preserve"> </w:t>
      </w:r>
      <w:r>
        <w:rPr>
          <w:b/>
          <w:sz w:val="21"/>
        </w:rPr>
        <w:t>日本人均酱油消费量持</w:t>
      </w:r>
      <w:r>
        <w:rPr>
          <w:b/>
          <w:spacing w:val="-5"/>
          <w:sz w:val="21"/>
        </w:rPr>
        <w:t>续</w:t>
      </w:r>
      <w:r>
        <w:rPr>
          <w:b/>
          <w:sz w:val="21"/>
        </w:rPr>
        <w:t>下降</w:t>
        <w:tab/>
      </w:r>
      <w:r>
        <w:rPr>
          <w:rFonts w:ascii="Times New Roman" w:eastAsia="Times New Roman"/>
          <w:b/>
          <w:sz w:val="21"/>
        </w:rPr>
        <w:t>12</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15.</w:t>
      </w:r>
      <w:r>
        <w:rPr>
          <w:rFonts w:ascii="Times New Roman" w:eastAsia="Times New Roman"/>
          <w:b/>
          <w:spacing w:val="48"/>
          <w:sz w:val="21"/>
        </w:rPr>
        <w:t xml:space="preserve"> </w:t>
      </w:r>
      <w:r>
        <w:rPr>
          <w:b/>
          <w:sz w:val="21"/>
        </w:rPr>
        <w:t>龟甲万发力复合调味品</w:t>
      </w:r>
      <w:r>
        <w:rPr>
          <w:b/>
          <w:spacing w:val="-5"/>
          <w:sz w:val="21"/>
        </w:rPr>
        <w:t>市</w:t>
      </w:r>
      <w:r>
        <w:rPr>
          <w:b/>
          <w:sz w:val="21"/>
        </w:rPr>
        <w:t>场</w:t>
        <w:tab/>
      </w:r>
      <w:r>
        <w:rPr>
          <w:rFonts w:ascii="Times New Roman" w:eastAsia="Times New Roman"/>
          <w:b/>
          <w:sz w:val="21"/>
        </w:rPr>
        <w:t>12</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16.</w:t>
      </w:r>
      <w:r>
        <w:rPr>
          <w:rFonts w:ascii="Times New Roman" w:eastAsia="Times New Roman"/>
          <w:b/>
          <w:spacing w:val="-4"/>
          <w:sz w:val="21"/>
        </w:rPr>
        <w:t xml:space="preserve"> </w:t>
      </w:r>
      <w:r>
        <w:rPr>
          <w:rFonts w:ascii="Times New Roman" w:eastAsia="Times New Roman"/>
          <w:b/>
          <w:sz w:val="21"/>
        </w:rPr>
        <w:t>2016</w:t>
      </w:r>
      <w:r>
        <w:rPr>
          <w:rFonts w:ascii="Times New Roman" w:eastAsia="Times New Roman"/>
          <w:b/>
          <w:spacing w:val="-5"/>
          <w:sz w:val="21"/>
        </w:rPr>
        <w:t xml:space="preserve"> </w:t>
      </w:r>
      <w:r>
        <w:rPr>
          <w:b/>
          <w:sz w:val="21"/>
        </w:rPr>
        <w:t>年日本复合调味品行业</w:t>
      </w:r>
      <w:r>
        <w:rPr>
          <w:b/>
          <w:spacing w:val="-53"/>
          <w:sz w:val="21"/>
        </w:rPr>
        <w:t xml:space="preserve"> </w:t>
      </w:r>
      <w:r>
        <w:rPr>
          <w:rFonts w:ascii="Times New Roman" w:eastAsia="Times New Roman"/>
          <w:b/>
          <w:sz w:val="21"/>
        </w:rPr>
        <w:t>CR4</w:t>
        <w:tab/>
        <w:t>12</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17.</w:t>
      </w:r>
      <w:r>
        <w:rPr>
          <w:rFonts w:ascii="Times New Roman" w:eastAsia="Times New Roman"/>
          <w:b/>
          <w:spacing w:val="48"/>
          <w:sz w:val="21"/>
        </w:rPr>
        <w:t xml:space="preserve"> </w:t>
      </w:r>
      <w:r>
        <w:rPr>
          <w:b/>
          <w:sz w:val="21"/>
        </w:rPr>
        <w:t>中、日、美、韩复合调</w:t>
      </w:r>
      <w:r>
        <w:rPr>
          <w:b/>
          <w:spacing w:val="-5"/>
          <w:sz w:val="21"/>
        </w:rPr>
        <w:t>味</w:t>
      </w:r>
      <w:r>
        <w:rPr>
          <w:b/>
          <w:sz w:val="21"/>
        </w:rPr>
        <w:t>品行业渗透率对比</w:t>
        <w:tab/>
      </w:r>
      <w:r>
        <w:rPr>
          <w:rFonts w:ascii="Times New Roman" w:eastAsia="Times New Roman"/>
          <w:b/>
          <w:sz w:val="21"/>
        </w:rPr>
        <w:t>13</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18.</w:t>
      </w:r>
      <w:r>
        <w:rPr>
          <w:rFonts w:ascii="Times New Roman" w:eastAsia="Times New Roman"/>
          <w:b/>
          <w:spacing w:val="-4"/>
          <w:sz w:val="21"/>
        </w:rPr>
        <w:t xml:space="preserve"> </w:t>
      </w:r>
      <w:r>
        <w:rPr>
          <w:rFonts w:ascii="Times New Roman" w:eastAsia="Times New Roman"/>
          <w:b/>
          <w:sz w:val="21"/>
        </w:rPr>
        <w:t>2020</w:t>
      </w:r>
      <w:r>
        <w:rPr>
          <w:rFonts w:ascii="Times New Roman" w:eastAsia="Times New Roman"/>
          <w:b/>
          <w:spacing w:val="-5"/>
          <w:sz w:val="21"/>
        </w:rPr>
        <w:t xml:space="preserve"> </w:t>
      </w:r>
      <w:r>
        <w:rPr>
          <w:b/>
          <w:sz w:val="21"/>
        </w:rPr>
        <w:t>年中国复合调味行业主要企业市占率</w:t>
        <w:tab/>
      </w:r>
      <w:r>
        <w:rPr>
          <w:rFonts w:ascii="Times New Roman" w:eastAsia="Times New Roman"/>
          <w:b/>
          <w:sz w:val="21"/>
        </w:rPr>
        <w:t>14</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19.</w:t>
      </w:r>
      <w:r>
        <w:rPr>
          <w:rFonts w:ascii="Times New Roman" w:eastAsia="Times New Roman"/>
          <w:b/>
          <w:spacing w:val="48"/>
          <w:sz w:val="21"/>
        </w:rPr>
        <w:t xml:space="preserve"> </w:t>
      </w:r>
      <w:r>
        <w:rPr>
          <w:b/>
          <w:sz w:val="21"/>
        </w:rPr>
        <w:t>中式复合调味品市场集</w:t>
      </w:r>
      <w:r>
        <w:rPr>
          <w:b/>
          <w:spacing w:val="-5"/>
          <w:sz w:val="21"/>
        </w:rPr>
        <w:t>中</w:t>
      </w:r>
      <w:r>
        <w:rPr>
          <w:b/>
          <w:sz w:val="21"/>
        </w:rPr>
        <w:t>度最低</w:t>
        <w:tab/>
      </w:r>
      <w:r>
        <w:rPr>
          <w:rFonts w:ascii="Times New Roman" w:eastAsia="Times New Roman"/>
          <w:b/>
          <w:sz w:val="21"/>
        </w:rPr>
        <w:t>14</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20.</w:t>
      </w:r>
      <w:r>
        <w:rPr>
          <w:rFonts w:ascii="Times New Roman" w:eastAsia="Times New Roman"/>
          <w:b/>
          <w:spacing w:val="-4"/>
          <w:sz w:val="21"/>
        </w:rPr>
        <w:t xml:space="preserve"> </w:t>
      </w:r>
      <w:r>
        <w:rPr>
          <w:rFonts w:ascii="Times New Roman" w:eastAsia="Times New Roman"/>
          <w:b/>
          <w:sz w:val="21"/>
        </w:rPr>
        <w:t>2019</w:t>
      </w:r>
      <w:r>
        <w:rPr>
          <w:rFonts w:ascii="Times New Roman" w:eastAsia="Times New Roman"/>
          <w:b/>
          <w:spacing w:val="-5"/>
          <w:sz w:val="21"/>
        </w:rPr>
        <w:t xml:space="preserve"> </w:t>
      </w:r>
      <w:r>
        <w:rPr>
          <w:b/>
          <w:sz w:val="21"/>
        </w:rPr>
        <w:t>年中式复合调味料市场格局</w:t>
        <w:tab/>
      </w:r>
      <w:r>
        <w:rPr>
          <w:rFonts w:ascii="Times New Roman" w:eastAsia="Times New Roman"/>
          <w:b/>
          <w:sz w:val="21"/>
        </w:rPr>
        <w:t>14</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21.</w:t>
      </w:r>
      <w:r>
        <w:rPr>
          <w:rFonts w:ascii="Times New Roman" w:eastAsia="Times New Roman"/>
          <w:b/>
          <w:spacing w:val="48"/>
          <w:sz w:val="21"/>
        </w:rPr>
        <w:t xml:space="preserve"> </w:t>
      </w:r>
      <w:r>
        <w:rPr>
          <w:b/>
          <w:sz w:val="21"/>
        </w:rPr>
        <w:t>复合调味品龙头企业优</w:t>
      </w:r>
      <w:r>
        <w:rPr>
          <w:b/>
          <w:spacing w:val="-5"/>
          <w:sz w:val="21"/>
        </w:rPr>
        <w:t>势</w:t>
      </w:r>
      <w:r>
        <w:rPr>
          <w:b/>
          <w:sz w:val="21"/>
        </w:rPr>
        <w:t>赋能</w:t>
        <w:tab/>
      </w:r>
      <w:r>
        <w:rPr>
          <w:rFonts w:ascii="Times New Roman" w:eastAsia="Times New Roman"/>
          <w:b/>
          <w:sz w:val="21"/>
        </w:rPr>
        <w:t>15</w:t>
      </w:r>
    </w:p>
    <w:p>
      <w:pPr>
        <w:tabs>
          <w:tab w:val="right" w:leader="dot" w:pos="10263"/>
        </w:tabs>
        <w:spacing w:before="144"/>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22.</w:t>
      </w:r>
      <w:r>
        <w:rPr>
          <w:rFonts w:ascii="Times New Roman" w:eastAsia="Times New Roman"/>
          <w:b/>
          <w:spacing w:val="48"/>
          <w:sz w:val="21"/>
        </w:rPr>
        <w:t xml:space="preserve"> </w:t>
      </w:r>
      <w:r>
        <w:rPr>
          <w:b/>
          <w:sz w:val="21"/>
        </w:rPr>
        <w:t>中国餐饮行业市场规模</w:t>
      </w:r>
      <w:r>
        <w:rPr>
          <w:b/>
          <w:spacing w:val="-5"/>
          <w:sz w:val="21"/>
        </w:rPr>
        <w:t>及</w:t>
      </w:r>
      <w:r>
        <w:rPr>
          <w:b/>
          <w:sz w:val="21"/>
        </w:rPr>
        <w:t>增速</w:t>
        <w:tab/>
      </w:r>
      <w:r>
        <w:rPr>
          <w:rFonts w:ascii="Times New Roman" w:eastAsia="Times New Roman"/>
          <w:b/>
          <w:sz w:val="21"/>
        </w:rPr>
        <w:t>16</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23.</w:t>
      </w:r>
      <w:r>
        <w:rPr>
          <w:rFonts w:ascii="Times New Roman" w:eastAsia="Times New Roman"/>
          <w:b/>
          <w:spacing w:val="-4"/>
          <w:sz w:val="21"/>
        </w:rPr>
        <w:t xml:space="preserve"> </w:t>
      </w:r>
      <w:r>
        <w:rPr>
          <w:rFonts w:ascii="Times New Roman" w:eastAsia="Times New Roman"/>
          <w:b/>
          <w:sz w:val="21"/>
        </w:rPr>
        <w:t>2016-2021</w:t>
      </w:r>
      <w:r>
        <w:rPr>
          <w:rFonts w:ascii="Times New Roman" w:eastAsia="Times New Roman"/>
          <w:b/>
          <w:spacing w:val="-5"/>
          <w:sz w:val="21"/>
        </w:rPr>
        <w:t xml:space="preserve"> </w:t>
      </w:r>
      <w:r>
        <w:rPr>
          <w:b/>
          <w:sz w:val="21"/>
        </w:rPr>
        <w:t>年中国在线外卖行业市场规模及</w:t>
      </w:r>
      <w:r>
        <w:rPr>
          <w:b/>
          <w:spacing w:val="-5"/>
          <w:sz w:val="21"/>
        </w:rPr>
        <w:t>增</w:t>
      </w:r>
      <w:r>
        <w:rPr>
          <w:b/>
          <w:sz w:val="21"/>
        </w:rPr>
        <w:t>速</w:t>
        <w:tab/>
      </w:r>
      <w:r>
        <w:rPr>
          <w:rFonts w:ascii="Times New Roman" w:eastAsia="Times New Roman"/>
          <w:b/>
          <w:sz w:val="21"/>
        </w:rPr>
        <w:t>16</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24.</w:t>
      </w:r>
      <w:r>
        <w:rPr>
          <w:rFonts w:ascii="Times New Roman" w:eastAsia="Times New Roman"/>
          <w:b/>
          <w:spacing w:val="48"/>
          <w:sz w:val="21"/>
        </w:rPr>
        <w:t xml:space="preserve"> </w:t>
      </w:r>
      <w:r>
        <w:rPr>
          <w:b/>
          <w:sz w:val="21"/>
        </w:rPr>
        <w:t>中国餐饮连锁化率稳步</w:t>
      </w:r>
      <w:r>
        <w:rPr>
          <w:b/>
          <w:spacing w:val="-5"/>
          <w:sz w:val="21"/>
        </w:rPr>
        <w:t>提</w:t>
      </w:r>
      <w:r>
        <w:rPr>
          <w:b/>
          <w:sz w:val="21"/>
        </w:rPr>
        <w:t>升</w:t>
        <w:tab/>
      </w:r>
      <w:r>
        <w:rPr>
          <w:rFonts w:ascii="Times New Roman" w:eastAsia="Times New Roman"/>
          <w:b/>
          <w:sz w:val="21"/>
        </w:rPr>
        <w:t>16</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25.</w:t>
      </w:r>
      <w:r>
        <w:rPr>
          <w:rFonts w:ascii="Times New Roman" w:eastAsia="Times New Roman"/>
          <w:b/>
          <w:spacing w:val="-4"/>
          <w:sz w:val="21"/>
        </w:rPr>
        <w:t xml:space="preserve"> </w:t>
      </w:r>
      <w:r>
        <w:rPr>
          <w:rFonts w:ascii="Times New Roman" w:eastAsia="Times New Roman"/>
          <w:b/>
          <w:sz w:val="21"/>
        </w:rPr>
        <w:t>2020</w:t>
      </w:r>
      <w:r>
        <w:rPr>
          <w:rFonts w:ascii="Times New Roman" w:eastAsia="Times New Roman"/>
          <w:b/>
          <w:spacing w:val="-5"/>
          <w:sz w:val="21"/>
        </w:rPr>
        <w:t xml:space="preserve"> </w:t>
      </w:r>
      <w:r>
        <w:rPr>
          <w:b/>
          <w:sz w:val="21"/>
        </w:rPr>
        <w:t>年美、日、中餐饮连锁化率对比</w:t>
        <w:tab/>
      </w:r>
      <w:r>
        <w:rPr>
          <w:rFonts w:ascii="Times New Roman" w:eastAsia="Times New Roman"/>
          <w:b/>
          <w:sz w:val="21"/>
        </w:rPr>
        <w:t>16</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26.</w:t>
      </w:r>
      <w:r>
        <w:rPr>
          <w:rFonts w:ascii="Times New Roman" w:eastAsia="Times New Roman"/>
          <w:b/>
          <w:spacing w:val="48"/>
          <w:sz w:val="21"/>
        </w:rPr>
        <w:t xml:space="preserve"> </w:t>
      </w:r>
      <w:r>
        <w:rPr>
          <w:b/>
          <w:sz w:val="21"/>
        </w:rPr>
        <w:t>中国西式快餐市场规模</w:t>
        <w:tab/>
      </w:r>
      <w:r>
        <w:rPr>
          <w:rFonts w:ascii="Times New Roman" w:eastAsia="Times New Roman"/>
          <w:b/>
          <w:sz w:val="21"/>
        </w:rPr>
        <w:t>17</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27.</w:t>
      </w:r>
      <w:r>
        <w:rPr>
          <w:rFonts w:ascii="Times New Roman" w:eastAsia="Times New Roman"/>
          <w:b/>
          <w:spacing w:val="48"/>
          <w:sz w:val="21"/>
        </w:rPr>
        <w:t xml:space="preserve"> </w:t>
      </w:r>
      <w:r>
        <w:rPr>
          <w:b/>
          <w:sz w:val="21"/>
        </w:rPr>
        <w:t>进入中国市场主要西式</w:t>
      </w:r>
      <w:r>
        <w:rPr>
          <w:b/>
          <w:spacing w:val="-5"/>
          <w:sz w:val="21"/>
        </w:rPr>
        <w:t>快</w:t>
      </w:r>
      <w:r>
        <w:rPr>
          <w:b/>
          <w:sz w:val="21"/>
        </w:rPr>
        <w:t>餐品牌及本土品牌</w:t>
      </w:r>
      <w:r>
        <w:rPr>
          <w:b/>
          <w:spacing w:val="-5"/>
          <w:sz w:val="21"/>
        </w:rPr>
        <w:t>数</w:t>
      </w:r>
      <w:r>
        <w:rPr>
          <w:b/>
          <w:sz w:val="21"/>
        </w:rPr>
        <w:t>量</w:t>
        <w:tab/>
      </w:r>
      <w:r>
        <w:rPr>
          <w:rFonts w:ascii="Times New Roman" w:eastAsia="Times New Roman"/>
          <w:b/>
          <w:sz w:val="21"/>
        </w:rPr>
        <w:t>17</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28.</w:t>
      </w:r>
      <w:r>
        <w:rPr>
          <w:rFonts w:ascii="Times New Roman" w:eastAsia="Times New Roman"/>
          <w:b/>
          <w:spacing w:val="48"/>
          <w:sz w:val="21"/>
        </w:rPr>
        <w:t xml:space="preserve"> </w:t>
      </w:r>
      <w:r>
        <w:rPr>
          <w:b/>
          <w:sz w:val="21"/>
        </w:rPr>
        <w:t>品牌连锁门店数区间等</w:t>
      </w:r>
      <w:r>
        <w:rPr>
          <w:b/>
          <w:spacing w:val="-5"/>
          <w:sz w:val="21"/>
        </w:rPr>
        <w:t>级</w:t>
      </w:r>
      <w:r>
        <w:rPr>
          <w:b/>
          <w:sz w:val="21"/>
        </w:rPr>
        <w:t>分布（占大盘的比</w:t>
      </w:r>
      <w:r>
        <w:rPr>
          <w:b/>
          <w:spacing w:val="-5"/>
          <w:sz w:val="21"/>
        </w:rPr>
        <w:t>例</w:t>
      </w:r>
      <w:r>
        <w:rPr>
          <w:b/>
          <w:sz w:val="21"/>
        </w:rPr>
        <w:t>）</w:t>
        <w:tab/>
      </w:r>
      <w:r>
        <w:rPr>
          <w:rFonts w:ascii="Times New Roman" w:eastAsia="Times New Roman"/>
          <w:b/>
          <w:sz w:val="21"/>
        </w:rPr>
        <w:t>19</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29.</w:t>
      </w:r>
      <w:r>
        <w:rPr>
          <w:rFonts w:ascii="Times New Roman" w:eastAsia="Times New Roman"/>
          <w:b/>
          <w:spacing w:val="48"/>
          <w:sz w:val="21"/>
        </w:rPr>
        <w:t xml:space="preserve"> </w:t>
      </w:r>
      <w:r>
        <w:rPr>
          <w:b/>
          <w:sz w:val="21"/>
        </w:rPr>
        <w:t>团餐市场规模</w:t>
        <w:tab/>
      </w:r>
      <w:r>
        <w:rPr>
          <w:rFonts w:ascii="Times New Roman" w:eastAsia="Times New Roman"/>
          <w:b/>
          <w:sz w:val="21"/>
        </w:rPr>
        <w:t>19</w:t>
      </w:r>
    </w:p>
    <w:p>
      <w:pPr>
        <w:tabs>
          <w:tab w:val="right" w:leader="dot" w:pos="10263"/>
        </w:tabs>
        <w:spacing w:before="140"/>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30.</w:t>
      </w:r>
      <w:r>
        <w:rPr>
          <w:rFonts w:ascii="Times New Roman" w:eastAsia="Times New Roman"/>
          <w:b/>
          <w:spacing w:val="48"/>
          <w:sz w:val="21"/>
        </w:rPr>
        <w:t xml:space="preserve"> </w:t>
      </w:r>
      <w:r>
        <w:rPr>
          <w:b/>
          <w:sz w:val="21"/>
        </w:rPr>
        <w:t>复合调味品</w:t>
      </w:r>
      <w:r>
        <w:rPr>
          <w:b/>
          <w:spacing w:val="-53"/>
          <w:sz w:val="21"/>
        </w:rPr>
        <w:t xml:space="preserve"> </w:t>
      </w:r>
      <w:r>
        <w:rPr>
          <w:rFonts w:ascii="Times New Roman" w:eastAsia="Times New Roman"/>
          <w:b/>
          <w:sz w:val="21"/>
        </w:rPr>
        <w:t>C</w:t>
      </w:r>
      <w:r>
        <w:rPr>
          <w:rFonts w:ascii="Times New Roman" w:eastAsia="Times New Roman"/>
          <w:b/>
          <w:spacing w:val="-3"/>
          <w:sz w:val="21"/>
        </w:rPr>
        <w:t xml:space="preserve"> </w:t>
      </w:r>
      <w:r>
        <w:rPr>
          <w:b/>
          <w:sz w:val="21"/>
        </w:rPr>
        <w:t>端更注重品牌化、差异化</w:t>
        <w:tab/>
      </w:r>
      <w:r>
        <w:rPr>
          <w:rFonts w:ascii="Times New Roman" w:eastAsia="Times New Roman"/>
          <w:b/>
          <w:sz w:val="21"/>
        </w:rPr>
        <w:t>20</w:t>
      </w:r>
    </w:p>
    <w:p>
      <w:pPr>
        <w:tabs>
          <w:tab w:val="right" w:leader="dot" w:pos="10263"/>
        </w:tabs>
        <w:spacing w:before="143"/>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31.</w:t>
      </w:r>
      <w:r>
        <w:rPr>
          <w:rFonts w:ascii="Times New Roman" w:eastAsia="Times New Roman"/>
          <w:b/>
          <w:spacing w:val="48"/>
          <w:sz w:val="21"/>
        </w:rPr>
        <w:t xml:space="preserve"> </w:t>
      </w:r>
      <w:r>
        <w:rPr>
          <w:b/>
          <w:sz w:val="21"/>
        </w:rPr>
        <w:t>火锅底料运用场景多元化</w:t>
        <w:tab/>
      </w:r>
      <w:r>
        <w:rPr>
          <w:rFonts w:ascii="Times New Roman" w:eastAsia="Times New Roman"/>
          <w:b/>
          <w:sz w:val="21"/>
        </w:rPr>
        <w:t>20</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32.</w:t>
      </w:r>
      <w:r>
        <w:rPr>
          <w:rFonts w:ascii="Times New Roman" w:eastAsia="Times New Roman"/>
          <w:b/>
          <w:spacing w:val="48"/>
          <w:sz w:val="21"/>
        </w:rPr>
        <w:t xml:space="preserve"> </w:t>
      </w:r>
      <w:r>
        <w:rPr>
          <w:b/>
          <w:sz w:val="21"/>
        </w:rPr>
        <w:t>复调趋势：高端食材运</w:t>
      </w:r>
      <w:r>
        <w:rPr>
          <w:b/>
          <w:spacing w:val="-5"/>
          <w:sz w:val="21"/>
        </w:rPr>
        <w:t>用</w:t>
      </w:r>
      <w:r>
        <w:rPr>
          <w:b/>
          <w:sz w:val="21"/>
        </w:rPr>
        <w:t>增加</w:t>
        <w:tab/>
      </w:r>
      <w:r>
        <w:rPr>
          <w:rFonts w:ascii="Times New Roman" w:eastAsia="Times New Roman"/>
          <w:b/>
          <w:sz w:val="21"/>
        </w:rPr>
        <w:t>20</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33.</w:t>
      </w:r>
      <w:r>
        <w:rPr>
          <w:rFonts w:ascii="Times New Roman" w:eastAsia="Times New Roman"/>
          <w:b/>
          <w:spacing w:val="48"/>
          <w:sz w:val="21"/>
        </w:rPr>
        <w:t xml:space="preserve"> </w:t>
      </w:r>
      <w:r>
        <w:rPr>
          <w:b/>
          <w:sz w:val="21"/>
        </w:rPr>
        <w:t>调味品在青年消费者群</w:t>
      </w:r>
      <w:r>
        <w:rPr>
          <w:b/>
          <w:spacing w:val="-5"/>
          <w:sz w:val="21"/>
        </w:rPr>
        <w:t>体</w:t>
      </w:r>
      <w:r>
        <w:rPr>
          <w:b/>
          <w:sz w:val="21"/>
        </w:rPr>
        <w:t>中愈发重要</w:t>
        <w:tab/>
      </w:r>
      <w:r>
        <w:rPr>
          <w:rFonts w:ascii="Times New Roman" w:eastAsia="Times New Roman"/>
          <w:b/>
          <w:sz w:val="21"/>
        </w:rPr>
        <w:t>21</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34.</w:t>
      </w:r>
      <w:r>
        <w:rPr>
          <w:rFonts w:ascii="Times New Roman" w:eastAsia="Times New Roman"/>
          <w:b/>
          <w:spacing w:val="48"/>
          <w:sz w:val="21"/>
        </w:rPr>
        <w:t xml:space="preserve"> </w:t>
      </w:r>
      <w:r>
        <w:rPr>
          <w:b/>
          <w:sz w:val="21"/>
        </w:rPr>
        <w:t>家庭户均人口数量呈下</w:t>
      </w:r>
      <w:r>
        <w:rPr>
          <w:b/>
          <w:spacing w:val="-5"/>
          <w:sz w:val="21"/>
        </w:rPr>
        <w:t>降</w:t>
      </w:r>
      <w:r>
        <w:rPr>
          <w:b/>
          <w:sz w:val="21"/>
        </w:rPr>
        <w:t>趋势</w:t>
        <w:tab/>
      </w:r>
      <w:r>
        <w:rPr>
          <w:rFonts w:ascii="Times New Roman" w:eastAsia="Times New Roman"/>
          <w:b/>
          <w:sz w:val="21"/>
        </w:rPr>
        <w:t>21</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35.</w:t>
      </w:r>
      <w:r>
        <w:rPr>
          <w:rFonts w:ascii="Times New Roman" w:eastAsia="Times New Roman"/>
          <w:b/>
          <w:spacing w:val="48"/>
          <w:sz w:val="21"/>
        </w:rPr>
        <w:t xml:space="preserve"> </w:t>
      </w:r>
      <w:r>
        <w:rPr>
          <w:b/>
          <w:sz w:val="21"/>
        </w:rPr>
        <w:t>淘系菜谱式调味品市场</w:t>
      </w:r>
      <w:r>
        <w:rPr>
          <w:b/>
          <w:spacing w:val="-52"/>
          <w:sz w:val="21"/>
        </w:rPr>
        <w:t xml:space="preserve"> </w:t>
      </w:r>
      <w:r>
        <w:rPr>
          <w:rFonts w:ascii="Times New Roman" w:eastAsia="Times New Roman"/>
          <w:b/>
          <w:sz w:val="21"/>
        </w:rPr>
        <w:t>2022</w:t>
      </w:r>
      <w:r>
        <w:rPr>
          <w:rFonts w:ascii="Times New Roman" w:eastAsia="Times New Roman"/>
          <w:b/>
          <w:spacing w:val="-5"/>
          <w:sz w:val="21"/>
        </w:rPr>
        <w:t xml:space="preserve"> </w:t>
      </w:r>
      <w:r>
        <w:rPr>
          <w:b/>
          <w:sz w:val="21"/>
        </w:rPr>
        <w:t>年销售金额</w:t>
      </w:r>
      <w:r>
        <w:rPr>
          <w:b/>
          <w:spacing w:val="-48"/>
          <w:sz w:val="21"/>
        </w:rPr>
        <w:t xml:space="preserve"> </w:t>
      </w:r>
      <w:r>
        <w:rPr>
          <w:rFonts w:ascii="Times New Roman" w:eastAsia="Times New Roman"/>
          <w:b/>
          <w:spacing w:val="-3"/>
          <w:sz w:val="21"/>
        </w:rPr>
        <w:t>TOP10</w:t>
      </w:r>
      <w:r>
        <w:rPr>
          <w:rFonts w:ascii="Times New Roman" w:eastAsia="Times New Roman"/>
          <w:b/>
          <w:sz w:val="21"/>
        </w:rPr>
        <w:t xml:space="preserve"> </w:t>
      </w:r>
      <w:r>
        <w:rPr>
          <w:b/>
          <w:sz w:val="21"/>
        </w:rPr>
        <w:t>口味</w:t>
        <w:tab/>
      </w:r>
      <w:r>
        <w:rPr>
          <w:rFonts w:ascii="Times New Roman" w:eastAsia="Times New Roman"/>
          <w:b/>
          <w:sz w:val="21"/>
        </w:rPr>
        <w:t>21</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36.</w:t>
      </w:r>
      <w:r>
        <w:rPr>
          <w:rFonts w:ascii="Times New Roman" w:eastAsia="Times New Roman"/>
          <w:b/>
          <w:spacing w:val="48"/>
          <w:sz w:val="21"/>
        </w:rPr>
        <w:t xml:space="preserve"> </w:t>
      </w:r>
      <w:r>
        <w:rPr>
          <w:b/>
          <w:sz w:val="21"/>
        </w:rPr>
        <w:t>复合调味品市场规模预测</w:t>
        <w:tab/>
      </w:r>
      <w:r>
        <w:rPr>
          <w:rFonts w:ascii="Times New Roman" w:eastAsia="Times New Roman"/>
          <w:b/>
          <w:sz w:val="21"/>
        </w:rPr>
        <w:t>22</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37.</w:t>
      </w:r>
      <w:r>
        <w:rPr>
          <w:rFonts w:ascii="Times New Roman" w:eastAsia="Times New Roman"/>
          <w:b/>
          <w:spacing w:val="48"/>
          <w:sz w:val="21"/>
        </w:rPr>
        <w:t xml:space="preserve"> </w:t>
      </w:r>
      <w:r>
        <w:rPr>
          <w:b/>
          <w:sz w:val="21"/>
        </w:rPr>
        <w:t>西式复调与中式复调</w:t>
        <w:tab/>
      </w:r>
      <w:r>
        <w:rPr>
          <w:rFonts w:ascii="Times New Roman" w:eastAsia="Times New Roman"/>
          <w:b/>
          <w:sz w:val="21"/>
        </w:rPr>
        <w:t>23</w:t>
      </w:r>
    </w:p>
    <w:p>
      <w:pPr>
        <w:tabs>
          <w:tab w:val="right" w:leader="dot" w:pos="10263"/>
        </w:tabs>
        <w:spacing w:before="140"/>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38.</w:t>
      </w:r>
      <w:r>
        <w:rPr>
          <w:rFonts w:ascii="Times New Roman" w:eastAsia="Times New Roman"/>
          <w:b/>
          <w:spacing w:val="-4"/>
          <w:sz w:val="21"/>
        </w:rPr>
        <w:t xml:space="preserve"> </w:t>
      </w:r>
      <w:r>
        <w:rPr>
          <w:rFonts w:ascii="Times New Roman" w:eastAsia="Times New Roman"/>
          <w:b/>
          <w:sz w:val="21"/>
        </w:rPr>
        <w:t>2022</w:t>
      </w:r>
      <w:r>
        <w:rPr>
          <w:rFonts w:ascii="Times New Roman" w:eastAsia="Times New Roman"/>
          <w:b/>
          <w:spacing w:val="-5"/>
          <w:sz w:val="21"/>
        </w:rPr>
        <w:t xml:space="preserve"> </w:t>
      </w:r>
      <w:r>
        <w:rPr>
          <w:b/>
          <w:sz w:val="21"/>
        </w:rPr>
        <w:t>年复合调味品子行业市场规模</w:t>
        <w:tab/>
      </w:r>
      <w:r>
        <w:rPr>
          <w:rFonts w:ascii="Times New Roman" w:eastAsia="Times New Roman"/>
          <w:b/>
          <w:sz w:val="21"/>
        </w:rPr>
        <w:t>23</w:t>
      </w:r>
    </w:p>
    <w:p>
      <w:pPr>
        <w:spacing w:after="0"/>
        <w:jc w:val="left"/>
        <w:rPr>
          <w:rFonts w:ascii="Times New Roman" w:eastAsia="Times New Roman"/>
          <w:sz w:val="21"/>
        </w:rPr>
        <w:sectPr>
          <w:headerReference w:type="default" r:id="rId11"/>
          <w:footerReference w:type="default" r:id="rId12"/>
          <w:pgSz w:w="11910" w:h="16840"/>
          <w:pgMar w:top="1700" w:right="0" w:bottom="1500" w:left="440" w:header="708" w:footer="708"/>
          <w:pgNumType w:start="2"/>
          <w:cols w:space="708"/>
        </w:sectPr>
      </w:pPr>
    </w:p>
    <w:p>
      <w:pPr>
        <w:tabs>
          <w:tab w:val="right" w:leader="dot" w:pos="10263"/>
        </w:tabs>
        <w:spacing w:before="161"/>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39.</w:t>
      </w:r>
      <w:r>
        <w:rPr>
          <w:rFonts w:ascii="Times New Roman" w:eastAsia="Times New Roman"/>
          <w:b/>
          <w:spacing w:val="-4"/>
          <w:sz w:val="21"/>
        </w:rPr>
        <w:t xml:space="preserve"> </w:t>
      </w:r>
      <w:r>
        <w:rPr>
          <w:rFonts w:ascii="Times New Roman" w:eastAsia="Times New Roman"/>
          <w:b/>
          <w:sz w:val="21"/>
        </w:rPr>
        <w:t>2021-2026</w:t>
      </w:r>
      <w:r>
        <w:rPr>
          <w:rFonts w:ascii="Times New Roman" w:eastAsia="Times New Roman"/>
          <w:b/>
          <w:spacing w:val="-5"/>
          <w:sz w:val="21"/>
        </w:rPr>
        <w:t xml:space="preserve"> </w:t>
      </w:r>
      <w:r>
        <w:rPr>
          <w:b/>
          <w:sz w:val="21"/>
        </w:rPr>
        <w:t>年各细分赛道</w:t>
      </w:r>
      <w:r>
        <w:rPr>
          <w:b/>
          <w:spacing w:val="-53"/>
          <w:sz w:val="21"/>
        </w:rPr>
        <w:t xml:space="preserve"> </w:t>
      </w:r>
      <w:r>
        <w:rPr>
          <w:rFonts w:ascii="Times New Roman" w:eastAsia="Times New Roman"/>
          <w:b/>
          <w:sz w:val="21"/>
        </w:rPr>
        <w:t>CAGR</w:t>
      </w:r>
      <w:r>
        <w:rPr>
          <w:rFonts w:ascii="Times New Roman" w:eastAsia="Times New Roman"/>
          <w:b/>
          <w:spacing w:val="-3"/>
          <w:sz w:val="21"/>
        </w:rPr>
        <w:t xml:space="preserve"> </w:t>
      </w:r>
      <w:r>
        <w:rPr>
          <w:b/>
          <w:sz w:val="21"/>
        </w:rPr>
        <w:t>比较</w:t>
        <w:tab/>
      </w:r>
      <w:r>
        <w:rPr>
          <w:rFonts w:ascii="Times New Roman" w:eastAsia="Times New Roman"/>
          <w:b/>
          <w:sz w:val="21"/>
        </w:rPr>
        <w:t>23</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40.</w:t>
      </w:r>
      <w:r>
        <w:rPr>
          <w:rFonts w:ascii="Times New Roman" w:eastAsia="Times New Roman"/>
          <w:b/>
          <w:spacing w:val="-4"/>
          <w:sz w:val="21"/>
        </w:rPr>
        <w:t xml:space="preserve"> </w:t>
      </w:r>
      <w:r>
        <w:rPr>
          <w:rFonts w:ascii="Times New Roman" w:eastAsia="Times New Roman"/>
          <w:b/>
          <w:sz w:val="21"/>
        </w:rPr>
        <w:t>2013-2025</w:t>
      </w:r>
      <w:r>
        <w:rPr>
          <w:rFonts w:ascii="Times New Roman" w:eastAsia="Times New Roman"/>
          <w:b/>
          <w:spacing w:val="-5"/>
          <w:sz w:val="21"/>
        </w:rPr>
        <w:t xml:space="preserve"> </w:t>
      </w:r>
      <w:r>
        <w:rPr>
          <w:b/>
          <w:sz w:val="21"/>
        </w:rPr>
        <w:t>年火锅行业市场规模及预测</w:t>
        <w:tab/>
      </w:r>
      <w:r>
        <w:rPr>
          <w:rFonts w:ascii="Times New Roman" w:eastAsia="Times New Roman"/>
          <w:b/>
          <w:sz w:val="21"/>
        </w:rPr>
        <w:t>24</w:t>
      </w:r>
    </w:p>
    <w:p>
      <w:pPr>
        <w:tabs>
          <w:tab w:val="right" w:leader="dot" w:pos="10263"/>
        </w:tabs>
        <w:spacing w:before="140"/>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41.</w:t>
      </w:r>
      <w:r>
        <w:rPr>
          <w:rFonts w:ascii="Times New Roman" w:eastAsia="Times New Roman"/>
          <w:b/>
          <w:spacing w:val="48"/>
          <w:sz w:val="21"/>
        </w:rPr>
        <w:t xml:space="preserve"> </w:t>
      </w:r>
      <w:r>
        <w:rPr>
          <w:b/>
          <w:sz w:val="21"/>
        </w:rPr>
        <w:t>火锅调味品市场规模及</w:t>
      </w:r>
      <w:r>
        <w:rPr>
          <w:b/>
          <w:spacing w:val="-5"/>
          <w:sz w:val="21"/>
        </w:rPr>
        <w:t>增</w:t>
      </w:r>
      <w:r>
        <w:rPr>
          <w:b/>
          <w:sz w:val="21"/>
        </w:rPr>
        <w:t>速</w:t>
        <w:tab/>
      </w:r>
      <w:r>
        <w:rPr>
          <w:rFonts w:ascii="Times New Roman" w:eastAsia="Times New Roman"/>
          <w:b/>
          <w:sz w:val="21"/>
        </w:rPr>
        <w:t>24</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42.</w:t>
      </w:r>
      <w:r>
        <w:rPr>
          <w:rFonts w:ascii="Times New Roman" w:eastAsia="Times New Roman"/>
          <w:b/>
          <w:spacing w:val="-5"/>
          <w:sz w:val="21"/>
        </w:rPr>
        <w:t xml:space="preserve"> </w:t>
      </w:r>
      <w:r>
        <w:rPr>
          <w:rFonts w:ascii="Times New Roman" w:eastAsia="Times New Roman"/>
          <w:b/>
          <w:sz w:val="21"/>
        </w:rPr>
        <w:t>2022</w:t>
      </w:r>
      <w:r>
        <w:rPr>
          <w:rFonts w:ascii="Times New Roman" w:eastAsia="Times New Roman"/>
          <w:b/>
          <w:spacing w:val="-4"/>
          <w:sz w:val="21"/>
        </w:rPr>
        <w:t xml:space="preserve"> </w:t>
      </w:r>
      <w:r>
        <w:rPr>
          <w:b/>
          <w:sz w:val="21"/>
        </w:rPr>
        <w:t>年复合调味品消费者偏好</w:t>
        <w:tab/>
      </w:r>
      <w:r>
        <w:rPr>
          <w:rFonts w:ascii="Times New Roman" w:eastAsia="Times New Roman"/>
          <w:b/>
          <w:sz w:val="21"/>
        </w:rPr>
        <w:t>24</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43.</w:t>
      </w:r>
      <w:r>
        <w:rPr>
          <w:rFonts w:ascii="Times New Roman" w:eastAsia="Times New Roman"/>
          <w:b/>
          <w:spacing w:val="48"/>
          <w:sz w:val="21"/>
        </w:rPr>
        <w:t xml:space="preserve"> </w:t>
      </w:r>
      <w:r>
        <w:rPr>
          <w:b/>
          <w:sz w:val="21"/>
        </w:rPr>
        <w:t>中式复调市场规模及增</w:t>
      </w:r>
      <w:r>
        <w:rPr>
          <w:b/>
          <w:spacing w:val="-5"/>
          <w:sz w:val="21"/>
        </w:rPr>
        <w:t>长</w:t>
      </w:r>
      <w:r>
        <w:rPr>
          <w:b/>
          <w:sz w:val="21"/>
        </w:rPr>
        <w:t>率</w:t>
        <w:tab/>
      </w:r>
      <w:r>
        <w:rPr>
          <w:rFonts w:ascii="Times New Roman" w:eastAsia="Times New Roman"/>
          <w:b/>
          <w:sz w:val="21"/>
        </w:rPr>
        <w:t>25</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44.</w:t>
      </w:r>
      <w:r>
        <w:rPr>
          <w:rFonts w:ascii="Times New Roman" w:eastAsia="Times New Roman"/>
          <w:b/>
          <w:spacing w:val="48"/>
          <w:sz w:val="21"/>
        </w:rPr>
        <w:t xml:space="preserve"> </w:t>
      </w:r>
      <w:r>
        <w:rPr>
          <w:b/>
          <w:sz w:val="21"/>
        </w:rPr>
        <w:t>酸菜鱼市场规模及预测</w:t>
        <w:tab/>
      </w:r>
      <w:r>
        <w:rPr>
          <w:rFonts w:ascii="Times New Roman" w:eastAsia="Times New Roman"/>
          <w:b/>
          <w:sz w:val="21"/>
        </w:rPr>
        <w:t>25</w:t>
      </w:r>
    </w:p>
    <w:p>
      <w:pPr>
        <w:tabs>
          <w:tab w:val="right" w:leader="dot" w:pos="10263"/>
        </w:tabs>
        <w:spacing w:before="144"/>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45.</w:t>
      </w:r>
      <w:r>
        <w:rPr>
          <w:rFonts w:ascii="Times New Roman" w:eastAsia="Times New Roman"/>
          <w:b/>
          <w:spacing w:val="48"/>
          <w:sz w:val="21"/>
        </w:rPr>
        <w:t xml:space="preserve"> </w:t>
      </w:r>
      <w:r>
        <w:rPr>
          <w:b/>
          <w:sz w:val="21"/>
        </w:rPr>
        <w:t>复合调味品产业链</w:t>
        <w:tab/>
      </w:r>
      <w:r>
        <w:rPr>
          <w:rFonts w:ascii="Times New Roman" w:eastAsia="Times New Roman"/>
          <w:b/>
          <w:sz w:val="21"/>
        </w:rPr>
        <w:t>26</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46.</w:t>
      </w:r>
      <w:r>
        <w:rPr>
          <w:rFonts w:ascii="Times New Roman" w:eastAsia="Times New Roman"/>
          <w:b/>
          <w:spacing w:val="48"/>
          <w:sz w:val="21"/>
        </w:rPr>
        <w:t xml:space="preserve"> </w:t>
      </w:r>
      <w:r>
        <w:rPr>
          <w:b/>
          <w:sz w:val="21"/>
        </w:rPr>
        <w:t>复合调味品商业模式</w:t>
        <w:tab/>
      </w:r>
      <w:r>
        <w:rPr>
          <w:rFonts w:ascii="Times New Roman" w:eastAsia="Times New Roman"/>
          <w:b/>
          <w:sz w:val="21"/>
        </w:rPr>
        <w:t>27</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47.</w:t>
      </w:r>
      <w:r>
        <w:rPr>
          <w:rFonts w:ascii="Times New Roman" w:eastAsia="Times New Roman"/>
          <w:b/>
          <w:spacing w:val="48"/>
          <w:sz w:val="21"/>
        </w:rPr>
        <w:t xml:space="preserve"> </w:t>
      </w:r>
      <w:r>
        <w:rPr>
          <w:b/>
          <w:sz w:val="21"/>
        </w:rPr>
        <w:t>三种商业模式对比</w:t>
        <w:tab/>
      </w:r>
      <w:r>
        <w:rPr>
          <w:rFonts w:ascii="Times New Roman" w:eastAsia="Times New Roman"/>
          <w:b/>
          <w:sz w:val="21"/>
        </w:rPr>
        <w:t>29</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48.</w:t>
      </w:r>
      <w:r>
        <w:rPr>
          <w:rFonts w:ascii="Times New Roman" w:eastAsia="Times New Roman"/>
          <w:b/>
          <w:spacing w:val="48"/>
          <w:sz w:val="21"/>
        </w:rPr>
        <w:t xml:space="preserve"> </w:t>
      </w:r>
      <w:r>
        <w:rPr>
          <w:b/>
          <w:sz w:val="21"/>
        </w:rPr>
        <w:t>大</w:t>
      </w:r>
      <w:r>
        <w:rPr>
          <w:b/>
          <w:spacing w:val="-54"/>
          <w:sz w:val="21"/>
        </w:rPr>
        <w:t xml:space="preserve"> </w:t>
      </w:r>
      <w:r>
        <w:rPr>
          <w:rFonts w:ascii="Times New Roman" w:eastAsia="Times New Roman"/>
          <w:b/>
          <w:sz w:val="21"/>
        </w:rPr>
        <w:t>B</w:t>
      </w:r>
      <w:r>
        <w:rPr>
          <w:rFonts w:ascii="Times New Roman" w:eastAsia="Times New Roman"/>
          <w:b/>
          <w:spacing w:val="-2"/>
          <w:sz w:val="21"/>
        </w:rPr>
        <w:t xml:space="preserve"> </w:t>
      </w:r>
      <w:r>
        <w:rPr>
          <w:b/>
          <w:sz w:val="21"/>
        </w:rPr>
        <w:t>端小</w:t>
      </w:r>
      <w:r>
        <w:rPr>
          <w:b/>
          <w:spacing w:val="-53"/>
          <w:sz w:val="21"/>
        </w:rPr>
        <w:t xml:space="preserve"> </w:t>
      </w:r>
      <w:r>
        <w:rPr>
          <w:rFonts w:ascii="Times New Roman" w:eastAsia="Times New Roman"/>
          <w:b/>
          <w:sz w:val="21"/>
        </w:rPr>
        <w:t>B</w:t>
      </w:r>
      <w:r>
        <w:rPr>
          <w:rFonts w:ascii="Times New Roman" w:eastAsia="Times New Roman"/>
          <w:b/>
          <w:spacing w:val="-1"/>
          <w:sz w:val="21"/>
        </w:rPr>
        <w:t xml:space="preserve"> </w:t>
      </w:r>
      <w:r>
        <w:rPr>
          <w:b/>
          <w:sz w:val="21"/>
        </w:rPr>
        <w:t>端特点及相互赋能</w:t>
        <w:tab/>
      </w:r>
      <w:r>
        <w:rPr>
          <w:rFonts w:ascii="Times New Roman" w:eastAsia="Times New Roman"/>
          <w:b/>
          <w:sz w:val="21"/>
        </w:rPr>
        <w:t>30</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49.</w:t>
      </w:r>
      <w:r>
        <w:rPr>
          <w:rFonts w:ascii="Times New Roman" w:eastAsia="Times New Roman"/>
          <w:b/>
          <w:spacing w:val="48"/>
          <w:sz w:val="21"/>
        </w:rPr>
        <w:t xml:space="preserve"> </w:t>
      </w:r>
      <w:r>
        <w:rPr>
          <w:b/>
          <w:sz w:val="21"/>
        </w:rPr>
        <w:t>日辰股份商业模式</w:t>
        <w:tab/>
      </w:r>
      <w:r>
        <w:rPr>
          <w:rFonts w:ascii="Times New Roman" w:eastAsia="Times New Roman"/>
          <w:b/>
          <w:sz w:val="21"/>
        </w:rPr>
        <w:t>31</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50.</w:t>
      </w:r>
      <w:r>
        <w:rPr>
          <w:rFonts w:ascii="Times New Roman" w:eastAsia="Times New Roman"/>
          <w:b/>
          <w:spacing w:val="48"/>
          <w:sz w:val="21"/>
        </w:rPr>
        <w:t xml:space="preserve"> </w:t>
      </w:r>
      <w:r>
        <w:rPr>
          <w:b/>
          <w:sz w:val="21"/>
        </w:rPr>
        <w:t>宝立食品商业模式</w:t>
        <w:tab/>
      </w:r>
      <w:r>
        <w:rPr>
          <w:rFonts w:ascii="Times New Roman" w:eastAsia="Times New Roman"/>
          <w:b/>
          <w:sz w:val="21"/>
        </w:rPr>
        <w:t>31</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51.</w:t>
      </w:r>
      <w:r>
        <w:rPr>
          <w:rFonts w:ascii="Times New Roman" w:eastAsia="Times New Roman"/>
          <w:b/>
          <w:spacing w:val="47"/>
          <w:sz w:val="21"/>
        </w:rPr>
        <w:t xml:space="preserve"> </w:t>
      </w:r>
      <w:r>
        <w:rPr>
          <w:b/>
          <w:sz w:val="21"/>
        </w:rPr>
        <w:t>天味食品商业模式</w:t>
        <w:tab/>
      </w:r>
      <w:r>
        <w:rPr>
          <w:rFonts w:ascii="Times New Roman" w:eastAsia="Times New Roman"/>
          <w:b/>
          <w:sz w:val="21"/>
        </w:rPr>
        <w:t>32</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52.</w:t>
      </w:r>
      <w:r>
        <w:rPr>
          <w:rFonts w:ascii="Times New Roman" w:eastAsia="Times New Roman"/>
          <w:b/>
          <w:spacing w:val="48"/>
          <w:sz w:val="21"/>
        </w:rPr>
        <w:t xml:space="preserve"> </w:t>
      </w:r>
      <w:r>
        <w:rPr>
          <w:b/>
          <w:sz w:val="21"/>
        </w:rPr>
        <w:t>颐海国际品牌一览</w:t>
        <w:tab/>
      </w:r>
      <w:r>
        <w:rPr>
          <w:rFonts w:ascii="Times New Roman" w:eastAsia="Times New Roman"/>
          <w:b/>
          <w:sz w:val="21"/>
        </w:rPr>
        <w:t>33</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53.</w:t>
      </w:r>
      <w:r>
        <w:rPr>
          <w:rFonts w:ascii="Times New Roman" w:eastAsia="Times New Roman"/>
          <w:b/>
          <w:spacing w:val="48"/>
          <w:sz w:val="21"/>
        </w:rPr>
        <w:t xml:space="preserve"> </w:t>
      </w:r>
      <w:r>
        <w:rPr>
          <w:b/>
          <w:sz w:val="21"/>
        </w:rPr>
        <w:t>颐海国际关联方业务与</w:t>
      </w:r>
      <w:r>
        <w:rPr>
          <w:b/>
          <w:spacing w:val="-5"/>
          <w:sz w:val="21"/>
        </w:rPr>
        <w:t>非</w:t>
      </w:r>
      <w:r>
        <w:rPr>
          <w:b/>
          <w:sz w:val="21"/>
        </w:rPr>
        <w:t>关联方业务占比情况</w:t>
        <w:tab/>
      </w:r>
      <w:r>
        <w:rPr>
          <w:rFonts w:ascii="Times New Roman" w:eastAsia="Times New Roman"/>
          <w:b/>
          <w:sz w:val="21"/>
        </w:rPr>
        <w:t>33</w:t>
      </w:r>
    </w:p>
    <w:p>
      <w:pPr>
        <w:tabs>
          <w:tab w:val="right" w:leader="dot" w:pos="10263"/>
        </w:tabs>
        <w:spacing w:before="139"/>
        <w:ind w:left="1091" w:right="0" w:firstLine="0"/>
        <w:jc w:val="left"/>
        <w:rPr>
          <w:rFonts w:ascii="Times New Roman" w:eastAsia="Times New Roman"/>
          <w:b/>
          <w:sz w:val="21"/>
        </w:rPr>
      </w:pPr>
      <w:r>
        <w:rPr>
          <w:b/>
          <w:sz w:val="21"/>
        </w:rPr>
        <w:t>图</w:t>
      </w:r>
      <w:r>
        <w:rPr>
          <w:b/>
          <w:spacing w:val="-49"/>
          <w:sz w:val="21"/>
        </w:rPr>
        <w:t xml:space="preserve"> </w:t>
      </w:r>
      <w:r>
        <w:rPr>
          <w:rFonts w:ascii="Times New Roman" w:eastAsia="Times New Roman"/>
          <w:b/>
          <w:sz w:val="21"/>
        </w:rPr>
        <w:t>54.</w:t>
      </w:r>
      <w:r>
        <w:rPr>
          <w:rFonts w:ascii="Times New Roman" w:eastAsia="Times New Roman"/>
          <w:b/>
          <w:spacing w:val="48"/>
          <w:sz w:val="21"/>
        </w:rPr>
        <w:t xml:space="preserve"> </w:t>
      </w:r>
      <w:r>
        <w:rPr>
          <w:b/>
          <w:sz w:val="21"/>
        </w:rPr>
        <w:t>颐海国际商业模式</w:t>
        <w:tab/>
      </w:r>
      <w:r>
        <w:rPr>
          <w:rFonts w:ascii="Times New Roman" w:eastAsia="Times New Roman"/>
          <w:b/>
          <w:sz w:val="21"/>
        </w:rPr>
        <w:t>33</w:t>
      </w:r>
    </w:p>
    <w:p>
      <w:pPr>
        <w:tabs>
          <w:tab w:val="left" w:leader="dot" w:pos="10052"/>
        </w:tabs>
        <w:spacing w:before="456"/>
        <w:ind w:left="1091" w:right="0" w:firstLine="0"/>
        <w:jc w:val="left"/>
        <w:rPr>
          <w:rFonts w:ascii="Times New Roman" w:eastAsia="Times New Roman"/>
          <w:b/>
          <w:sz w:val="21"/>
        </w:rPr>
      </w:pPr>
      <w:r>
        <w:rPr>
          <w:b/>
          <w:sz w:val="21"/>
        </w:rPr>
        <w:t>表</w:t>
      </w:r>
      <w:r>
        <w:rPr>
          <w:b/>
          <w:spacing w:val="-49"/>
          <w:sz w:val="21"/>
        </w:rPr>
        <w:t xml:space="preserve"> </w:t>
      </w:r>
      <w:r>
        <w:rPr>
          <w:rFonts w:ascii="Times New Roman" w:eastAsia="Times New Roman"/>
          <w:b/>
          <w:sz w:val="21"/>
        </w:rPr>
        <w:t>1.</w:t>
      </w:r>
      <w:r>
        <w:rPr>
          <w:rFonts w:ascii="Times New Roman" w:eastAsia="Times New Roman"/>
          <w:b/>
          <w:spacing w:val="50"/>
          <w:sz w:val="21"/>
        </w:rPr>
        <w:t xml:space="preserve"> </w:t>
      </w:r>
      <w:r>
        <w:rPr>
          <w:b/>
          <w:sz w:val="21"/>
        </w:rPr>
        <w:t>小</w:t>
      </w:r>
      <w:r>
        <w:rPr>
          <w:b/>
          <w:spacing w:val="-54"/>
          <w:sz w:val="21"/>
        </w:rPr>
        <w:t xml:space="preserve"> </w:t>
      </w:r>
      <w:r>
        <w:rPr>
          <w:rFonts w:ascii="Times New Roman" w:eastAsia="Times New Roman"/>
          <w:b/>
          <w:sz w:val="21"/>
        </w:rPr>
        <w:t>B</w:t>
      </w:r>
      <w:r>
        <w:rPr>
          <w:rFonts w:ascii="Times New Roman" w:eastAsia="Times New Roman"/>
          <w:b/>
          <w:spacing w:val="-1"/>
          <w:sz w:val="21"/>
        </w:rPr>
        <w:t xml:space="preserve"> </w:t>
      </w:r>
      <w:r>
        <w:rPr>
          <w:b/>
          <w:sz w:val="21"/>
        </w:rPr>
        <w:t>端各品牌优势</w:t>
        <w:tab/>
      </w:r>
      <w:r>
        <w:rPr>
          <w:rFonts w:ascii="Times New Roman" w:eastAsia="Times New Roman"/>
          <w:b/>
          <w:sz w:val="21"/>
        </w:rPr>
        <w:t>17</w:t>
      </w:r>
    </w:p>
    <w:p>
      <w:pPr>
        <w:tabs>
          <w:tab w:val="left" w:leader="dot" w:pos="10052"/>
        </w:tabs>
        <w:spacing w:before="139"/>
        <w:ind w:left="1091" w:right="0" w:firstLine="0"/>
        <w:jc w:val="left"/>
        <w:rPr>
          <w:rFonts w:ascii="Times New Roman" w:eastAsia="Times New Roman"/>
          <w:b/>
          <w:sz w:val="21"/>
        </w:rPr>
      </w:pPr>
      <w:r>
        <w:rPr>
          <w:b/>
          <w:sz w:val="21"/>
        </w:rPr>
        <w:t>表</w:t>
      </w:r>
      <w:r>
        <w:rPr>
          <w:b/>
          <w:spacing w:val="-49"/>
          <w:sz w:val="21"/>
        </w:rPr>
        <w:t xml:space="preserve"> </w:t>
      </w:r>
      <w:r>
        <w:rPr>
          <w:rFonts w:ascii="Times New Roman" w:eastAsia="Times New Roman"/>
          <w:b/>
          <w:sz w:val="21"/>
        </w:rPr>
        <w:t>2.</w:t>
      </w:r>
      <w:r>
        <w:rPr>
          <w:rFonts w:ascii="Times New Roman" w:eastAsia="Times New Roman"/>
          <w:b/>
          <w:spacing w:val="-4"/>
          <w:sz w:val="21"/>
        </w:rPr>
        <w:t xml:space="preserve"> </w:t>
      </w:r>
      <w:r>
        <w:rPr>
          <w:rFonts w:ascii="Times New Roman" w:eastAsia="Times New Roman"/>
          <w:b/>
          <w:sz w:val="21"/>
        </w:rPr>
        <w:t>BC</w:t>
      </w:r>
      <w:r>
        <w:rPr>
          <w:rFonts w:ascii="Times New Roman" w:eastAsia="Times New Roman"/>
          <w:b/>
          <w:spacing w:val="-3"/>
          <w:sz w:val="21"/>
        </w:rPr>
        <w:t xml:space="preserve"> </w:t>
      </w:r>
      <w:r>
        <w:rPr>
          <w:b/>
          <w:sz w:val="21"/>
        </w:rPr>
        <w:t>两端多角度对比</w:t>
        <w:tab/>
      </w:r>
      <w:r>
        <w:rPr>
          <w:rFonts w:ascii="Times New Roman" w:eastAsia="Times New Roman"/>
          <w:b/>
          <w:sz w:val="21"/>
        </w:rPr>
        <w:t>27</w:t>
      </w:r>
    </w:p>
    <w:p>
      <w:pPr>
        <w:tabs>
          <w:tab w:val="left" w:leader="dot" w:pos="10052"/>
        </w:tabs>
        <w:spacing w:before="139"/>
        <w:ind w:left="1091" w:right="0" w:firstLine="0"/>
        <w:jc w:val="left"/>
        <w:rPr>
          <w:rFonts w:ascii="Times New Roman" w:eastAsia="Times New Roman"/>
          <w:b/>
          <w:sz w:val="21"/>
        </w:rPr>
      </w:pPr>
      <w:r>
        <w:rPr>
          <w:b/>
          <w:sz w:val="21"/>
        </w:rPr>
        <w:t>表</w:t>
      </w:r>
      <w:r>
        <w:rPr>
          <w:b/>
          <w:spacing w:val="-49"/>
          <w:sz w:val="21"/>
        </w:rPr>
        <w:t xml:space="preserve"> </w:t>
      </w:r>
      <w:r>
        <w:rPr>
          <w:rFonts w:ascii="Times New Roman" w:eastAsia="Times New Roman"/>
          <w:b/>
          <w:sz w:val="21"/>
        </w:rPr>
        <w:t>3.</w:t>
      </w:r>
      <w:r>
        <w:rPr>
          <w:rFonts w:ascii="Times New Roman" w:eastAsia="Times New Roman"/>
          <w:b/>
          <w:spacing w:val="50"/>
          <w:sz w:val="21"/>
        </w:rPr>
        <w:t xml:space="preserve"> </w:t>
      </w:r>
      <w:r>
        <w:rPr>
          <w:b/>
          <w:sz w:val="21"/>
        </w:rPr>
        <w:t>天味食品品牌布局</w:t>
        <w:tab/>
      </w:r>
      <w:r>
        <w:rPr>
          <w:rFonts w:ascii="Times New Roman" w:eastAsia="Times New Roman"/>
          <w:b/>
          <w:sz w:val="21"/>
        </w:rPr>
        <w:t>32</w:t>
      </w:r>
    </w:p>
    <w:p>
      <w:pPr>
        <w:tabs>
          <w:tab w:val="right" w:leader="dot" w:pos="10263"/>
        </w:tabs>
        <w:spacing w:before="139"/>
        <w:ind w:left="1091" w:right="0" w:firstLine="0"/>
        <w:jc w:val="left"/>
        <w:rPr>
          <w:rFonts w:ascii="Times New Roman" w:eastAsia="Times New Roman"/>
          <w:b/>
          <w:sz w:val="21"/>
        </w:rPr>
      </w:pPr>
      <w:r>
        <w:rPr>
          <w:b/>
          <w:sz w:val="21"/>
        </w:rPr>
        <w:t>表</w:t>
      </w:r>
      <w:r>
        <w:rPr>
          <w:b/>
          <w:spacing w:val="-49"/>
          <w:sz w:val="21"/>
        </w:rPr>
        <w:t xml:space="preserve"> </w:t>
      </w:r>
      <w:r>
        <w:rPr>
          <w:rFonts w:ascii="Times New Roman" w:eastAsia="Times New Roman"/>
          <w:b/>
          <w:sz w:val="21"/>
        </w:rPr>
        <w:t>4.</w:t>
      </w:r>
      <w:r>
        <w:rPr>
          <w:rFonts w:ascii="Times New Roman" w:eastAsia="Times New Roman"/>
          <w:b/>
          <w:spacing w:val="48"/>
          <w:sz w:val="21"/>
        </w:rPr>
        <w:t xml:space="preserve"> </w:t>
      </w:r>
      <w:r>
        <w:rPr>
          <w:b/>
          <w:sz w:val="21"/>
        </w:rPr>
        <w:t>重点公司盈利预测</w:t>
        <w:tab/>
      </w:r>
      <w:r>
        <w:rPr>
          <w:rFonts w:ascii="Times New Roman" w:eastAsia="Times New Roman"/>
          <w:b/>
          <w:sz w:val="21"/>
        </w:rPr>
        <w:t>35</w:t>
      </w:r>
    </w:p>
    <w:p>
      <w:pPr>
        <w:spacing w:after="0"/>
        <w:jc w:val="left"/>
        <w:rPr>
          <w:rFonts w:ascii="Times New Roman" w:eastAsia="Times New Roman"/>
          <w:sz w:val="21"/>
        </w:rPr>
        <w:sectPr>
          <w:headerReference w:type="default" r:id="rId13"/>
          <w:footerReference w:type="default" r:id="rId14"/>
          <w:pgSz w:w="11910" w:h="16840"/>
          <w:pgMar w:top="1700" w:right="0" w:bottom="1500" w:left="440" w:header="708" w:footer="708"/>
          <w:pgNumType w:start="3"/>
          <w:cols w:space="708"/>
        </w:sectPr>
      </w:pPr>
    </w:p>
    <w:p>
      <w:pPr>
        <w:pStyle w:val="Heading1"/>
        <w:numPr>
          <w:ilvl w:val="0"/>
          <w:numId w:val="11"/>
        </w:numPr>
        <w:tabs>
          <w:tab w:val="left" w:pos="3391"/>
          <w:tab w:val="left" w:pos="3392"/>
        </w:tabs>
        <w:spacing w:before="162" w:after="0" w:line="240" w:lineRule="auto"/>
        <w:ind w:left="3391" w:right="0" w:hanging="428"/>
        <w:jc w:val="left"/>
      </w:pPr>
      <w:bookmarkStart w:id="0" w:name="_TOC_250021"/>
      <w:bookmarkEnd w:id="0"/>
      <w:r>
        <w:rPr>
          <w:color w:val="9C4A45"/>
          <w:spacing w:val="-1"/>
        </w:rPr>
        <w:t>复调行业否极泰来，头部企业修身聚能</w:t>
      </w:r>
    </w:p>
    <w:p>
      <w:pPr>
        <w:pStyle w:val="ListParagraph"/>
        <w:numPr>
          <w:ilvl w:val="1"/>
          <w:numId w:val="11"/>
        </w:numPr>
        <w:tabs>
          <w:tab w:val="left" w:pos="3392"/>
        </w:tabs>
        <w:spacing w:before="304" w:after="0" w:line="240" w:lineRule="auto"/>
        <w:ind w:left="3391" w:right="0" w:hanging="428"/>
        <w:jc w:val="left"/>
        <w:rPr>
          <w:b/>
          <w:sz w:val="24"/>
        </w:rPr>
      </w:pPr>
      <w:bookmarkStart w:id="1" w:name="_TOC_250020"/>
      <w:bookmarkEnd w:id="1"/>
      <w:r>
        <w:rPr>
          <w:b/>
          <w:color w:val="9C4A45"/>
          <w:sz w:val="24"/>
        </w:rPr>
        <w:t>需求企稳、格局优化，行业发展迎新起点</w:t>
      </w:r>
    </w:p>
    <w:p>
      <w:pPr>
        <w:pStyle w:val="BodyText"/>
        <w:rPr>
          <w:b/>
        </w:rPr>
      </w:pPr>
    </w:p>
    <w:p>
      <w:pPr>
        <w:pStyle w:val="BodyText"/>
        <w:spacing w:before="1" w:line="328" w:lineRule="auto"/>
        <w:ind w:left="2964" w:right="1122"/>
        <w:jc w:val="both"/>
      </w:pPr>
      <w:r>
        <w:rPr>
          <w:b/>
          <w:spacing w:val="-2"/>
        </w:rPr>
        <w:t>行业历经“大起大落”，格局更迭优化，现迎来发展拐点。</w:t>
      </w:r>
      <w:r>
        <w:rPr>
          <w:spacing w:val="-5"/>
        </w:rPr>
        <w:t>我国狭义的复合调味</w:t>
      </w:r>
      <w:r>
        <w:rPr>
          <w:spacing w:val="-20"/>
        </w:rPr>
        <w:t>品</w:t>
      </w:r>
      <w:r>
        <w:t>（</w:t>
      </w:r>
      <w:r>
        <w:rPr>
          <w:spacing w:val="-3"/>
        </w:rPr>
        <w:t>即料包等产品</w:t>
      </w:r>
      <w:r>
        <w:rPr>
          <w:spacing w:val="-20"/>
        </w:rPr>
        <w:t>）</w:t>
      </w:r>
      <w:r>
        <w:rPr>
          <w:spacing w:val="-11"/>
        </w:rPr>
        <w:t xml:space="preserve">起步较晚，直至 </w:t>
      </w:r>
      <w:r>
        <w:rPr>
          <w:rFonts w:ascii="Times New Roman" w:eastAsia="Times New Roman" w:hAnsi="Times New Roman"/>
        </w:rPr>
        <w:t xml:space="preserve">2010 </w:t>
      </w:r>
      <w:r>
        <w:rPr>
          <w:spacing w:val="-7"/>
        </w:rPr>
        <w:t>年前后，调味品行业复合化需求逐步显现，以火锅底料、鱼调料等单品为主导的企业逐步入局，并稳健成长。</w:t>
      </w:r>
      <w:r>
        <w:rPr>
          <w:spacing w:val="-4"/>
          <w:u w:val="single"/>
        </w:rPr>
        <w:t xml:space="preserve">直至 </w:t>
      </w:r>
      <w:r>
        <w:rPr>
          <w:rFonts w:ascii="Times New Roman" w:eastAsia="Times New Roman" w:hAnsi="Times New Roman"/>
          <w:spacing w:val="-6"/>
          <w:u w:val="single"/>
        </w:rPr>
        <w:t>2020</w:t>
      </w:r>
      <w:r>
        <w:rPr>
          <w:spacing w:val="-192"/>
          <w:u w:val="single"/>
        </w:rPr>
        <w:t>年</w:t>
      </w:r>
      <w:r>
        <w:rPr>
          <w:spacing w:val="-7"/>
          <w:u w:val="single"/>
        </w:rPr>
        <w:t xml:space="preserve">，新冠疫情爆发导致居家消费需求上涨，推动复合调味品行业 </w:t>
      </w:r>
      <w:r>
        <w:rPr>
          <w:rFonts w:ascii="Times New Roman" w:eastAsia="Times New Roman" w:hAnsi="Times New Roman"/>
          <w:u w:val="single"/>
        </w:rPr>
        <w:t xml:space="preserve">C </w:t>
      </w:r>
      <w:r>
        <w:rPr>
          <w:spacing w:val="-3"/>
          <w:u w:val="single"/>
        </w:rPr>
        <w:t>端迎来高速增长，</w:t>
      </w:r>
      <w:r>
        <w:rPr>
          <w:rFonts w:ascii="Times New Roman" w:eastAsia="Times New Roman" w:hAnsi="Times New Roman"/>
          <w:spacing w:val="-3"/>
          <w:u w:val="single"/>
        </w:rPr>
        <w:t>2020</w:t>
      </w:r>
      <w:r>
        <w:rPr>
          <w:rFonts w:ascii="Times New Roman" w:eastAsia="Times New Roman" w:hAnsi="Times New Roman"/>
          <w:spacing w:val="51"/>
          <w:u w:val="single"/>
        </w:rPr>
        <w:t xml:space="preserve"> </w:t>
      </w:r>
      <w:r>
        <w:rPr>
          <w:spacing w:val="-5"/>
          <w:u w:val="single"/>
        </w:rPr>
        <w:t xml:space="preserve">年复合调味品零售端市场规模增速达 </w:t>
      </w:r>
      <w:r>
        <w:rPr>
          <w:rFonts w:ascii="Times New Roman" w:eastAsia="Times New Roman" w:hAnsi="Times New Roman"/>
          <w:u w:val="single"/>
        </w:rPr>
        <w:t>15.4%</w:t>
      </w:r>
      <w:r>
        <w:rPr>
          <w:u w:val="single"/>
        </w:rPr>
        <w:t>，</w:t>
      </w:r>
      <w:r>
        <w:rPr>
          <w:rFonts w:ascii="Times New Roman" w:eastAsia="Times New Roman" w:hAnsi="Times New Roman"/>
          <w:u w:val="single"/>
        </w:rPr>
        <w:t xml:space="preserve">2017-2020 </w:t>
      </w:r>
      <w:r>
        <w:rPr>
          <w:spacing w:val="-1"/>
          <w:u w:val="single"/>
        </w:rPr>
        <w:t xml:space="preserve">年 </w:t>
      </w:r>
      <w:r>
        <w:rPr>
          <w:rFonts w:ascii="Times New Roman" w:eastAsia="Times New Roman" w:hAnsi="Times New Roman"/>
          <w:u w:val="single"/>
        </w:rPr>
        <w:t xml:space="preserve">CAGR </w:t>
      </w:r>
      <w:r>
        <w:rPr>
          <w:u w:val="single"/>
        </w:rPr>
        <w:t>为</w:t>
      </w:r>
    </w:p>
    <w:p>
      <w:pPr>
        <w:pStyle w:val="BodyText"/>
        <w:spacing w:line="328" w:lineRule="auto"/>
        <w:ind w:left="2964" w:right="1122"/>
        <w:jc w:val="both"/>
      </w:pPr>
      <w:r>
        <w:rPr>
          <w:rFonts w:ascii="Times New Roman" w:eastAsia="Times New Roman"/>
          <w:spacing w:val="-53"/>
          <w:w w:val="100"/>
          <w:u w:val="single"/>
        </w:rPr>
        <w:t xml:space="preserve"> </w:t>
      </w:r>
      <w:r>
        <w:rPr>
          <w:rFonts w:ascii="Times New Roman" w:eastAsia="Times New Roman"/>
          <w:u w:val="single"/>
        </w:rPr>
        <w:t>12.5%</w:t>
      </w:r>
      <w:r>
        <w:rPr>
          <w:u w:val="single"/>
        </w:rPr>
        <w:t>。</w:t>
      </w:r>
      <w:r>
        <w:t xml:space="preserve"> </w:t>
      </w:r>
      <w:r>
        <w:rPr>
          <w:rFonts w:ascii="Times New Roman" w:eastAsia="Times New Roman"/>
        </w:rPr>
        <w:t xml:space="preserve">2021 </w:t>
      </w:r>
      <w:r>
        <w:rPr>
          <w:spacing w:val="-7"/>
        </w:rPr>
        <w:t>年由于疫情趋向稳定，消费者居家烹饪次数减少，对复合调味品的</w:t>
      </w:r>
      <w:r>
        <w:rPr>
          <w:spacing w:val="-18"/>
        </w:rPr>
        <w:t>需求有所疲软，叠加行业竞争加剧，供给增加，使得行业进入调整期。</w:t>
      </w:r>
      <w:r>
        <w:rPr>
          <w:rFonts w:ascii="Times New Roman" w:eastAsia="Times New Roman"/>
          <w:u w:val="single"/>
        </w:rPr>
        <w:t>2022-</w:t>
      </w:r>
      <w:r>
        <w:rPr>
          <w:spacing w:val="-5"/>
          <w:u w:val="single"/>
        </w:rPr>
        <w:t>至今，</w:t>
      </w:r>
      <w:r>
        <w:rPr>
          <w:spacing w:val="-192"/>
          <w:u w:val="single"/>
        </w:rPr>
        <w:t>行</w:t>
      </w:r>
      <w:r>
        <w:rPr>
          <w:spacing w:val="-4"/>
          <w:u w:val="single"/>
        </w:rPr>
        <w:t>业历经调整，逐步趋于稳定，竞争态势有所放缓，并呈现出市场份额逐步向行业</w:t>
      </w:r>
      <w:r>
        <w:rPr>
          <w:spacing w:val="-5"/>
          <w:u w:val="single"/>
        </w:rPr>
        <w:t>龙头企业集中的趋势。</w:t>
      </w:r>
    </w:p>
    <w:p>
      <w:pPr>
        <w:pStyle w:val="BodyText"/>
        <w:tabs>
          <w:tab w:val="left" w:pos="10335"/>
        </w:tabs>
        <w:spacing w:line="264" w:lineRule="exact"/>
        <w:ind w:left="2964"/>
        <w:jc w:val="both"/>
      </w:pPr>
      <w:r>
        <w:drawing>
          <wp:anchor distT="0" distB="0" distL="0" distR="0" simplePos="0" relativeHeight="251659264" behindDoc="0" locked="0" layoutInCell="1" allowOverlap="1">
            <wp:simplePos x="0" y="0"/>
            <wp:positionH relativeFrom="page">
              <wp:posOffset>2161920</wp:posOffset>
            </wp:positionH>
            <wp:positionV relativeFrom="paragraph">
              <wp:posOffset>206081</wp:posOffset>
            </wp:positionV>
            <wp:extent cx="4680711" cy="2233612"/>
            <wp:effectExtent l="0" t="0" r="0" b="0"/>
            <wp:wrapTopAndBottom/>
            <wp:docPr id="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6.png"/>
                    <pic:cNvPicPr/>
                  </pic:nvPicPr>
                  <pic:blipFill>
                    <a:blip xmlns:r="http://schemas.openxmlformats.org/officeDocument/2006/relationships" r:embed="rId15" cstate="print"/>
                    <a:stretch>
                      <a:fillRect/>
                    </a:stretch>
                  </pic:blipFill>
                  <pic:spPr>
                    <a:xfrm>
                      <a:off x="0" y="0"/>
                      <a:ext cx="4680711" cy="2233612"/>
                    </a:xfrm>
                    <a:prstGeom prst="rect">
                      <a:avLst/>
                    </a:prstGeom>
                  </pic:spPr>
                </pic:pic>
              </a:graphicData>
            </a:graphic>
          </wp:anchor>
        </w:drawing>
      </w:r>
      <w:r>
        <w:rPr>
          <w:color w:val="FFFFFF"/>
          <w:shd w:val="clear" w:color="auto" w:fill="9C4A45"/>
        </w:rPr>
        <w:t>图</w:t>
      </w:r>
      <w:r>
        <w:rPr>
          <w:rFonts w:ascii="Times New Roman" w:eastAsia="Times New Roman"/>
          <w:color w:val="FFFFFF"/>
          <w:shd w:val="clear" w:color="auto" w:fill="9C4A45"/>
        </w:rPr>
        <w:t>1.</w:t>
      </w:r>
      <w:r>
        <w:rPr>
          <w:color w:val="FFFFFF"/>
          <w:shd w:val="clear" w:color="auto" w:fill="9C4A45"/>
        </w:rPr>
        <w:t>中国复合</w:t>
      </w:r>
      <w:r>
        <w:rPr>
          <w:color w:val="FFFFFF"/>
          <w:spacing w:val="-5"/>
          <w:shd w:val="clear" w:color="auto" w:fill="9C4A45"/>
        </w:rPr>
        <w:t>调</w:t>
      </w:r>
      <w:r>
        <w:rPr>
          <w:color w:val="FFFFFF"/>
          <w:shd w:val="clear" w:color="auto" w:fill="9C4A45"/>
        </w:rPr>
        <w:t>味品零</w:t>
      </w:r>
      <w:r>
        <w:rPr>
          <w:color w:val="FFFFFF"/>
          <w:spacing w:val="-5"/>
          <w:shd w:val="clear" w:color="auto" w:fill="9C4A45"/>
        </w:rPr>
        <w:t>售</w:t>
      </w:r>
      <w:r>
        <w:rPr>
          <w:color w:val="FFFFFF"/>
          <w:shd w:val="clear" w:color="auto" w:fill="9C4A45"/>
        </w:rPr>
        <w:t>端市场</w:t>
      </w:r>
      <w:r>
        <w:rPr>
          <w:color w:val="FFFFFF"/>
          <w:spacing w:val="-5"/>
          <w:shd w:val="clear" w:color="auto" w:fill="9C4A45"/>
        </w:rPr>
        <w:t>规</w:t>
      </w:r>
      <w:r>
        <w:rPr>
          <w:color w:val="FFFFFF"/>
          <w:shd w:val="clear" w:color="auto" w:fill="9C4A45"/>
        </w:rPr>
        <w:t>模及市</w:t>
      </w:r>
      <w:r>
        <w:rPr>
          <w:color w:val="FFFFFF"/>
          <w:spacing w:val="-5"/>
          <w:shd w:val="clear" w:color="auto" w:fill="9C4A45"/>
        </w:rPr>
        <w:t>场</w:t>
      </w:r>
      <w:r>
        <w:rPr>
          <w:color w:val="FFFFFF"/>
          <w:shd w:val="clear" w:color="auto" w:fill="9C4A45"/>
        </w:rPr>
        <w:t>发展历程</w:t>
        <w:tab/>
      </w:r>
    </w:p>
    <w:p>
      <w:pPr>
        <w:spacing w:before="48"/>
        <w:ind w:left="2964" w:right="0" w:firstLine="0"/>
        <w:jc w:val="both"/>
        <w:rPr>
          <w:sz w:val="15"/>
        </w:rPr>
      </w:pPr>
      <w:r>
        <w:t xml:space="preserve">数据来源：Euromonitor，天猫《2023 复合调味料趋势白皮书》， </w:t>
      </w:r>
    </w:p>
    <w:p>
      <w:pPr>
        <w:pStyle w:val="BodyText"/>
        <w:spacing w:before="7"/>
        <w:rPr>
          <w:sz w:val="11"/>
        </w:rPr>
      </w:pPr>
    </w:p>
    <w:p>
      <w:pPr>
        <w:pStyle w:val="ListParagraph"/>
        <w:numPr>
          <w:ilvl w:val="0"/>
          <w:numId w:val="10"/>
        </w:numPr>
        <w:tabs>
          <w:tab w:val="left" w:pos="3387"/>
        </w:tabs>
        <w:spacing w:before="80" w:after="0" w:line="328" w:lineRule="auto"/>
        <w:ind w:left="3387" w:right="1118" w:hanging="423"/>
        <w:jc w:val="both"/>
        <w:rPr>
          <w:sz w:val="21"/>
        </w:rPr>
      </w:pPr>
      <w:r>
        <w:rPr>
          <w:b/>
          <w:spacing w:val="-6"/>
          <w:sz w:val="21"/>
        </w:rPr>
        <w:t>起步成长阶段</w:t>
      </w:r>
      <w:r>
        <w:rPr>
          <w:b/>
          <w:sz w:val="21"/>
        </w:rPr>
        <w:t>（</w:t>
      </w:r>
      <w:r>
        <w:rPr>
          <w:rFonts w:ascii="Times New Roman" w:eastAsia="Times New Roman" w:hAnsi="Times New Roman"/>
          <w:b/>
          <w:sz w:val="21"/>
        </w:rPr>
        <w:t>2012-2016</w:t>
      </w:r>
      <w:r>
        <w:rPr>
          <w:rFonts w:ascii="Times New Roman" w:eastAsia="Times New Roman" w:hAnsi="Times New Roman"/>
          <w:b/>
          <w:spacing w:val="3"/>
          <w:sz w:val="21"/>
        </w:rPr>
        <w:t xml:space="preserve"> </w:t>
      </w:r>
      <w:r>
        <w:rPr>
          <w:b/>
          <w:spacing w:val="4"/>
          <w:sz w:val="21"/>
        </w:rPr>
        <w:t>年</w:t>
      </w:r>
      <w:r>
        <w:rPr>
          <w:b/>
          <w:spacing w:val="-34"/>
          <w:sz w:val="21"/>
        </w:rPr>
        <w:t>）：</w:t>
      </w:r>
      <w:r>
        <w:rPr>
          <w:b/>
          <w:spacing w:val="-4"/>
          <w:sz w:val="21"/>
        </w:rPr>
        <w:t>需求多元化催生调味品复合化，发展成长拓</w:t>
      </w:r>
      <w:r>
        <w:rPr>
          <w:b/>
          <w:spacing w:val="-2"/>
          <w:sz w:val="21"/>
        </w:rPr>
        <w:t>展品类。</w:t>
      </w:r>
      <w:r>
        <w:rPr>
          <w:spacing w:val="-6"/>
          <w:sz w:val="21"/>
        </w:rPr>
        <w:t>我国调味品行业的发展以酱油、醋等基础调味品为先，随着消费者</w:t>
      </w:r>
      <w:r>
        <w:rPr>
          <w:spacing w:val="-5"/>
          <w:sz w:val="21"/>
        </w:rPr>
        <w:t>对调味品的诉求升级，“多类菜系全国化”的餐饮消费趋势盛行，调味品企</w:t>
      </w:r>
      <w:r>
        <w:rPr>
          <w:spacing w:val="-10"/>
          <w:sz w:val="21"/>
        </w:rPr>
        <w:t xml:space="preserve">业开始尝试向多元品类迈进，复调品类逐渐扩容，如 </w:t>
      </w:r>
      <w:r>
        <w:rPr>
          <w:rFonts w:ascii="Times New Roman" w:eastAsia="Times New Roman" w:hAnsi="Times New Roman"/>
          <w:sz w:val="21"/>
        </w:rPr>
        <w:t>2013</w:t>
      </w:r>
      <w:r>
        <w:rPr>
          <w:rFonts w:ascii="Times New Roman" w:eastAsia="Times New Roman" w:hAnsi="Times New Roman"/>
          <w:spacing w:val="14"/>
          <w:sz w:val="21"/>
        </w:rPr>
        <w:t xml:space="preserve"> </w:t>
      </w:r>
      <w:r>
        <w:rPr>
          <w:spacing w:val="-5"/>
          <w:sz w:val="21"/>
        </w:rPr>
        <w:t>年海天味业上新拌</w:t>
      </w:r>
      <w:r>
        <w:rPr>
          <w:spacing w:val="-2"/>
          <w:sz w:val="21"/>
        </w:rPr>
        <w:t>饭酱和锦上鲜系列酱产品，</w:t>
      </w:r>
      <w:r>
        <w:rPr>
          <w:rFonts w:ascii="Times New Roman" w:eastAsia="Times New Roman" w:hAnsi="Times New Roman"/>
          <w:sz w:val="21"/>
        </w:rPr>
        <w:t>2016</w:t>
      </w:r>
      <w:r>
        <w:rPr>
          <w:rFonts w:ascii="Times New Roman" w:eastAsia="Times New Roman" w:hAnsi="Times New Roman"/>
          <w:spacing w:val="15"/>
          <w:sz w:val="21"/>
        </w:rPr>
        <w:t xml:space="preserve"> </w:t>
      </w:r>
      <w:r>
        <w:rPr>
          <w:spacing w:val="-8"/>
          <w:sz w:val="21"/>
        </w:rPr>
        <w:t>年天味推出“好人家”鱼调料多种口味，复</w:t>
      </w:r>
      <w:r>
        <w:rPr>
          <w:spacing w:val="-7"/>
          <w:sz w:val="21"/>
        </w:rPr>
        <w:t xml:space="preserve">调行业逐步进入发展阶段，行业市场规模 </w:t>
      </w:r>
      <w:r>
        <w:rPr>
          <w:rFonts w:ascii="Times New Roman" w:eastAsia="Times New Roman" w:hAnsi="Times New Roman"/>
          <w:sz w:val="21"/>
        </w:rPr>
        <w:t>2012-2016</w:t>
      </w:r>
      <w:r>
        <w:rPr>
          <w:rFonts w:ascii="Times New Roman" w:eastAsia="Times New Roman" w:hAnsi="Times New Roman"/>
          <w:spacing w:val="-2"/>
          <w:sz w:val="21"/>
        </w:rPr>
        <w:t xml:space="preserve"> </w:t>
      </w:r>
      <w:r>
        <w:rPr>
          <w:spacing w:val="3"/>
          <w:sz w:val="21"/>
        </w:rPr>
        <w:t xml:space="preserve">年 </w:t>
      </w:r>
      <w:r>
        <w:rPr>
          <w:rFonts w:ascii="Times New Roman" w:eastAsia="Times New Roman" w:hAnsi="Times New Roman"/>
          <w:sz w:val="21"/>
        </w:rPr>
        <w:t>CAGR</w:t>
      </w:r>
      <w:r>
        <w:rPr>
          <w:rFonts w:ascii="Times New Roman" w:eastAsia="Times New Roman" w:hAnsi="Times New Roman"/>
          <w:spacing w:val="2"/>
          <w:sz w:val="21"/>
        </w:rPr>
        <w:t xml:space="preserve"> </w:t>
      </w:r>
      <w:r>
        <w:rPr>
          <w:spacing w:val="-25"/>
          <w:sz w:val="21"/>
        </w:rPr>
        <w:t xml:space="preserve">达 </w:t>
      </w:r>
      <w:r>
        <w:rPr>
          <w:rFonts w:ascii="Times New Roman" w:eastAsia="Times New Roman" w:hAnsi="Times New Roman"/>
          <w:sz w:val="21"/>
        </w:rPr>
        <w:t>18.77%</w:t>
      </w:r>
      <w:r>
        <w:rPr>
          <w:sz w:val="21"/>
        </w:rPr>
        <w:t>。</w:t>
      </w:r>
    </w:p>
    <w:p>
      <w:pPr>
        <w:pStyle w:val="ListParagraph"/>
        <w:numPr>
          <w:ilvl w:val="0"/>
          <w:numId w:val="10"/>
        </w:numPr>
        <w:tabs>
          <w:tab w:val="left" w:pos="3386"/>
          <w:tab w:val="left" w:pos="3387"/>
        </w:tabs>
        <w:spacing w:before="151" w:after="0" w:line="328" w:lineRule="auto"/>
        <w:ind w:left="3387" w:right="1017" w:hanging="423"/>
        <w:jc w:val="left"/>
        <w:rPr>
          <w:sz w:val="21"/>
        </w:rPr>
      </w:pPr>
      <w:r>
        <w:rPr>
          <w:b/>
          <w:spacing w:val="-6"/>
          <w:sz w:val="21"/>
        </w:rPr>
        <w:t>崛起加速阶段</w:t>
      </w:r>
      <w:r>
        <w:rPr>
          <w:b/>
          <w:sz w:val="21"/>
        </w:rPr>
        <w:t>（</w:t>
      </w:r>
      <w:r>
        <w:rPr>
          <w:rFonts w:ascii="Times New Roman" w:eastAsia="Times New Roman" w:hAnsi="Times New Roman"/>
          <w:b/>
          <w:sz w:val="21"/>
        </w:rPr>
        <w:t>2017-2020</w:t>
      </w:r>
      <w:r>
        <w:rPr>
          <w:rFonts w:ascii="Times New Roman" w:eastAsia="Times New Roman" w:hAnsi="Times New Roman"/>
          <w:b/>
          <w:spacing w:val="-2"/>
          <w:sz w:val="21"/>
        </w:rPr>
        <w:t xml:space="preserve"> </w:t>
      </w:r>
      <w:r>
        <w:rPr>
          <w:b/>
          <w:spacing w:val="4"/>
          <w:sz w:val="21"/>
        </w:rPr>
        <w:t>年</w:t>
      </w:r>
      <w:r>
        <w:rPr>
          <w:b/>
          <w:spacing w:val="-34"/>
          <w:sz w:val="21"/>
        </w:rPr>
        <w:t>）：</w:t>
      </w:r>
      <w:r>
        <w:rPr>
          <w:b/>
          <w:spacing w:val="-3"/>
          <w:sz w:val="21"/>
        </w:rPr>
        <w:t>资本推动叠加疫情影响行业快速增长，头部</w:t>
      </w:r>
      <w:r>
        <w:rPr>
          <w:b/>
          <w:spacing w:val="-8"/>
          <w:sz w:val="21"/>
        </w:rPr>
        <w:t>企业彰显行业发展特征。</w:t>
      </w:r>
      <w:r>
        <w:rPr>
          <w:spacing w:val="-4"/>
          <w:sz w:val="21"/>
        </w:rPr>
        <w:t>据艾媒咨询数据显示，</w:t>
      </w:r>
      <w:r>
        <w:rPr>
          <w:rFonts w:ascii="Times New Roman" w:eastAsia="Times New Roman" w:hAnsi="Times New Roman"/>
          <w:spacing w:val="-7"/>
          <w:sz w:val="21"/>
        </w:rPr>
        <w:t>2017-2019</w:t>
      </w:r>
      <w:r>
        <w:rPr>
          <w:rFonts w:ascii="Times New Roman" w:eastAsia="Times New Roman" w:hAnsi="Times New Roman"/>
          <w:spacing w:val="10"/>
          <w:sz w:val="21"/>
        </w:rPr>
        <w:t xml:space="preserve"> </w:t>
      </w:r>
      <w:r>
        <w:rPr>
          <w:spacing w:val="-3"/>
          <w:sz w:val="21"/>
        </w:rPr>
        <w:t>年中国百强企业复</w:t>
      </w:r>
      <w:r>
        <w:rPr>
          <w:spacing w:val="-8"/>
          <w:sz w:val="21"/>
        </w:rPr>
        <w:t xml:space="preserve">合调味料产业生产总量由 </w:t>
      </w:r>
      <w:r>
        <w:rPr>
          <w:rFonts w:ascii="Times New Roman" w:eastAsia="Times New Roman" w:hAnsi="Times New Roman"/>
          <w:sz w:val="21"/>
        </w:rPr>
        <w:t>49.5</w:t>
      </w:r>
      <w:r>
        <w:rPr>
          <w:rFonts w:ascii="Times New Roman" w:eastAsia="Times New Roman" w:hAnsi="Times New Roman"/>
          <w:spacing w:val="7"/>
          <w:sz w:val="21"/>
        </w:rPr>
        <w:t xml:space="preserve"> </w:t>
      </w:r>
      <w:r>
        <w:rPr>
          <w:spacing w:val="-8"/>
          <w:sz w:val="21"/>
        </w:rPr>
        <w:t xml:space="preserve">万吨增至 </w:t>
      </w:r>
      <w:r>
        <w:rPr>
          <w:rFonts w:ascii="Times New Roman" w:eastAsia="Times New Roman" w:hAnsi="Times New Roman"/>
          <w:sz w:val="21"/>
        </w:rPr>
        <w:t>71.1</w:t>
      </w:r>
      <w:r>
        <w:rPr>
          <w:rFonts w:ascii="Times New Roman" w:eastAsia="Times New Roman" w:hAnsi="Times New Roman"/>
          <w:spacing w:val="13"/>
          <w:sz w:val="21"/>
        </w:rPr>
        <w:t xml:space="preserve"> </w:t>
      </w:r>
      <w:r>
        <w:rPr>
          <w:spacing w:val="-6"/>
          <w:sz w:val="21"/>
        </w:rPr>
        <w:t xml:space="preserve">万吨。同时资本开始不断涌入， </w:t>
      </w:r>
      <w:r>
        <w:rPr>
          <w:spacing w:val="-5"/>
          <w:sz w:val="21"/>
        </w:rPr>
        <w:t>众多新品牌获得融资。据企查查相关数据显示，</w:t>
      </w:r>
      <w:r>
        <w:rPr>
          <w:rFonts w:ascii="Times New Roman" w:eastAsia="Times New Roman" w:hAnsi="Times New Roman"/>
          <w:spacing w:val="-4"/>
          <w:sz w:val="21"/>
        </w:rPr>
        <w:t>2018</w:t>
      </w:r>
      <w:r>
        <w:rPr>
          <w:rFonts w:ascii="Times New Roman" w:eastAsia="Times New Roman" w:hAnsi="Times New Roman"/>
          <w:spacing w:val="7"/>
          <w:sz w:val="21"/>
        </w:rPr>
        <w:t xml:space="preserve"> </w:t>
      </w:r>
      <w:r>
        <w:rPr>
          <w:spacing w:val="-2"/>
          <w:sz w:val="21"/>
        </w:rPr>
        <w:t>年调味品品牌投融资披</w:t>
      </w:r>
      <w:r>
        <w:rPr>
          <w:spacing w:val="-6"/>
          <w:sz w:val="21"/>
        </w:rPr>
        <w:t xml:space="preserve">露金额骤增，突破 </w:t>
      </w:r>
      <w:r>
        <w:rPr>
          <w:rFonts w:ascii="Times New Roman" w:eastAsia="Times New Roman" w:hAnsi="Times New Roman"/>
          <w:sz w:val="21"/>
        </w:rPr>
        <w:t>46</w:t>
      </w:r>
      <w:r>
        <w:rPr>
          <w:rFonts w:ascii="Times New Roman" w:eastAsia="Times New Roman" w:hAnsi="Times New Roman"/>
          <w:spacing w:val="21"/>
          <w:sz w:val="21"/>
        </w:rPr>
        <w:t xml:space="preserve"> </w:t>
      </w:r>
      <w:r>
        <w:rPr>
          <w:spacing w:val="-6"/>
          <w:sz w:val="21"/>
        </w:rPr>
        <w:t>亿大关。此外，个体公司表现也印证了行业发展情况，</w:t>
      </w:r>
    </w:p>
    <w:p>
      <w:pPr>
        <w:spacing w:after="0" w:line="328" w:lineRule="auto"/>
        <w:jc w:val="left"/>
        <w:rPr>
          <w:sz w:val="21"/>
        </w:rPr>
        <w:sectPr>
          <w:headerReference w:type="default" r:id="rId16"/>
          <w:footerReference w:type="default" r:id="rId17"/>
          <w:pgSz w:w="11910" w:h="16840"/>
          <w:pgMar w:top="1700" w:right="0" w:bottom="1500" w:left="440" w:header="708" w:footer="708"/>
          <w:pgNumType w:start="4"/>
          <w:cols w:space="708"/>
        </w:sectPr>
      </w:pPr>
    </w:p>
    <w:p>
      <w:pPr>
        <w:pStyle w:val="BodyText"/>
        <w:spacing w:before="161" w:line="328" w:lineRule="auto"/>
        <w:ind w:left="3387" w:right="1117"/>
        <w:jc w:val="both"/>
      </w:pPr>
      <w:r>
        <w:rPr>
          <w:spacing w:val="-4"/>
        </w:rPr>
        <w:t>以颐海国际、天味食品等上市公司为代表的龙头企业竞争优势逐渐显现。颐</w:t>
      </w:r>
      <w:r>
        <w:rPr>
          <w:spacing w:val="-6"/>
        </w:rPr>
        <w:t xml:space="preserve">海国际的股价 </w:t>
      </w:r>
      <w:r>
        <w:rPr>
          <w:rFonts w:ascii="Times New Roman" w:eastAsia="Times New Roman"/>
        </w:rPr>
        <w:t xml:space="preserve">2020 </w:t>
      </w:r>
      <w:r>
        <w:rPr>
          <w:spacing w:val="-10"/>
        </w:rPr>
        <w:t xml:space="preserve">年初至 </w:t>
      </w:r>
      <w:r>
        <w:rPr>
          <w:rFonts w:ascii="Times New Roman" w:eastAsia="Times New Roman"/>
        </w:rPr>
        <w:t xml:space="preserve">9 </w:t>
      </w:r>
      <w:r>
        <w:rPr>
          <w:spacing w:val="-9"/>
        </w:rPr>
        <w:t xml:space="preserve">月涨幅达 </w:t>
      </w:r>
      <w:r>
        <w:rPr>
          <w:rFonts w:ascii="Times New Roman" w:eastAsia="Times New Roman"/>
        </w:rPr>
        <w:t>174%</w:t>
      </w:r>
      <w:r>
        <w:rPr>
          <w:spacing w:val="-6"/>
        </w:rPr>
        <w:t xml:space="preserve">，同时段天味实现了 </w:t>
      </w:r>
      <w:r>
        <w:rPr>
          <w:rFonts w:ascii="Times New Roman" w:eastAsia="Times New Roman"/>
        </w:rPr>
        <w:t>141%</w:t>
      </w:r>
      <w:r>
        <w:rPr>
          <w:spacing w:val="-7"/>
        </w:rPr>
        <w:t>的增</w:t>
      </w:r>
      <w:r>
        <w:rPr>
          <w:spacing w:val="-5"/>
        </w:rPr>
        <w:t>长。营收方面，</w:t>
      </w:r>
      <w:r>
        <w:rPr>
          <w:rFonts w:ascii="Times New Roman" w:eastAsia="Times New Roman"/>
          <w:spacing w:val="-3"/>
        </w:rPr>
        <w:t xml:space="preserve">2018-2020 </w:t>
      </w:r>
      <w:r>
        <w:rPr>
          <w:spacing w:val="-8"/>
        </w:rPr>
        <w:t>年，天味食品与颐海国际均维持高增速，其中，以</w:t>
      </w:r>
      <w:r>
        <w:rPr>
          <w:rFonts w:ascii="Times New Roman" w:eastAsia="Times New Roman"/>
          <w:spacing w:val="-8"/>
        </w:rPr>
        <w:t xml:space="preserve">C </w:t>
      </w:r>
      <w:r>
        <w:rPr>
          <w:spacing w:val="-5"/>
        </w:rPr>
        <w:t xml:space="preserve">端为主的天味食品在 </w:t>
      </w:r>
      <w:r>
        <w:rPr>
          <w:rFonts w:ascii="Times New Roman" w:eastAsia="Times New Roman"/>
        </w:rPr>
        <w:t xml:space="preserve">2020 </w:t>
      </w:r>
      <w:r>
        <w:rPr>
          <w:spacing w:val="-6"/>
        </w:rPr>
        <w:t xml:space="preserve">年增速提升至 </w:t>
      </w:r>
      <w:r>
        <w:rPr>
          <w:rFonts w:ascii="Times New Roman" w:eastAsia="Times New Roman"/>
        </w:rPr>
        <w:t>36.90%</w:t>
      </w:r>
      <w:r>
        <w:rPr>
          <w:spacing w:val="-4"/>
        </w:rPr>
        <w:t>。在资本推动和疫情影响</w:t>
      </w:r>
      <w:r>
        <w:rPr>
          <w:spacing w:val="-5"/>
        </w:rPr>
        <w:t>下，复调行业迎来快速增长。</w:t>
      </w:r>
    </w:p>
    <w:p>
      <w:pPr>
        <w:pStyle w:val="BodyText"/>
        <w:spacing w:line="265" w:lineRule="exact"/>
        <w:ind w:left="126"/>
        <w:jc w:val="both"/>
      </w:pPr>
      <w:r>
        <w:pict>
          <v:group id="_x0000_s1039" style="width:175.45pt;height:104.5pt;margin-top:25.27pt;margin-left:337.83pt;mso-position-horizontal-relative:page;position:absolute;z-index:-251656192" coordorigin="6757,505" coordsize="3509,2090">
            <v:rect id="_x0000_s1040" style="width:106;height:40;left:7934;position:absolute;top:2532" filled="t" fillcolor="#853634" stroked="f">
              <v:fill type="solid"/>
            </v:rect>
            <v:rect id="_x0000_s1041" style="width:106;height:40;left:7934;position:absolute;top:2532" filled="f" stroked="t" strokecolor="#853634" strokeweight="0.75pt">
              <v:stroke dashstyle="solid"/>
            </v:rect>
            <v:rect id="_x0000_s1042" style="width:111;height:16;left:8280;position:absolute;top:2556" filled="t" fillcolor="#853634" stroked="f">
              <v:fill type="solid"/>
            </v:rect>
            <v:rect id="_x0000_s1043" style="width:111;height:16;left:8280;position:absolute;top:2556" filled="f" stroked="t" strokecolor="#853634" strokeweight="0.75pt">
              <v:stroke dashstyle="solid"/>
            </v:rect>
            <v:rect id="_x0000_s1044" style="width:111;height:60;left:8630;position:absolute;top:2513" filled="t" fillcolor="#853634" stroked="f">
              <v:fill type="solid"/>
            </v:rect>
            <v:rect id="_x0000_s1045" style="width:111;height:60;left:8630;position:absolute;top:2513" filled="f" stroked="t" strokecolor="#853634" strokeweight="0.75pt">
              <v:stroke dashstyle="solid"/>
            </v:rect>
            <v:line id="_x0000_s1046" style="position:absolute" from="9036,2245" to="9036,2573" stroked="t" strokecolor="#853634" strokeweight="5.52pt">
              <v:stroke dashstyle="solid"/>
            </v:line>
            <v:rect id="_x0000_s1047" style="width:111;height:328;left:8980;position:absolute;top:2244" filled="f" stroked="t" strokecolor="#853634" strokeweight="0.75pt">
              <v:stroke dashstyle="solid"/>
            </v:rect>
            <v:line id="_x0000_s1048" style="position:absolute" from="9386,675" to="9386,2573" stroked="t" strokecolor="#853634" strokeweight="5.52pt">
              <v:stroke dashstyle="solid"/>
            </v:line>
            <v:rect id="_x0000_s1049" style="width:111;height:1898;left:9331;position:absolute;top:675" filled="f" stroked="t" strokecolor="#853634" strokeweight="0.75pt">
              <v:stroke dashstyle="solid"/>
            </v:rect>
            <v:rect id="_x0000_s1050" style="width:111;height:36;left:9676;position:absolute;top:2537" filled="t" fillcolor="#853634" stroked="f">
              <v:fill type="solid"/>
            </v:rect>
            <v:rect id="_x0000_s1051" style="width:111;height:36;left:9676;position:absolute;top:2537" filled="f" stroked="t" strokecolor="#853634" strokeweight="0.75pt">
              <v:stroke dashstyle="solid"/>
            </v:rect>
            <v:rect id="_x0000_s1052" style="width:111;height:74;left:10027;position:absolute;top:2499" filled="t" fillcolor="#853634" stroked="f">
              <v:fill type="solid"/>
            </v:rect>
            <v:rect id="_x0000_s1053" style="width:111;height:74;left:10027;position:absolute;top:2499" filled="f" stroked="t" strokecolor="#853634" strokeweight="0.75pt">
              <v:stroke dashstyle="solid"/>
            </v:rect>
            <v:shape id="_x0000_s1054" style="width:3494;height:2060;left:6764;position:absolute;top:512" coordorigin="6764,513" coordsize="3494,2060" path="m10258,2573l10258,513m10204,2573l10258,2573m10204,2058l10258,2058m10204,1544l10258,1544m10204,1026l10258,1026m10204,513l10258,513m6764,2573l6764,513m6764,2573l6818,2573m6764,2159l6818,2159m6764,1751l6818,1751m6764,1338l6818,1338m6764,925l6818,925m6764,513l6818,513e" filled="f" stroked="t" strokecolor="#aeabab" strokeweight="0.75pt">
              <v:stroke dashstyle="solid"/>
              <v:path arrowok="t"/>
            </v:shape>
            <v:line id="_x0000_s1055" style="position:absolute" from="6764,2573" to="10258,2573" stroked="t" strokecolor="#d9d9d9" strokeweight="0.75pt">
              <v:stroke dashstyle="solid"/>
            </v:line>
            <v:shape id="_x0000_s1056" style="width:3145;height:1957;left:6938;position:absolute;top:615" coordorigin="6939,616" coordsize="3145,1957" path="m6939,2471l7286,1851,7637,2573,7987,1851,8338,1439,8688,616,9034,1131,9384,1232,9734,824,10083,1544e" filled="f" stroked="t" strokecolor="#d99d24" strokeweight="2.25pt">
              <v:stroke dashstyle="solid"/>
              <v:path arrowok="t"/>
            </v:shape>
          </v:group>
        </w:pict>
      </w:r>
      <w:r>
        <w:rPr>
          <w:color w:val="FFFFFF"/>
          <w:shd w:val="clear" w:color="auto" w:fill="9C4A45"/>
        </w:rPr>
        <w:t>图</w:t>
      </w:r>
      <w:r>
        <w:rPr>
          <w:rFonts w:ascii="Times New Roman" w:eastAsia="Times New Roman"/>
          <w:color w:val="FFFFFF"/>
          <w:shd w:val="clear" w:color="auto" w:fill="9C4A45"/>
        </w:rPr>
        <w:t xml:space="preserve">2.2017-2019 </w:t>
      </w:r>
      <w:r>
        <w:rPr>
          <w:color w:val="FFFFFF"/>
          <w:shd w:val="clear" w:color="auto" w:fill="9C4A45"/>
        </w:rPr>
        <w:t>年复合调味品生产总量与增长率</w:t>
      </w:r>
      <w:r>
        <w:rPr>
          <w:color w:val="FFFFFF"/>
        </w:rPr>
        <w:t xml:space="preserve"> </w:t>
      </w:r>
      <w:r>
        <w:rPr>
          <w:color w:val="FFFFFF"/>
          <w:shd w:val="clear" w:color="auto" w:fill="9C4A45"/>
        </w:rPr>
        <w:t>图</w:t>
      </w:r>
      <w:r>
        <w:rPr>
          <w:rFonts w:ascii="Times New Roman" w:eastAsia="Times New Roman"/>
          <w:color w:val="FFFFFF"/>
          <w:shd w:val="clear" w:color="auto" w:fill="9C4A45"/>
        </w:rPr>
        <w:t xml:space="preserve">3.2011-2020 </w:t>
      </w:r>
      <w:r>
        <w:rPr>
          <w:color w:val="FFFFFF"/>
          <w:shd w:val="clear" w:color="auto" w:fill="9C4A45"/>
        </w:rPr>
        <w:t>年调味品品牌投融资事件数</w:t>
      </w:r>
      <w:r>
        <w:rPr>
          <w:rFonts w:ascii="Times New Roman" w:eastAsia="Times New Roman"/>
          <w:color w:val="FFFFFF"/>
          <w:shd w:val="clear" w:color="auto" w:fill="9C4A45"/>
        </w:rPr>
        <w:t>&amp;</w:t>
      </w:r>
      <w:r>
        <w:rPr>
          <w:color w:val="FFFFFF"/>
          <w:shd w:val="clear" w:color="auto" w:fill="9C4A45"/>
        </w:rPr>
        <w:t xml:space="preserve">披露金额 </w:t>
      </w:r>
    </w:p>
    <w:p>
      <w:pPr>
        <w:spacing w:after="0" w:line="265" w:lineRule="exact"/>
        <w:jc w:val="both"/>
        <w:sectPr>
          <w:headerReference w:type="default" r:id="rId18"/>
          <w:footerReference w:type="default" r:id="rId19"/>
          <w:pgSz w:w="11910" w:h="16840"/>
          <w:pgMar w:top="1700" w:right="0" w:bottom="1500" w:left="440" w:header="708" w:footer="708"/>
          <w:pgNumType w:start="5"/>
          <w:cols w:space="708"/>
        </w:sectPr>
      </w:pPr>
    </w:p>
    <w:p>
      <w:pPr>
        <w:tabs>
          <w:tab w:val="left" w:pos="4582"/>
        </w:tabs>
        <w:spacing w:before="125"/>
        <w:ind w:left="365" w:right="0" w:firstLine="0"/>
        <w:jc w:val="left"/>
        <w:rPr>
          <w:rFonts w:ascii="Times New Roman"/>
          <w:sz w:val="16"/>
        </w:rPr>
      </w:pPr>
      <w:r>
        <w:pict>
          <v:group id="_x0000_s1057" style="width:189.95pt;height:137.5pt;margin-top:6.52pt;margin-left:54.68pt;mso-position-horizontal-relative:page;position:absolute;z-index:-251655168" coordorigin="1094,130" coordsize="3799,2750">
            <v:rect id="_x0000_s1058" style="width:720;height:1459;left:1372;position:absolute;top:1414" filled="t" fillcolor="#9e3e3b" stroked="f">
              <v:fill type="solid"/>
            </v:rect>
            <v:rect id="_x0000_s1059" style="width:720;height:1459;left:1372;position:absolute;top:1414" filled="f" stroked="t" strokecolor="#b34745" strokeweight="0.75pt">
              <v:stroke dashstyle="solid"/>
            </v:rect>
            <v:rect id="_x0000_s1060" style="width:725;height:2246;left:2630;position:absolute;top:627" filled="t" fillcolor="#9e3e3b" stroked="f">
              <v:fill type="solid"/>
            </v:rect>
            <v:rect id="_x0000_s1061" style="width:725;height:2246;left:2630;position:absolute;top:627" filled="f" stroked="t" strokecolor="#b34745" strokeweight="0.75pt">
              <v:stroke dashstyle="solid"/>
            </v:rect>
            <v:rect id="_x0000_s1062" style="width:720;height:2092;left:3892;position:absolute;top:780" filled="t" fillcolor="#9e3e3b" stroked="f">
              <v:fill type="solid"/>
            </v:rect>
            <v:rect id="_x0000_s1063" style="width:720;height:2092;left:3892;position:absolute;top:780" filled="f" stroked="t" strokecolor="#b34745" strokeweight="0.75pt">
              <v:stroke dashstyle="solid"/>
            </v:rect>
            <v:shape id="_x0000_s1064" style="width:3784;height:2651;left:1101;position:absolute;top:222" coordorigin="1101,222" coordsize="3784,2651" path="m4885,2873l4885,222m4837,2873l4885,2873m4837,2542l4885,2542m4837,2211l4885,2211m4837,1880l4885,1880m4837,1549l4885,1549m4837,1218l4885,1218m4837,886l4885,886m4837,555l4885,555m4837,222l4885,222m1101,2873l1101,222m1101,2873l1149,2873m1101,2576l1149,2576m1101,2283l1149,2283m1101,1990l1149,1990m1101,1693l1149,1693m1101,1400l1149,1400m1101,1107l1149,1107m1101,810l1149,810m1101,517l1149,517m1101,222l1149,222e" filled="f" stroked="t" strokecolor="#aeabab" strokeweight="0.75pt">
              <v:stroke dashstyle="solid"/>
              <v:path arrowok="t"/>
            </v:shape>
            <v:line id="_x0000_s1065" style="position:absolute" from="1101,2873" to="4885,2873" stroked="t" strokecolor="#d9d9d9" strokeweight="0.75pt">
              <v:stroke dashstyle="solid"/>
            </v:line>
            <v:shape id="_x0000_s1066" style="width:2523;height:680;left:1731;position:absolute;top:387" coordorigin="1732,388" coordsize="2523,680" path="m1732,406l2995,388,4254,1067e" filled="f" stroked="t" strokecolor="#e1b987" strokeweight="2.25pt">
              <v:stroke dashstyle="solid"/>
              <v:path arrowok="t"/>
            </v:shape>
            <v:shape id="_x0000_s1067" type="#_x0000_t202" style="width:516;height:176;left:1639;position:absolute;top:130" filled="f" stroked="f">
              <v:textbox inset="0,0,0,0">
                <w:txbxContent>
                  <w:p>
                    <w:pPr>
                      <w:spacing w:before="0" w:line="175" w:lineRule="exact"/>
                      <w:ind w:left="0" w:right="0" w:firstLine="0"/>
                      <w:jc w:val="left"/>
                      <w:rPr>
                        <w:rFonts w:ascii="Times New Roman"/>
                        <w:sz w:val="16"/>
                      </w:rPr>
                    </w:pPr>
                    <w:r>
                      <w:rPr>
                        <w:rFonts w:ascii="Times New Roman"/>
                        <w:sz w:val="16"/>
                      </w:rPr>
                      <w:t>14.90%</w:t>
                    </w:r>
                  </w:p>
                </w:txbxContent>
              </v:textbox>
            </v:shape>
            <v:shape id="_x0000_s1068" type="#_x0000_t202" style="width:535;height:519;left:2870;position:absolute;top:140" filled="f" stroked="f">
              <v:textbox inset="0,0,0,0">
                <w:txbxContent>
                  <w:p>
                    <w:pPr>
                      <w:spacing w:before="0" w:line="176" w:lineRule="exact"/>
                      <w:ind w:left="18" w:right="0" w:firstLine="0"/>
                      <w:jc w:val="left"/>
                      <w:rPr>
                        <w:rFonts w:ascii="Times New Roman"/>
                        <w:sz w:val="16"/>
                      </w:rPr>
                    </w:pPr>
                    <w:r>
                      <w:rPr>
                        <w:rFonts w:ascii="Times New Roman"/>
                        <w:sz w:val="16"/>
                      </w:rPr>
                      <w:t>15.00%</w:t>
                    </w:r>
                  </w:p>
                  <w:p>
                    <w:pPr>
                      <w:spacing w:before="159" w:line="184" w:lineRule="exact"/>
                      <w:ind w:left="0" w:right="0" w:firstLine="0"/>
                      <w:jc w:val="left"/>
                      <w:rPr>
                        <w:rFonts w:ascii="Times New Roman"/>
                        <w:sz w:val="16"/>
                      </w:rPr>
                    </w:pPr>
                    <w:r>
                      <w:rPr>
                        <w:rFonts w:ascii="Times New Roman"/>
                        <w:sz w:val="16"/>
                      </w:rPr>
                      <w:t>76.2</w:t>
                    </w:r>
                  </w:p>
                </w:txbxContent>
              </v:textbox>
            </v:shape>
            <v:shape id="_x0000_s1069" type="#_x0000_t202" style="width:689;height:594;left:4112;position:absolute;top:513" filled="f" stroked="f">
              <v:textbox inset="0,0,0,0">
                <w:txbxContent>
                  <w:p>
                    <w:pPr>
                      <w:spacing w:before="0" w:line="176" w:lineRule="exact"/>
                      <w:ind w:left="0" w:right="0" w:firstLine="0"/>
                      <w:jc w:val="left"/>
                      <w:rPr>
                        <w:rFonts w:ascii="Times New Roman"/>
                        <w:sz w:val="16"/>
                      </w:rPr>
                    </w:pPr>
                    <w:r>
                      <w:rPr>
                        <w:rFonts w:ascii="Times New Roman"/>
                        <w:sz w:val="16"/>
                      </w:rPr>
                      <w:t>71.1</w:t>
                    </w:r>
                  </w:p>
                  <w:p>
                    <w:pPr>
                      <w:spacing w:before="4" w:line="240" w:lineRule="auto"/>
                      <w:rPr>
                        <w:rFonts w:ascii="Times New Roman"/>
                        <w:sz w:val="20"/>
                      </w:rPr>
                    </w:pPr>
                  </w:p>
                  <w:p>
                    <w:pPr>
                      <w:spacing w:before="0" w:line="184" w:lineRule="exact"/>
                      <w:ind w:left="172" w:right="0" w:firstLine="0"/>
                      <w:jc w:val="left"/>
                      <w:rPr>
                        <w:rFonts w:ascii="Times New Roman"/>
                        <w:sz w:val="16"/>
                      </w:rPr>
                    </w:pPr>
                    <w:r>
                      <w:rPr>
                        <w:rFonts w:ascii="Times New Roman"/>
                        <w:sz w:val="16"/>
                      </w:rPr>
                      <w:t>10.90%</w:t>
                    </w:r>
                  </w:p>
                </w:txbxContent>
              </v:textbox>
            </v:shape>
            <v:shape id="_x0000_s1070" type="#_x0000_t202" style="width:302;height:176;left:1588;position:absolute;top:1149" filled="f" stroked="f">
              <v:textbox inset="0,0,0,0">
                <w:txbxContent>
                  <w:p>
                    <w:pPr>
                      <w:spacing w:before="0" w:line="175" w:lineRule="exact"/>
                      <w:ind w:left="0" w:right="0" w:firstLine="0"/>
                      <w:jc w:val="left"/>
                      <w:rPr>
                        <w:rFonts w:ascii="Times New Roman"/>
                        <w:sz w:val="16"/>
                      </w:rPr>
                    </w:pPr>
                    <w:r>
                      <w:rPr>
                        <w:rFonts w:ascii="Times New Roman"/>
                        <w:sz w:val="16"/>
                      </w:rPr>
                      <w:t>49.5</w:t>
                    </w:r>
                  </w:p>
                </w:txbxContent>
              </v:textbox>
            </v:shape>
          </v:group>
        </w:pict>
      </w:r>
      <w:r>
        <w:rPr>
          <w:rFonts w:ascii="Times New Roman"/>
          <w:sz w:val="16"/>
        </w:rPr>
        <w:t>90</w:t>
        <w:tab/>
        <w:t>16%</w:t>
      </w:r>
    </w:p>
    <w:p>
      <w:pPr>
        <w:tabs>
          <w:tab w:val="left" w:pos="4582"/>
        </w:tabs>
        <w:spacing w:before="107"/>
        <w:ind w:left="365" w:right="0" w:firstLine="0"/>
        <w:jc w:val="left"/>
        <w:rPr>
          <w:rFonts w:ascii="Times New Roman"/>
          <w:sz w:val="16"/>
        </w:rPr>
      </w:pPr>
      <w:r>
        <w:rPr>
          <w:rFonts w:ascii="Times New Roman"/>
          <w:position w:val="4"/>
          <w:sz w:val="16"/>
        </w:rPr>
        <w:t>80</w:t>
        <w:tab/>
      </w:r>
      <w:r>
        <w:rPr>
          <w:rFonts w:ascii="Times New Roman"/>
          <w:sz w:val="16"/>
        </w:rPr>
        <w:t>14%</w:t>
      </w:r>
    </w:p>
    <w:p>
      <w:pPr>
        <w:tabs>
          <w:tab w:val="left" w:pos="4582"/>
        </w:tabs>
        <w:spacing w:before="77"/>
        <w:ind w:left="365" w:right="0" w:firstLine="0"/>
        <w:jc w:val="left"/>
        <w:rPr>
          <w:rFonts w:ascii="Times New Roman"/>
          <w:sz w:val="16"/>
        </w:rPr>
      </w:pPr>
      <w:r>
        <w:rPr>
          <w:rFonts w:ascii="Times New Roman"/>
          <w:position w:val="7"/>
          <w:sz w:val="16"/>
        </w:rPr>
        <w:t>70</w:t>
        <w:tab/>
      </w:r>
      <w:r>
        <w:rPr>
          <w:rFonts w:ascii="Times New Roman"/>
          <w:sz w:val="16"/>
        </w:rPr>
        <w:t>12%</w:t>
      </w:r>
    </w:p>
    <w:p>
      <w:pPr>
        <w:tabs>
          <w:tab w:val="left" w:pos="4582"/>
        </w:tabs>
        <w:spacing w:before="38"/>
        <w:ind w:left="365" w:right="0" w:firstLine="0"/>
        <w:jc w:val="left"/>
        <w:rPr>
          <w:rFonts w:ascii="Times New Roman"/>
          <w:sz w:val="16"/>
        </w:rPr>
      </w:pPr>
      <w:r>
        <w:rPr>
          <w:rFonts w:ascii="Times New Roman"/>
          <w:position w:val="11"/>
          <w:sz w:val="16"/>
        </w:rPr>
        <w:t>60</w:t>
        <w:tab/>
      </w:r>
      <w:r>
        <w:rPr>
          <w:rFonts w:ascii="Times New Roman"/>
          <w:sz w:val="16"/>
        </w:rPr>
        <w:t>10%</w:t>
      </w:r>
    </w:p>
    <w:p>
      <w:pPr>
        <w:spacing w:before="0" w:line="166" w:lineRule="exact"/>
        <w:ind w:left="365" w:right="0" w:firstLine="0"/>
        <w:jc w:val="left"/>
        <w:rPr>
          <w:rFonts w:ascii="Times New Roman"/>
          <w:sz w:val="16"/>
        </w:rPr>
      </w:pPr>
      <w:r>
        <w:rPr>
          <w:rFonts w:ascii="Times New Roman"/>
          <w:sz w:val="16"/>
        </w:rPr>
        <w:t>50</w:t>
      </w:r>
    </w:p>
    <w:p>
      <w:pPr>
        <w:spacing w:before="0" w:line="147" w:lineRule="exact"/>
        <w:ind w:left="4582" w:right="0" w:firstLine="0"/>
        <w:jc w:val="left"/>
        <w:rPr>
          <w:rFonts w:ascii="Times New Roman"/>
          <w:sz w:val="16"/>
        </w:rPr>
      </w:pPr>
      <w:r>
        <w:rPr>
          <w:rFonts w:ascii="Times New Roman"/>
          <w:sz w:val="16"/>
        </w:rPr>
        <w:t>8%</w:t>
      </w:r>
    </w:p>
    <w:p>
      <w:pPr>
        <w:spacing w:before="0" w:line="166" w:lineRule="exact"/>
        <w:ind w:left="365" w:right="0" w:firstLine="0"/>
        <w:jc w:val="left"/>
        <w:rPr>
          <w:rFonts w:ascii="Times New Roman"/>
          <w:sz w:val="16"/>
        </w:rPr>
      </w:pPr>
      <w:r>
        <w:rPr>
          <w:rFonts w:ascii="Times New Roman"/>
          <w:sz w:val="16"/>
        </w:rPr>
        <w:t>40</w:t>
      </w:r>
    </w:p>
    <w:p>
      <w:pPr>
        <w:tabs>
          <w:tab w:val="left" w:pos="4582"/>
        </w:tabs>
        <w:spacing w:before="0"/>
        <w:ind w:left="365" w:right="0" w:firstLine="0"/>
        <w:jc w:val="left"/>
        <w:rPr>
          <w:rFonts w:ascii="Times New Roman"/>
          <w:sz w:val="16"/>
        </w:rPr>
      </w:pPr>
      <w:r>
        <w:rPr>
          <w:rFonts w:ascii="Times New Roman"/>
          <w:position w:val="-10"/>
          <w:sz w:val="16"/>
        </w:rPr>
        <w:t>30</w:t>
        <w:tab/>
      </w:r>
      <w:r>
        <w:rPr>
          <w:rFonts w:ascii="Times New Roman"/>
          <w:sz w:val="16"/>
        </w:rPr>
        <w:t>6%</w:t>
      </w:r>
    </w:p>
    <w:p>
      <w:pPr>
        <w:tabs>
          <w:tab w:val="left" w:pos="4582"/>
        </w:tabs>
        <w:spacing w:before="38"/>
        <w:ind w:left="365" w:right="0" w:firstLine="0"/>
        <w:jc w:val="left"/>
        <w:rPr>
          <w:rFonts w:ascii="Times New Roman"/>
          <w:sz w:val="16"/>
        </w:rPr>
      </w:pPr>
      <w:r>
        <w:rPr>
          <w:rFonts w:ascii="Times New Roman"/>
          <w:position w:val="-6"/>
          <w:sz w:val="16"/>
        </w:rPr>
        <w:t>20</w:t>
        <w:tab/>
      </w:r>
      <w:r>
        <w:rPr>
          <w:rFonts w:ascii="Times New Roman"/>
          <w:sz w:val="16"/>
        </w:rPr>
        <w:t>4%</w:t>
      </w:r>
    </w:p>
    <w:p>
      <w:pPr>
        <w:tabs>
          <w:tab w:val="left" w:pos="4582"/>
        </w:tabs>
        <w:spacing w:before="77"/>
        <w:ind w:left="365" w:right="0" w:firstLine="0"/>
        <w:jc w:val="left"/>
        <w:rPr>
          <w:rFonts w:ascii="Times New Roman"/>
          <w:sz w:val="16"/>
        </w:rPr>
      </w:pPr>
      <w:r>
        <w:rPr>
          <w:rFonts w:ascii="Times New Roman"/>
          <w:position w:val="-3"/>
          <w:sz w:val="16"/>
        </w:rPr>
        <w:t>10</w:t>
        <w:tab/>
      </w:r>
      <w:r>
        <w:rPr>
          <w:rFonts w:ascii="Times New Roman"/>
          <w:sz w:val="16"/>
        </w:rPr>
        <w:t>2%</w:t>
      </w:r>
    </w:p>
    <w:p>
      <w:pPr>
        <w:tabs>
          <w:tab w:val="left" w:pos="4582"/>
        </w:tabs>
        <w:spacing w:before="107"/>
        <w:ind w:left="445" w:right="0" w:firstLine="0"/>
        <w:jc w:val="left"/>
        <w:rPr>
          <w:rFonts w:ascii="Times New Roman"/>
          <w:sz w:val="16"/>
        </w:rPr>
      </w:pPr>
      <w:r>
        <w:pict>
          <v:group id="_x0000_s1071" style="width:19.95pt;height:5.25pt;margin-top:18.92pt;margin-left:356.7pt;mso-position-horizontal-relative:page;position:absolute;z-index:251663360" coordorigin="7134,378" coordsize="399,105">
            <v:line id="_x0000_s1072" style="position:absolute" from="7142,431" to="7526,431" stroked="t" strokecolor="#853634" strokeweight="4.48pt">
              <v:stroke dashstyle="solid"/>
            </v:line>
            <v:rect id="_x0000_s1073" style="width:384;height:90;left:7141;position:absolute;top:385" filled="f" stroked="t" strokecolor="#853634" strokeweight="0.75pt">
              <v:stroke dashstyle="solid"/>
            </v:rect>
          </v:group>
        </w:pict>
      </w:r>
      <w:r>
        <w:rPr>
          <w:rFonts w:ascii="Times New Roman"/>
          <w:sz w:val="16"/>
        </w:rPr>
        <w:t>0</w:t>
        <w:tab/>
        <w:t>0%</w:t>
      </w:r>
    </w:p>
    <w:p>
      <w:pPr>
        <w:spacing w:before="135"/>
        <w:ind w:left="0" w:right="38" w:firstLine="0"/>
        <w:jc w:val="right"/>
        <w:rPr>
          <w:rFonts w:ascii="Times New Roman"/>
          <w:sz w:val="18"/>
        </w:rPr>
      </w:pPr>
      <w:r>
        <w:br w:type="column"/>
      </w:r>
      <w:r>
        <w:rPr>
          <w:rFonts w:ascii="Times New Roman"/>
          <w:spacing w:val="-1"/>
          <w:sz w:val="18"/>
        </w:rPr>
        <w:t>500000</w:t>
      </w:r>
    </w:p>
    <w:p>
      <w:pPr>
        <w:pStyle w:val="BodyText"/>
        <w:spacing w:before="10"/>
        <w:rPr>
          <w:rFonts w:ascii="Times New Roman"/>
          <w:sz w:val="17"/>
        </w:rPr>
      </w:pPr>
    </w:p>
    <w:p>
      <w:pPr>
        <w:spacing w:before="0"/>
        <w:ind w:left="0" w:right="38" w:firstLine="0"/>
        <w:jc w:val="right"/>
        <w:rPr>
          <w:rFonts w:ascii="Times New Roman"/>
          <w:sz w:val="18"/>
        </w:rPr>
      </w:pPr>
      <w:r>
        <w:rPr>
          <w:rFonts w:ascii="Times New Roman"/>
          <w:spacing w:val="-1"/>
          <w:sz w:val="18"/>
        </w:rPr>
        <w:t>400000</w:t>
      </w:r>
    </w:p>
    <w:p>
      <w:pPr>
        <w:pStyle w:val="BodyText"/>
        <w:spacing w:before="10"/>
        <w:rPr>
          <w:rFonts w:ascii="Times New Roman"/>
          <w:sz w:val="17"/>
        </w:rPr>
      </w:pPr>
    </w:p>
    <w:p>
      <w:pPr>
        <w:spacing w:before="0"/>
        <w:ind w:left="0" w:right="38" w:firstLine="0"/>
        <w:jc w:val="right"/>
        <w:rPr>
          <w:rFonts w:ascii="Times New Roman"/>
          <w:sz w:val="18"/>
        </w:rPr>
      </w:pPr>
      <w:r>
        <w:rPr>
          <w:rFonts w:ascii="Times New Roman"/>
          <w:spacing w:val="-1"/>
          <w:sz w:val="18"/>
        </w:rPr>
        <w:t>300000</w:t>
      </w:r>
    </w:p>
    <w:p>
      <w:pPr>
        <w:pStyle w:val="BodyText"/>
        <w:spacing w:before="9"/>
        <w:rPr>
          <w:rFonts w:ascii="Times New Roman"/>
          <w:sz w:val="17"/>
        </w:rPr>
      </w:pPr>
    </w:p>
    <w:p>
      <w:pPr>
        <w:spacing w:before="0"/>
        <w:ind w:left="0" w:right="38" w:firstLine="0"/>
        <w:jc w:val="right"/>
        <w:rPr>
          <w:rFonts w:ascii="Times New Roman"/>
          <w:sz w:val="18"/>
        </w:rPr>
      </w:pPr>
      <w:r>
        <w:rPr>
          <w:rFonts w:ascii="Times New Roman"/>
          <w:spacing w:val="-1"/>
          <w:sz w:val="18"/>
        </w:rPr>
        <w:t>200000</w:t>
      </w:r>
    </w:p>
    <w:p>
      <w:pPr>
        <w:pStyle w:val="BodyText"/>
        <w:spacing w:before="10"/>
        <w:rPr>
          <w:rFonts w:ascii="Times New Roman"/>
          <w:sz w:val="17"/>
        </w:rPr>
      </w:pPr>
    </w:p>
    <w:p>
      <w:pPr>
        <w:spacing w:before="0"/>
        <w:ind w:left="0" w:right="38" w:firstLine="0"/>
        <w:jc w:val="right"/>
        <w:rPr>
          <w:rFonts w:ascii="Times New Roman"/>
          <w:sz w:val="18"/>
        </w:rPr>
      </w:pPr>
      <w:r>
        <w:rPr>
          <w:rFonts w:ascii="Times New Roman"/>
          <w:spacing w:val="-1"/>
          <w:sz w:val="18"/>
        </w:rPr>
        <w:t>100000</w:t>
      </w:r>
    </w:p>
    <w:p>
      <w:pPr>
        <w:pStyle w:val="BodyText"/>
        <w:spacing w:before="9"/>
        <w:rPr>
          <w:rFonts w:ascii="Times New Roman"/>
          <w:sz w:val="17"/>
        </w:rPr>
      </w:pPr>
    </w:p>
    <w:p>
      <w:pPr>
        <w:spacing w:before="1"/>
        <w:ind w:left="0" w:right="39" w:firstLine="0"/>
        <w:jc w:val="right"/>
        <w:rPr>
          <w:rFonts w:ascii="Times New Roman"/>
          <w:sz w:val="18"/>
        </w:rPr>
      </w:pPr>
      <w:r>
        <w:rPr>
          <w:rFonts w:ascii="Times New Roman"/>
          <w:w w:val="101"/>
          <w:sz w:val="18"/>
        </w:rPr>
        <w:t>0</w:t>
      </w:r>
    </w:p>
    <w:p>
      <w:pPr>
        <w:tabs>
          <w:tab w:val="left" w:pos="851"/>
        </w:tabs>
        <w:spacing w:before="92"/>
        <w:ind w:left="365" w:right="0" w:firstLine="0"/>
        <w:jc w:val="left"/>
        <w:rPr>
          <w:rFonts w:ascii="Times New Roman"/>
          <w:sz w:val="20"/>
        </w:rPr>
      </w:pPr>
      <w:r>
        <w:br w:type="column"/>
      </w:r>
      <w:r>
        <w:rPr>
          <w:rFonts w:ascii="Times New Roman"/>
          <w:position w:val="-3"/>
          <w:sz w:val="20"/>
        </w:rPr>
        <w:t>19</w:t>
        <w:tab/>
      </w:r>
      <w:r>
        <w:rPr>
          <w:rFonts w:ascii="Times New Roman"/>
          <w:spacing w:val="-4"/>
          <w:sz w:val="20"/>
        </w:rPr>
        <w:t>460511</w:t>
      </w:r>
    </w:p>
    <w:p>
      <w:pPr>
        <w:spacing w:before="135"/>
        <w:ind w:left="684" w:right="0" w:firstLine="0"/>
        <w:jc w:val="left"/>
        <w:rPr>
          <w:rFonts w:ascii="Times New Roman"/>
          <w:sz w:val="18"/>
        </w:rPr>
      </w:pPr>
      <w:r>
        <w:br w:type="column"/>
      </w:r>
      <w:r>
        <w:rPr>
          <w:rFonts w:ascii="Times New Roman"/>
          <w:sz w:val="18"/>
        </w:rPr>
        <w:t>20</w:t>
      </w:r>
    </w:p>
    <w:p>
      <w:pPr>
        <w:spacing w:before="84" w:line="228" w:lineRule="exact"/>
        <w:ind w:left="107" w:right="0" w:firstLine="0"/>
        <w:jc w:val="left"/>
        <w:rPr>
          <w:rFonts w:ascii="Times New Roman"/>
          <w:sz w:val="20"/>
        </w:rPr>
      </w:pPr>
      <w:r>
        <w:rPr>
          <w:rFonts w:ascii="Times New Roman"/>
          <w:sz w:val="20"/>
        </w:rPr>
        <w:t>17</w:t>
      </w:r>
    </w:p>
    <w:p>
      <w:pPr>
        <w:spacing w:before="0" w:line="205" w:lineRule="exact"/>
        <w:ind w:left="684" w:right="0" w:firstLine="0"/>
        <w:jc w:val="left"/>
        <w:rPr>
          <w:rFonts w:ascii="Times New Roman"/>
          <w:sz w:val="18"/>
        </w:rPr>
      </w:pPr>
      <w:r>
        <w:rPr>
          <w:rFonts w:ascii="Times New Roman"/>
          <w:sz w:val="18"/>
        </w:rPr>
        <w:t>15</w:t>
      </w:r>
    </w:p>
    <w:p>
      <w:pPr>
        <w:spacing w:before="160"/>
        <w:ind w:left="370" w:right="0" w:firstLine="0"/>
        <w:jc w:val="left"/>
        <w:rPr>
          <w:rFonts w:ascii="Times New Roman"/>
          <w:sz w:val="18"/>
        </w:rPr>
      </w:pPr>
      <w:r>
        <w:rPr>
          <w:rFonts w:ascii="Times New Roman"/>
          <w:sz w:val="20"/>
        </w:rPr>
        <w:t xml:space="preserve">10 </w:t>
      </w:r>
      <w:r>
        <w:rPr>
          <w:rFonts w:ascii="Times New Roman"/>
          <w:spacing w:val="16"/>
          <w:sz w:val="20"/>
        </w:rPr>
        <w:t xml:space="preserve"> </w:t>
      </w:r>
      <w:r>
        <w:rPr>
          <w:rFonts w:ascii="Times New Roman"/>
          <w:position w:val="-12"/>
          <w:sz w:val="18"/>
        </w:rPr>
        <w:t>10</w:t>
      </w:r>
    </w:p>
    <w:p>
      <w:pPr>
        <w:pStyle w:val="BodyText"/>
        <w:spacing w:before="8"/>
        <w:rPr>
          <w:rFonts w:ascii="Times New Roman"/>
          <w:sz w:val="26"/>
        </w:rPr>
      </w:pPr>
    </w:p>
    <w:p>
      <w:pPr>
        <w:spacing w:before="0"/>
        <w:ind w:left="684" w:right="0" w:firstLine="0"/>
        <w:jc w:val="left"/>
        <w:rPr>
          <w:rFonts w:ascii="Times New Roman"/>
          <w:sz w:val="18"/>
        </w:rPr>
      </w:pPr>
      <w:r>
        <w:rPr>
          <w:rFonts w:ascii="Times New Roman"/>
          <w:w w:val="101"/>
          <w:sz w:val="18"/>
        </w:rPr>
        <w:t>5</w:t>
      </w:r>
    </w:p>
    <w:p>
      <w:pPr>
        <w:pStyle w:val="BodyText"/>
        <w:spacing w:before="9"/>
        <w:rPr>
          <w:rFonts w:ascii="Times New Roman"/>
          <w:sz w:val="26"/>
        </w:rPr>
      </w:pPr>
    </w:p>
    <w:p>
      <w:pPr>
        <w:spacing w:before="0"/>
        <w:ind w:left="684" w:right="0" w:firstLine="0"/>
        <w:jc w:val="left"/>
        <w:rPr>
          <w:rFonts w:ascii="Times New Roman"/>
          <w:sz w:val="18"/>
        </w:rPr>
      </w:pPr>
      <w:r>
        <w:drawing>
          <wp:anchor distT="0" distB="0" distL="0" distR="0" simplePos="0" relativeHeight="251662336" behindDoc="0" locked="0" layoutInCell="1" allowOverlap="1">
            <wp:simplePos x="0" y="0"/>
            <wp:positionH relativeFrom="page">
              <wp:posOffset>4227829</wp:posOffset>
            </wp:positionH>
            <wp:positionV relativeFrom="paragraph">
              <wp:posOffset>159287</wp:posOffset>
            </wp:positionV>
            <wp:extent cx="2187474" cy="211074"/>
            <wp:effectExtent l="0" t="0" r="0" b="0"/>
            <wp:wrapNone/>
            <wp:docPr id="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7.png"/>
                    <pic:cNvPicPr/>
                  </pic:nvPicPr>
                  <pic:blipFill>
                    <a:blip xmlns:r="http://schemas.openxmlformats.org/officeDocument/2006/relationships" r:embed="rId20" cstate="print"/>
                    <a:stretch>
                      <a:fillRect/>
                    </a:stretch>
                  </pic:blipFill>
                  <pic:spPr>
                    <a:xfrm>
                      <a:off x="0" y="0"/>
                      <a:ext cx="2187474" cy="211074"/>
                    </a:xfrm>
                    <a:prstGeom prst="rect">
                      <a:avLst/>
                    </a:prstGeom>
                  </pic:spPr>
                </pic:pic>
              </a:graphicData>
            </a:graphic>
          </wp:anchor>
        </w:drawing>
      </w:r>
      <w:r>
        <w:rPr>
          <w:rFonts w:ascii="Times New Roman"/>
          <w:w w:val="101"/>
          <w:sz w:val="18"/>
        </w:rPr>
        <w:t>0</w:t>
      </w:r>
    </w:p>
    <w:p>
      <w:pPr>
        <w:spacing w:after="0"/>
        <w:jc w:val="left"/>
        <w:rPr>
          <w:rFonts w:ascii="Times New Roman"/>
          <w:sz w:val="18"/>
        </w:rPr>
        <w:sectPr>
          <w:headerReference w:type="default" r:id="rId21"/>
          <w:footerReference w:type="default" r:id="rId22"/>
          <w:type w:val="continuous"/>
          <w:pgSz w:w="11910" w:h="16840"/>
          <w:pgMar w:top="1700" w:right="0" w:bottom="1500" w:left="440" w:header="708" w:footer="708"/>
          <w:pgNumType w:start="6"/>
          <w:cols w:num="4" w:space="708" w:equalWidth="0">
            <w:col w:w="4914" w:space="309"/>
            <w:col w:w="949" w:space="1622"/>
            <w:col w:w="1457" w:space="39"/>
            <w:col w:w="2180" w:space="0"/>
          </w:cols>
        </w:sectPr>
      </w:pPr>
    </w:p>
    <w:p>
      <w:pPr>
        <w:tabs>
          <w:tab w:val="left" w:pos="2393"/>
          <w:tab w:val="left" w:pos="3655"/>
        </w:tabs>
        <w:spacing w:before="4"/>
        <w:ind w:left="1132" w:right="0" w:firstLine="0"/>
        <w:jc w:val="left"/>
        <w:rPr>
          <w:rFonts w:ascii="Times New Roman"/>
          <w:sz w:val="16"/>
        </w:rPr>
      </w:pPr>
      <w:r>
        <w:rPr>
          <w:rFonts w:ascii="Times New Roman"/>
          <w:sz w:val="16"/>
        </w:rPr>
        <w:t>2017</w:t>
        <w:tab/>
        <w:t>2018</w:t>
        <w:tab/>
        <w:t>2019</w:t>
      </w:r>
    </w:p>
    <w:p>
      <w:pPr>
        <w:pStyle w:val="BodyText"/>
        <w:spacing w:before="10"/>
        <w:rPr>
          <w:rFonts w:ascii="Times New Roman"/>
          <w:sz w:val="14"/>
        </w:rPr>
      </w:pPr>
    </w:p>
    <w:p>
      <w:pPr>
        <w:tabs>
          <w:tab w:val="left" w:pos="3300"/>
        </w:tabs>
        <w:spacing w:before="0"/>
        <w:ind w:left="1315" w:right="0" w:firstLine="0"/>
        <w:jc w:val="left"/>
        <w:rPr>
          <w:sz w:val="16"/>
        </w:rPr>
      </w:pPr>
      <w:r>
        <w:pict>
          <v:group id="_x0000_s1074" style="width:19.95pt;height:4.75pt;margin-top:2.79pt;margin-left:66.15pt;mso-position-horizontal-relative:page;position:absolute;z-index:251665408" coordorigin="1323,56" coordsize="399,95">
            <v:line id="_x0000_s1075" style="position:absolute" from="1331,103" to="1715,103" stroked="t" strokecolor="#9e3e3b" strokeweight="3.99pt">
              <v:stroke dashstyle="solid"/>
            </v:line>
            <v:rect id="_x0000_s1076" style="width:384;height:80;left:1330;position:absolute;top:63" filled="f" stroked="t" strokecolor="#b34745" strokeweight="0.75pt">
              <v:stroke dashstyle="solid"/>
            </v:rect>
          </v:group>
        </w:pict>
      </w:r>
      <w:r>
        <w:pict>
          <v:line id="_x0000_s1077" style="mso-position-horizontal-relative:page;position:absolute;z-index:-251652096" from="165.7pt,5.15pt" to="184.9pt,5.15pt" stroked="t" strokecolor="#e1b987" strokeweight="2.25pt">
            <v:stroke dashstyle="solid"/>
          </v:line>
        </w:pict>
      </w:r>
      <w:r>
        <w:rPr>
          <w:spacing w:val="4"/>
          <w:sz w:val="16"/>
        </w:rPr>
        <w:t>生</w:t>
      </w:r>
      <w:r>
        <w:rPr>
          <w:sz w:val="16"/>
        </w:rPr>
        <w:t>产总</w:t>
      </w:r>
      <w:r>
        <w:rPr>
          <w:spacing w:val="4"/>
          <w:sz w:val="16"/>
        </w:rPr>
        <w:t>量</w:t>
      </w:r>
      <w:r>
        <w:rPr>
          <w:sz w:val="16"/>
        </w:rPr>
        <w:t>（万</w:t>
      </w:r>
      <w:r>
        <w:rPr>
          <w:spacing w:val="4"/>
          <w:sz w:val="16"/>
        </w:rPr>
        <w:t>吨</w:t>
      </w:r>
      <w:r>
        <w:rPr>
          <w:sz w:val="16"/>
        </w:rPr>
        <w:t>）</w:t>
        <w:tab/>
      </w:r>
      <w:r>
        <w:rPr>
          <w:spacing w:val="4"/>
          <w:sz w:val="16"/>
        </w:rPr>
        <w:t>生</w:t>
      </w:r>
      <w:r>
        <w:rPr>
          <w:sz w:val="16"/>
        </w:rPr>
        <w:t>产总</w:t>
      </w:r>
      <w:r>
        <w:rPr>
          <w:spacing w:val="4"/>
          <w:sz w:val="16"/>
        </w:rPr>
        <w:t>量</w:t>
      </w:r>
      <w:r>
        <w:rPr>
          <w:sz w:val="16"/>
        </w:rPr>
        <w:t>增长率</w:t>
      </w:r>
    </w:p>
    <w:p>
      <w:pPr>
        <w:spacing w:before="23" w:line="331" w:lineRule="auto"/>
        <w:ind w:left="1132" w:right="2345" w:firstLine="0"/>
        <w:jc w:val="left"/>
        <w:rPr>
          <w:sz w:val="18"/>
        </w:rPr>
      </w:pPr>
      <w:r>
        <w:br w:type="column"/>
      </w:r>
      <w:r>
        <w:rPr>
          <w:sz w:val="18"/>
        </w:rPr>
        <w:t>披露投融资金额（万元） 投融资事件（起）</w:t>
      </w:r>
    </w:p>
    <w:p>
      <w:pPr>
        <w:spacing w:after="0" w:line="331" w:lineRule="auto"/>
        <w:jc w:val="left"/>
        <w:rPr>
          <w:sz w:val="18"/>
        </w:rPr>
        <w:sectPr>
          <w:headerReference w:type="default" r:id="rId23"/>
          <w:footerReference w:type="default" r:id="rId24"/>
          <w:type w:val="continuous"/>
          <w:pgSz w:w="11910" w:h="16840"/>
          <w:pgMar w:top="1700" w:right="0" w:bottom="1500" w:left="440" w:header="708" w:footer="708"/>
          <w:pgNumType w:start="7"/>
          <w:cols w:num="2" w:space="708" w:equalWidth="0">
            <w:col w:w="4459" w:space="1538"/>
            <w:col w:w="5473" w:space="0"/>
          </w:cols>
        </w:sectPr>
      </w:pPr>
    </w:p>
    <w:p>
      <w:pPr>
        <w:pStyle w:val="BodyText"/>
        <w:rPr>
          <w:sz w:val="6"/>
        </w:rPr>
      </w:pPr>
    </w:p>
    <w:p>
      <w:pPr>
        <w:tabs>
          <w:tab w:val="left" w:pos="5346"/>
        </w:tabs>
        <w:spacing w:line="20" w:lineRule="exact"/>
        <w:ind w:left="121" w:right="0" w:firstLine="0"/>
        <w:rPr>
          <w:sz w:val="2"/>
        </w:rPr>
      </w:pPr>
      <w:r>
        <w:rPr>
          <w:sz w:val="2"/>
        </w:rPr>
        <w:pict>
          <v:group id="_x0000_i1078" style="width:249.5pt;height:0.5pt;mso-position-horizontal-relative:char;mso-position-vertical-relative:line" coordorigin="0,0" coordsize="4990,10">
            <v:line id="_x0000_s1079" style="position:absolute" from="0,5" to="4990,5" stroked="t" strokecolor="#9c4a45" strokeweight="0.48pt">
              <v:stroke dashstyle="solid"/>
            </v:line>
            <w10:wrap type="none"/>
          </v:group>
        </w:pict>
      </w:r>
      <w:r>
        <w:rPr>
          <w:sz w:val="2"/>
        </w:rPr>
        <w:tab/>
      </w:r>
      <w:r>
        <w:rPr>
          <w:sz w:val="2"/>
        </w:rPr>
        <w:pict>
          <v:group id="_x0000_i1080" style="width:249.5pt;height:0.5pt;mso-position-horizontal-relative:char;mso-position-vertical-relative:line" coordorigin="0,0" coordsize="4990,10">
            <v:line id="_x0000_s1081" style="position:absolute" from="0,5" to="4989,5" stroked="t" strokecolor="#9c4a45" strokeweight="0.48pt">
              <v:stroke dashstyle="solid"/>
            </v:line>
            <w10:wrap type="none"/>
          </v:group>
        </w:pict>
      </w:r>
    </w:p>
    <w:p>
      <w:pPr>
        <w:tabs>
          <w:tab w:val="left" w:pos="5351"/>
        </w:tabs>
        <w:spacing w:before="60"/>
        <w:ind w:left="126" w:right="0" w:firstLine="0"/>
        <w:jc w:val="left"/>
        <w:rPr>
          <w:sz w:val="15"/>
        </w:rPr>
      </w:pPr>
      <w:r>
        <w:t xml:space="preserve">数据来源：艾媒数据中心， </w:t>
        <w:tab/>
        <w:t xml:space="preserve">数据来源：企查查， </w:t>
      </w:r>
    </w:p>
    <w:p>
      <w:pPr>
        <w:pStyle w:val="BodyText"/>
        <w:rPr>
          <w:sz w:val="20"/>
        </w:rPr>
      </w:pPr>
    </w:p>
    <w:p>
      <w:pPr>
        <w:pStyle w:val="BodyText"/>
        <w:spacing w:before="7"/>
        <w:rPr>
          <w:sz w:val="17"/>
        </w:rPr>
      </w:pPr>
    </w:p>
    <w:p>
      <w:pPr>
        <w:pStyle w:val="BodyText"/>
        <w:tabs>
          <w:tab w:val="left" w:pos="5115"/>
          <w:tab w:val="left" w:pos="5351"/>
          <w:tab w:val="left" w:pos="10335"/>
        </w:tabs>
        <w:spacing w:before="79"/>
        <w:ind w:left="126"/>
      </w:pPr>
      <w:r>
        <w:rPr>
          <w:color w:val="FFFFFF"/>
          <w:shd w:val="clear" w:color="auto" w:fill="9C4A45"/>
        </w:rPr>
        <w:t>图</w:t>
      </w:r>
      <w:r>
        <w:rPr>
          <w:rFonts w:ascii="Times New Roman" w:eastAsia="Times New Roman"/>
          <w:color w:val="FFFFFF"/>
          <w:shd w:val="clear" w:color="auto" w:fill="9C4A45"/>
        </w:rPr>
        <w:t>4.</w:t>
      </w:r>
      <w:r>
        <w:rPr>
          <w:color w:val="FFFFFF"/>
          <w:shd w:val="clear" w:color="auto" w:fill="9C4A45"/>
        </w:rPr>
        <w:t>颐海国际</w:t>
      </w:r>
      <w:r>
        <w:rPr>
          <w:color w:val="FFFFFF"/>
          <w:spacing w:val="-5"/>
          <w:shd w:val="clear" w:color="auto" w:fill="9C4A45"/>
        </w:rPr>
        <w:t>与</w:t>
      </w:r>
      <w:r>
        <w:rPr>
          <w:color w:val="FFFFFF"/>
          <w:shd w:val="clear" w:color="auto" w:fill="9C4A45"/>
        </w:rPr>
        <w:t>天味食</w:t>
      </w:r>
      <w:r>
        <w:rPr>
          <w:color w:val="FFFFFF"/>
          <w:spacing w:val="-5"/>
          <w:shd w:val="clear" w:color="auto" w:fill="9C4A45"/>
        </w:rPr>
        <w:t>品</w:t>
      </w:r>
      <w:r>
        <w:rPr>
          <w:color w:val="FFFFFF"/>
          <w:shd w:val="clear" w:color="auto" w:fill="9C4A45"/>
        </w:rPr>
        <w:t>股价变</w:t>
      </w:r>
      <w:r>
        <w:rPr>
          <w:color w:val="FFFFFF"/>
          <w:spacing w:val="-5"/>
          <w:shd w:val="clear" w:color="auto" w:fill="9C4A45"/>
        </w:rPr>
        <w:t>动</w:t>
      </w:r>
      <w:r>
        <w:rPr>
          <w:color w:val="FFFFFF"/>
          <w:shd w:val="clear" w:color="auto" w:fill="9C4A45"/>
        </w:rPr>
        <w:t>趋势</w:t>
        <w:tab/>
      </w:r>
      <w:r>
        <w:rPr>
          <w:color w:val="FFFFFF"/>
        </w:rPr>
        <w:tab/>
      </w:r>
      <w:r>
        <w:rPr>
          <w:color w:val="FFFFFF"/>
          <w:shd w:val="clear" w:color="auto" w:fill="9C4A45"/>
        </w:rPr>
        <w:t>图</w:t>
      </w:r>
      <w:r>
        <w:rPr>
          <w:rFonts w:ascii="Times New Roman" w:eastAsia="Times New Roman"/>
          <w:color w:val="FFFFFF"/>
          <w:shd w:val="clear" w:color="auto" w:fill="9C4A45"/>
        </w:rPr>
        <w:t>5.</w:t>
      </w:r>
      <w:r>
        <w:rPr>
          <w:color w:val="FFFFFF"/>
          <w:shd w:val="clear" w:color="auto" w:fill="9C4A45"/>
        </w:rPr>
        <w:t>颐海国际</w:t>
      </w:r>
      <w:r>
        <w:rPr>
          <w:color w:val="FFFFFF"/>
          <w:spacing w:val="-5"/>
          <w:shd w:val="clear" w:color="auto" w:fill="9C4A45"/>
        </w:rPr>
        <w:t>与</w:t>
      </w:r>
      <w:r>
        <w:rPr>
          <w:color w:val="FFFFFF"/>
          <w:shd w:val="clear" w:color="auto" w:fill="9C4A45"/>
        </w:rPr>
        <w:t>天味食</w:t>
      </w:r>
      <w:r>
        <w:rPr>
          <w:color w:val="FFFFFF"/>
          <w:spacing w:val="-5"/>
          <w:shd w:val="clear" w:color="auto" w:fill="9C4A45"/>
        </w:rPr>
        <w:t>品</w:t>
      </w:r>
      <w:r>
        <w:rPr>
          <w:color w:val="FFFFFF"/>
          <w:shd w:val="clear" w:color="auto" w:fill="9C4A45"/>
        </w:rPr>
        <w:t>营收变动</w:t>
        <w:tab/>
      </w:r>
    </w:p>
    <w:p>
      <w:pPr>
        <w:spacing w:after="0"/>
        <w:sectPr>
          <w:headerReference w:type="default" r:id="rId25"/>
          <w:footerReference w:type="default" r:id="rId26"/>
          <w:type w:val="continuous"/>
          <w:pgSz w:w="11910" w:h="16840"/>
          <w:pgMar w:top="1700" w:right="0" w:bottom="1500" w:left="440" w:header="708" w:footer="708"/>
          <w:pgNumType w:start="8"/>
          <w:cols w:space="708"/>
        </w:sectPr>
      </w:pPr>
    </w:p>
    <w:p>
      <w:pPr>
        <w:spacing w:before="107"/>
        <w:ind w:left="0" w:right="38" w:firstLine="0"/>
        <w:jc w:val="right"/>
        <w:rPr>
          <w:rFonts w:ascii="Times New Roman"/>
          <w:sz w:val="18"/>
        </w:rPr>
      </w:pPr>
      <w:r>
        <w:rPr>
          <w:rFonts w:ascii="Times New Roman"/>
          <w:sz w:val="18"/>
        </w:rPr>
        <w:t>140</w:t>
      </w:r>
    </w:p>
    <w:p>
      <w:pPr>
        <w:spacing w:before="76"/>
        <w:ind w:left="0" w:right="38" w:firstLine="0"/>
        <w:jc w:val="right"/>
        <w:rPr>
          <w:rFonts w:ascii="Times New Roman"/>
          <w:sz w:val="18"/>
        </w:rPr>
      </w:pPr>
      <w:r>
        <w:rPr>
          <w:rFonts w:ascii="Times New Roman"/>
          <w:sz w:val="18"/>
        </w:rPr>
        <w:t>120</w:t>
      </w:r>
    </w:p>
    <w:p>
      <w:pPr>
        <w:spacing w:before="76"/>
        <w:ind w:left="0" w:right="38" w:firstLine="0"/>
        <w:jc w:val="right"/>
        <w:rPr>
          <w:rFonts w:ascii="Times New Roman"/>
          <w:sz w:val="18"/>
        </w:rPr>
      </w:pPr>
      <w:r>
        <w:rPr>
          <w:rFonts w:ascii="Times New Roman"/>
          <w:sz w:val="18"/>
        </w:rPr>
        <w:t>100</w:t>
      </w:r>
    </w:p>
    <w:p>
      <w:pPr>
        <w:spacing w:before="75"/>
        <w:ind w:left="0" w:right="39" w:firstLine="0"/>
        <w:jc w:val="right"/>
        <w:rPr>
          <w:rFonts w:ascii="Times New Roman"/>
          <w:sz w:val="18"/>
        </w:rPr>
      </w:pPr>
      <w:r>
        <w:rPr>
          <w:rFonts w:ascii="Times New Roman"/>
          <w:spacing w:val="-1"/>
          <w:sz w:val="18"/>
        </w:rPr>
        <w:t>80</w:t>
      </w:r>
    </w:p>
    <w:p>
      <w:pPr>
        <w:spacing w:before="76"/>
        <w:ind w:left="0" w:right="39" w:firstLine="0"/>
        <w:jc w:val="right"/>
        <w:rPr>
          <w:rFonts w:ascii="Times New Roman"/>
          <w:sz w:val="18"/>
        </w:rPr>
      </w:pPr>
      <w:r>
        <w:rPr>
          <w:rFonts w:ascii="Times New Roman"/>
          <w:spacing w:val="-1"/>
          <w:sz w:val="18"/>
        </w:rPr>
        <w:t>60</w:t>
      </w:r>
    </w:p>
    <w:p>
      <w:pPr>
        <w:spacing w:before="76"/>
        <w:ind w:left="0" w:right="39" w:firstLine="0"/>
        <w:jc w:val="right"/>
        <w:rPr>
          <w:rFonts w:ascii="Times New Roman"/>
          <w:sz w:val="18"/>
        </w:rPr>
      </w:pPr>
      <w:r>
        <w:rPr>
          <w:rFonts w:ascii="Times New Roman"/>
          <w:spacing w:val="-1"/>
          <w:sz w:val="18"/>
        </w:rPr>
        <w:t>40</w:t>
      </w:r>
    </w:p>
    <w:p>
      <w:pPr>
        <w:spacing w:before="76"/>
        <w:ind w:left="0" w:right="39" w:firstLine="0"/>
        <w:jc w:val="right"/>
        <w:rPr>
          <w:rFonts w:ascii="Times New Roman"/>
          <w:sz w:val="18"/>
        </w:rPr>
      </w:pPr>
      <w:r>
        <w:rPr>
          <w:rFonts w:ascii="Times New Roman"/>
          <w:spacing w:val="-1"/>
          <w:sz w:val="18"/>
        </w:rPr>
        <w:t>20</w:t>
      </w:r>
    </w:p>
    <w:p>
      <w:pPr>
        <w:spacing w:before="75"/>
        <w:ind w:left="0" w:right="40" w:firstLine="0"/>
        <w:jc w:val="right"/>
        <w:rPr>
          <w:rFonts w:ascii="Times New Roman"/>
          <w:sz w:val="18"/>
        </w:rPr>
      </w:pPr>
      <w:r>
        <w:pict>
          <v:shape id="_x0000_s1082" type="#_x0000_t202" style="width:203.4pt;height:36.4pt;margin-top:13.05pt;margin-left:59.11pt;mso-position-horizontal-relative:page;position:absolute;z-index:251671552" filled="f" stroked="f">
            <v:textbox style="layout-flow:vertical;mso-layout-flow-alt:bottom-to-top" inset="0,0,0,0">
              <w:txbxContent>
                <w:p>
                  <w:pPr>
                    <w:spacing w:before="4"/>
                    <w:ind w:left="88" w:right="0" w:firstLine="0"/>
                    <w:jc w:val="left"/>
                    <w:rPr>
                      <w:sz w:val="14"/>
                    </w:rPr>
                  </w:pPr>
                  <w:r>
                    <w:rPr>
                      <w:rFonts w:ascii="Times New Roman" w:eastAsia="Times New Roman"/>
                      <w:spacing w:val="-3"/>
                      <w:w w:val="95"/>
                      <w:sz w:val="14"/>
                    </w:rPr>
                    <w:t>2019</w:t>
                  </w:r>
                  <w:r>
                    <w:rPr>
                      <w:spacing w:val="4"/>
                      <w:w w:val="95"/>
                      <w:sz w:val="14"/>
                    </w:rPr>
                    <w:t>年</w:t>
                  </w:r>
                  <w:r>
                    <w:rPr>
                      <w:rFonts w:ascii="Times New Roman" w:eastAsia="Times New Roman"/>
                      <w:spacing w:val="-3"/>
                      <w:w w:val="95"/>
                      <w:sz w:val="14"/>
                    </w:rPr>
                    <w:t>5</w:t>
                  </w:r>
                  <w:r>
                    <w:rPr>
                      <w:w w:val="95"/>
                      <w:sz w:val="14"/>
                    </w:rPr>
                    <w:t>月</w:t>
                  </w:r>
                </w:p>
                <w:p>
                  <w:pPr>
                    <w:spacing w:before="35"/>
                    <w:ind w:left="88" w:right="0" w:firstLine="0"/>
                    <w:jc w:val="left"/>
                    <w:rPr>
                      <w:sz w:val="14"/>
                    </w:rPr>
                  </w:pPr>
                  <w:r>
                    <w:rPr>
                      <w:rFonts w:ascii="Times New Roman" w:eastAsia="Times New Roman"/>
                      <w:spacing w:val="-3"/>
                      <w:w w:val="95"/>
                      <w:sz w:val="14"/>
                    </w:rPr>
                    <w:t>2019</w:t>
                  </w:r>
                  <w:r>
                    <w:rPr>
                      <w:spacing w:val="4"/>
                      <w:w w:val="95"/>
                      <w:sz w:val="14"/>
                    </w:rPr>
                    <w:t>年</w:t>
                  </w:r>
                  <w:r>
                    <w:rPr>
                      <w:rFonts w:ascii="Times New Roman" w:eastAsia="Times New Roman"/>
                      <w:spacing w:val="-3"/>
                      <w:w w:val="95"/>
                      <w:sz w:val="14"/>
                    </w:rPr>
                    <w:t>8</w:t>
                  </w:r>
                  <w:r>
                    <w:rPr>
                      <w:w w:val="95"/>
                      <w:sz w:val="14"/>
                    </w:rPr>
                    <w:t>月</w:t>
                  </w:r>
                </w:p>
                <w:p>
                  <w:pPr>
                    <w:spacing w:before="36"/>
                    <w:ind w:left="20" w:right="0" w:firstLine="0"/>
                    <w:jc w:val="left"/>
                    <w:rPr>
                      <w:sz w:val="14"/>
                    </w:rPr>
                  </w:pPr>
                  <w:r>
                    <w:rPr>
                      <w:rFonts w:ascii="Times New Roman" w:eastAsia="Times New Roman"/>
                      <w:spacing w:val="-3"/>
                      <w:w w:val="95"/>
                      <w:sz w:val="14"/>
                    </w:rPr>
                    <w:t>2019</w:t>
                  </w:r>
                  <w:r>
                    <w:rPr>
                      <w:spacing w:val="4"/>
                      <w:w w:val="95"/>
                      <w:sz w:val="14"/>
                    </w:rPr>
                    <w:t>年</w:t>
                  </w:r>
                  <w:r>
                    <w:rPr>
                      <w:rFonts w:ascii="Times New Roman" w:eastAsia="Times New Roman"/>
                      <w:spacing w:val="-3"/>
                      <w:w w:val="95"/>
                      <w:sz w:val="14"/>
                    </w:rPr>
                    <w:t>11</w:t>
                  </w:r>
                  <w:r>
                    <w:rPr>
                      <w:w w:val="95"/>
                      <w:sz w:val="14"/>
                    </w:rPr>
                    <w:t>月</w:t>
                  </w:r>
                </w:p>
                <w:p>
                  <w:pPr>
                    <w:spacing w:before="36"/>
                    <w:ind w:left="88" w:right="0" w:firstLine="0"/>
                    <w:jc w:val="left"/>
                    <w:rPr>
                      <w:sz w:val="14"/>
                    </w:rPr>
                  </w:pPr>
                  <w:r>
                    <w:rPr>
                      <w:rFonts w:ascii="Times New Roman" w:eastAsia="Times New Roman"/>
                      <w:spacing w:val="-3"/>
                      <w:w w:val="95"/>
                      <w:sz w:val="14"/>
                    </w:rPr>
                    <w:t>2020</w:t>
                  </w:r>
                  <w:r>
                    <w:rPr>
                      <w:spacing w:val="4"/>
                      <w:w w:val="95"/>
                      <w:sz w:val="14"/>
                    </w:rPr>
                    <w:t>年</w:t>
                  </w:r>
                  <w:r>
                    <w:rPr>
                      <w:rFonts w:ascii="Times New Roman" w:eastAsia="Times New Roman"/>
                      <w:spacing w:val="-3"/>
                      <w:w w:val="95"/>
                      <w:sz w:val="14"/>
                    </w:rPr>
                    <w:t>2</w:t>
                  </w:r>
                  <w:r>
                    <w:rPr>
                      <w:w w:val="95"/>
                      <w:sz w:val="14"/>
                    </w:rPr>
                    <w:t>月</w:t>
                  </w:r>
                </w:p>
                <w:p>
                  <w:pPr>
                    <w:spacing w:before="36"/>
                    <w:ind w:left="88" w:right="0" w:firstLine="0"/>
                    <w:jc w:val="left"/>
                    <w:rPr>
                      <w:sz w:val="14"/>
                    </w:rPr>
                  </w:pPr>
                  <w:r>
                    <w:rPr>
                      <w:rFonts w:ascii="Times New Roman" w:eastAsia="Times New Roman"/>
                      <w:spacing w:val="-3"/>
                      <w:w w:val="95"/>
                      <w:sz w:val="14"/>
                    </w:rPr>
                    <w:t>2020</w:t>
                  </w:r>
                  <w:r>
                    <w:rPr>
                      <w:spacing w:val="4"/>
                      <w:w w:val="95"/>
                      <w:sz w:val="14"/>
                    </w:rPr>
                    <w:t>年</w:t>
                  </w:r>
                  <w:r>
                    <w:rPr>
                      <w:rFonts w:ascii="Times New Roman" w:eastAsia="Times New Roman"/>
                      <w:spacing w:val="-3"/>
                      <w:w w:val="95"/>
                      <w:sz w:val="14"/>
                    </w:rPr>
                    <w:t>5</w:t>
                  </w:r>
                  <w:r>
                    <w:rPr>
                      <w:w w:val="95"/>
                      <w:sz w:val="14"/>
                    </w:rPr>
                    <w:t>月</w:t>
                  </w:r>
                </w:p>
                <w:p>
                  <w:pPr>
                    <w:spacing w:before="36"/>
                    <w:ind w:left="88" w:right="0" w:firstLine="0"/>
                    <w:jc w:val="left"/>
                    <w:rPr>
                      <w:sz w:val="14"/>
                    </w:rPr>
                  </w:pPr>
                  <w:r>
                    <w:rPr>
                      <w:rFonts w:ascii="Times New Roman" w:eastAsia="Times New Roman"/>
                      <w:spacing w:val="-3"/>
                      <w:w w:val="95"/>
                      <w:sz w:val="14"/>
                    </w:rPr>
                    <w:t>2020</w:t>
                  </w:r>
                  <w:r>
                    <w:rPr>
                      <w:spacing w:val="4"/>
                      <w:w w:val="95"/>
                      <w:sz w:val="14"/>
                    </w:rPr>
                    <w:t>年</w:t>
                  </w:r>
                  <w:r>
                    <w:rPr>
                      <w:rFonts w:ascii="Times New Roman" w:eastAsia="Times New Roman"/>
                      <w:spacing w:val="-3"/>
                      <w:w w:val="95"/>
                      <w:sz w:val="14"/>
                    </w:rPr>
                    <w:t>8</w:t>
                  </w:r>
                  <w:r>
                    <w:rPr>
                      <w:w w:val="95"/>
                      <w:sz w:val="14"/>
                    </w:rPr>
                    <w:t>月</w:t>
                  </w:r>
                </w:p>
                <w:p>
                  <w:pPr>
                    <w:spacing w:before="35"/>
                    <w:ind w:left="20" w:right="0" w:firstLine="0"/>
                    <w:jc w:val="left"/>
                    <w:rPr>
                      <w:sz w:val="14"/>
                    </w:rPr>
                  </w:pPr>
                  <w:r>
                    <w:rPr>
                      <w:rFonts w:ascii="Times New Roman" w:eastAsia="Times New Roman"/>
                      <w:spacing w:val="-3"/>
                      <w:w w:val="95"/>
                      <w:sz w:val="14"/>
                    </w:rPr>
                    <w:t>2020</w:t>
                  </w:r>
                  <w:r>
                    <w:rPr>
                      <w:spacing w:val="4"/>
                      <w:w w:val="95"/>
                      <w:sz w:val="14"/>
                    </w:rPr>
                    <w:t>年</w:t>
                  </w:r>
                  <w:r>
                    <w:rPr>
                      <w:rFonts w:ascii="Times New Roman" w:eastAsia="Times New Roman"/>
                      <w:spacing w:val="-3"/>
                      <w:w w:val="95"/>
                      <w:sz w:val="14"/>
                    </w:rPr>
                    <w:t>11</w:t>
                  </w:r>
                  <w:r>
                    <w:rPr>
                      <w:w w:val="95"/>
                      <w:sz w:val="14"/>
                    </w:rPr>
                    <w:t>月</w:t>
                  </w:r>
                </w:p>
                <w:p>
                  <w:pPr>
                    <w:spacing w:before="36"/>
                    <w:ind w:left="88" w:right="0" w:firstLine="0"/>
                    <w:jc w:val="left"/>
                    <w:rPr>
                      <w:sz w:val="14"/>
                    </w:rPr>
                  </w:pPr>
                  <w:r>
                    <w:rPr>
                      <w:rFonts w:ascii="Times New Roman" w:eastAsia="Times New Roman"/>
                      <w:spacing w:val="-3"/>
                      <w:w w:val="95"/>
                      <w:sz w:val="14"/>
                    </w:rPr>
                    <w:t>2021</w:t>
                  </w:r>
                  <w:r>
                    <w:rPr>
                      <w:spacing w:val="4"/>
                      <w:w w:val="95"/>
                      <w:sz w:val="14"/>
                    </w:rPr>
                    <w:t>年</w:t>
                  </w:r>
                  <w:r>
                    <w:rPr>
                      <w:rFonts w:ascii="Times New Roman" w:eastAsia="Times New Roman"/>
                      <w:spacing w:val="-3"/>
                      <w:w w:val="95"/>
                      <w:sz w:val="14"/>
                    </w:rPr>
                    <w:t>2</w:t>
                  </w:r>
                  <w:r>
                    <w:rPr>
                      <w:w w:val="95"/>
                      <w:sz w:val="14"/>
                    </w:rPr>
                    <w:t>月</w:t>
                  </w:r>
                </w:p>
                <w:p>
                  <w:pPr>
                    <w:spacing w:before="36"/>
                    <w:ind w:left="88" w:right="0" w:firstLine="0"/>
                    <w:jc w:val="left"/>
                    <w:rPr>
                      <w:sz w:val="14"/>
                    </w:rPr>
                  </w:pPr>
                  <w:r>
                    <w:rPr>
                      <w:rFonts w:ascii="Times New Roman" w:eastAsia="Times New Roman"/>
                      <w:spacing w:val="-3"/>
                      <w:w w:val="95"/>
                      <w:sz w:val="14"/>
                    </w:rPr>
                    <w:t>2021</w:t>
                  </w:r>
                  <w:r>
                    <w:rPr>
                      <w:spacing w:val="4"/>
                      <w:w w:val="95"/>
                      <w:sz w:val="14"/>
                    </w:rPr>
                    <w:t>年</w:t>
                  </w:r>
                  <w:r>
                    <w:rPr>
                      <w:rFonts w:ascii="Times New Roman" w:eastAsia="Times New Roman"/>
                      <w:spacing w:val="-3"/>
                      <w:w w:val="95"/>
                      <w:sz w:val="14"/>
                    </w:rPr>
                    <w:t>5</w:t>
                  </w:r>
                  <w:r>
                    <w:rPr>
                      <w:w w:val="95"/>
                      <w:sz w:val="14"/>
                    </w:rPr>
                    <w:t>月</w:t>
                  </w:r>
                </w:p>
                <w:p>
                  <w:pPr>
                    <w:spacing w:before="36"/>
                    <w:ind w:left="88" w:right="0" w:firstLine="0"/>
                    <w:jc w:val="left"/>
                    <w:rPr>
                      <w:sz w:val="14"/>
                    </w:rPr>
                  </w:pPr>
                  <w:r>
                    <w:rPr>
                      <w:rFonts w:ascii="Times New Roman" w:eastAsia="Times New Roman"/>
                      <w:spacing w:val="-3"/>
                      <w:w w:val="95"/>
                      <w:sz w:val="14"/>
                    </w:rPr>
                    <w:t>2021</w:t>
                  </w:r>
                  <w:r>
                    <w:rPr>
                      <w:spacing w:val="4"/>
                      <w:w w:val="95"/>
                      <w:sz w:val="14"/>
                    </w:rPr>
                    <w:t>年</w:t>
                  </w:r>
                  <w:r>
                    <w:rPr>
                      <w:rFonts w:ascii="Times New Roman" w:eastAsia="Times New Roman"/>
                      <w:spacing w:val="-3"/>
                      <w:w w:val="95"/>
                      <w:sz w:val="14"/>
                    </w:rPr>
                    <w:t>8</w:t>
                  </w:r>
                  <w:r>
                    <w:rPr>
                      <w:w w:val="95"/>
                      <w:sz w:val="14"/>
                    </w:rPr>
                    <w:t>月</w:t>
                  </w:r>
                </w:p>
                <w:p>
                  <w:pPr>
                    <w:spacing w:before="35"/>
                    <w:ind w:left="20" w:right="0" w:firstLine="0"/>
                    <w:jc w:val="left"/>
                    <w:rPr>
                      <w:sz w:val="14"/>
                    </w:rPr>
                  </w:pPr>
                  <w:r>
                    <w:rPr>
                      <w:rFonts w:ascii="Times New Roman" w:eastAsia="Times New Roman"/>
                      <w:spacing w:val="-3"/>
                      <w:w w:val="95"/>
                      <w:sz w:val="14"/>
                    </w:rPr>
                    <w:t>2021</w:t>
                  </w:r>
                  <w:r>
                    <w:rPr>
                      <w:spacing w:val="4"/>
                      <w:w w:val="95"/>
                      <w:sz w:val="14"/>
                    </w:rPr>
                    <w:t>年</w:t>
                  </w:r>
                  <w:r>
                    <w:rPr>
                      <w:rFonts w:ascii="Times New Roman" w:eastAsia="Times New Roman"/>
                      <w:spacing w:val="-3"/>
                      <w:w w:val="95"/>
                      <w:sz w:val="14"/>
                    </w:rPr>
                    <w:t>11</w:t>
                  </w:r>
                  <w:r>
                    <w:rPr>
                      <w:w w:val="95"/>
                      <w:sz w:val="14"/>
                    </w:rPr>
                    <w:t>月</w:t>
                  </w:r>
                </w:p>
                <w:p>
                  <w:pPr>
                    <w:spacing w:before="37"/>
                    <w:ind w:left="88" w:right="0" w:firstLine="0"/>
                    <w:jc w:val="left"/>
                    <w:rPr>
                      <w:sz w:val="14"/>
                    </w:rPr>
                  </w:pPr>
                  <w:r>
                    <w:rPr>
                      <w:rFonts w:ascii="Times New Roman" w:eastAsia="Times New Roman"/>
                      <w:spacing w:val="-3"/>
                      <w:w w:val="95"/>
                      <w:sz w:val="14"/>
                    </w:rPr>
                    <w:t>2022</w:t>
                  </w:r>
                  <w:r>
                    <w:rPr>
                      <w:spacing w:val="4"/>
                      <w:w w:val="95"/>
                      <w:sz w:val="14"/>
                    </w:rPr>
                    <w:t>年</w:t>
                  </w:r>
                  <w:r>
                    <w:rPr>
                      <w:rFonts w:ascii="Times New Roman" w:eastAsia="Times New Roman"/>
                      <w:spacing w:val="-3"/>
                      <w:w w:val="95"/>
                      <w:sz w:val="14"/>
                    </w:rPr>
                    <w:t>2</w:t>
                  </w:r>
                  <w:r>
                    <w:rPr>
                      <w:w w:val="95"/>
                      <w:sz w:val="14"/>
                    </w:rPr>
                    <w:t>月</w:t>
                  </w:r>
                </w:p>
                <w:p>
                  <w:pPr>
                    <w:spacing w:before="35"/>
                    <w:ind w:left="88" w:right="0" w:firstLine="0"/>
                    <w:jc w:val="left"/>
                    <w:rPr>
                      <w:sz w:val="14"/>
                    </w:rPr>
                  </w:pPr>
                  <w:r>
                    <w:rPr>
                      <w:rFonts w:ascii="Times New Roman" w:eastAsia="Times New Roman"/>
                      <w:spacing w:val="-3"/>
                      <w:w w:val="95"/>
                      <w:sz w:val="14"/>
                    </w:rPr>
                    <w:t>2022</w:t>
                  </w:r>
                  <w:r>
                    <w:rPr>
                      <w:spacing w:val="4"/>
                      <w:w w:val="95"/>
                      <w:sz w:val="14"/>
                    </w:rPr>
                    <w:t>年</w:t>
                  </w:r>
                  <w:r>
                    <w:rPr>
                      <w:rFonts w:ascii="Times New Roman" w:eastAsia="Times New Roman"/>
                      <w:spacing w:val="-3"/>
                      <w:w w:val="95"/>
                      <w:sz w:val="14"/>
                    </w:rPr>
                    <w:t>5</w:t>
                  </w:r>
                  <w:r>
                    <w:rPr>
                      <w:w w:val="95"/>
                      <w:sz w:val="14"/>
                    </w:rPr>
                    <w:t>月</w:t>
                  </w:r>
                </w:p>
                <w:p>
                  <w:pPr>
                    <w:spacing w:before="36"/>
                    <w:ind w:left="88" w:right="0" w:firstLine="0"/>
                    <w:jc w:val="left"/>
                    <w:rPr>
                      <w:sz w:val="14"/>
                    </w:rPr>
                  </w:pPr>
                  <w:r>
                    <w:rPr>
                      <w:rFonts w:ascii="Times New Roman" w:eastAsia="Times New Roman"/>
                      <w:spacing w:val="-3"/>
                      <w:w w:val="95"/>
                      <w:sz w:val="14"/>
                    </w:rPr>
                    <w:t>2022</w:t>
                  </w:r>
                  <w:r>
                    <w:rPr>
                      <w:spacing w:val="4"/>
                      <w:w w:val="95"/>
                      <w:sz w:val="14"/>
                    </w:rPr>
                    <w:t>年</w:t>
                  </w:r>
                  <w:r>
                    <w:rPr>
                      <w:rFonts w:ascii="Times New Roman" w:eastAsia="Times New Roman"/>
                      <w:spacing w:val="-3"/>
                      <w:w w:val="95"/>
                      <w:sz w:val="14"/>
                    </w:rPr>
                    <w:t>8</w:t>
                  </w:r>
                  <w:r>
                    <w:rPr>
                      <w:w w:val="95"/>
                      <w:sz w:val="14"/>
                    </w:rPr>
                    <w:t>月</w:t>
                  </w:r>
                </w:p>
                <w:p>
                  <w:pPr>
                    <w:spacing w:before="35"/>
                    <w:ind w:left="20" w:right="0" w:firstLine="0"/>
                    <w:jc w:val="left"/>
                    <w:rPr>
                      <w:sz w:val="14"/>
                    </w:rPr>
                  </w:pPr>
                  <w:r>
                    <w:rPr>
                      <w:rFonts w:ascii="Times New Roman" w:eastAsia="Times New Roman"/>
                      <w:spacing w:val="-3"/>
                      <w:w w:val="95"/>
                      <w:sz w:val="14"/>
                    </w:rPr>
                    <w:t>2022</w:t>
                  </w:r>
                  <w:r>
                    <w:rPr>
                      <w:spacing w:val="4"/>
                      <w:w w:val="95"/>
                      <w:sz w:val="14"/>
                    </w:rPr>
                    <w:t>年</w:t>
                  </w:r>
                  <w:r>
                    <w:rPr>
                      <w:rFonts w:ascii="Times New Roman" w:eastAsia="Times New Roman"/>
                      <w:spacing w:val="-3"/>
                      <w:w w:val="95"/>
                      <w:sz w:val="14"/>
                    </w:rPr>
                    <w:t>11</w:t>
                  </w:r>
                  <w:r>
                    <w:rPr>
                      <w:w w:val="95"/>
                      <w:sz w:val="14"/>
                    </w:rPr>
                    <w:t>月</w:t>
                  </w:r>
                </w:p>
                <w:p>
                  <w:pPr>
                    <w:spacing w:before="37"/>
                    <w:ind w:left="88" w:right="0" w:firstLine="0"/>
                    <w:jc w:val="left"/>
                    <w:rPr>
                      <w:sz w:val="14"/>
                    </w:rPr>
                  </w:pPr>
                  <w:r>
                    <w:rPr>
                      <w:rFonts w:ascii="Times New Roman" w:eastAsia="Times New Roman"/>
                      <w:spacing w:val="-3"/>
                      <w:w w:val="95"/>
                      <w:sz w:val="14"/>
                    </w:rPr>
                    <w:t>2023</w:t>
                  </w:r>
                  <w:r>
                    <w:rPr>
                      <w:spacing w:val="4"/>
                      <w:w w:val="95"/>
                      <w:sz w:val="14"/>
                    </w:rPr>
                    <w:t>年</w:t>
                  </w:r>
                  <w:r>
                    <w:rPr>
                      <w:rFonts w:ascii="Times New Roman" w:eastAsia="Times New Roman"/>
                      <w:spacing w:val="-3"/>
                      <w:w w:val="95"/>
                      <w:sz w:val="14"/>
                    </w:rPr>
                    <w:t>2</w:t>
                  </w:r>
                  <w:r>
                    <w:rPr>
                      <w:w w:val="95"/>
                      <w:sz w:val="14"/>
                    </w:rPr>
                    <w:t>月</w:t>
                  </w:r>
                </w:p>
                <w:p>
                  <w:pPr>
                    <w:spacing w:before="35"/>
                    <w:ind w:left="88" w:right="0" w:firstLine="0"/>
                    <w:jc w:val="left"/>
                    <w:rPr>
                      <w:sz w:val="14"/>
                    </w:rPr>
                  </w:pPr>
                  <w:r>
                    <w:rPr>
                      <w:rFonts w:ascii="Times New Roman" w:eastAsia="Times New Roman"/>
                      <w:spacing w:val="-3"/>
                      <w:w w:val="95"/>
                      <w:sz w:val="14"/>
                    </w:rPr>
                    <w:t>2023</w:t>
                  </w:r>
                  <w:r>
                    <w:rPr>
                      <w:spacing w:val="4"/>
                      <w:w w:val="95"/>
                      <w:sz w:val="14"/>
                    </w:rPr>
                    <w:t>年</w:t>
                  </w:r>
                  <w:r>
                    <w:rPr>
                      <w:rFonts w:ascii="Times New Roman" w:eastAsia="Times New Roman"/>
                      <w:spacing w:val="-3"/>
                      <w:w w:val="95"/>
                      <w:sz w:val="14"/>
                    </w:rPr>
                    <w:t>5</w:t>
                  </w:r>
                  <w:r>
                    <w:rPr>
                      <w:w w:val="95"/>
                      <w:sz w:val="14"/>
                    </w:rPr>
                    <w:t>月</w:t>
                  </w:r>
                </w:p>
                <w:p>
                  <w:pPr>
                    <w:spacing w:before="36"/>
                    <w:ind w:left="88" w:right="0" w:firstLine="0"/>
                    <w:jc w:val="left"/>
                    <w:rPr>
                      <w:sz w:val="14"/>
                    </w:rPr>
                  </w:pPr>
                  <w:r>
                    <w:rPr>
                      <w:rFonts w:ascii="Times New Roman" w:eastAsia="Times New Roman"/>
                      <w:spacing w:val="-3"/>
                      <w:w w:val="95"/>
                      <w:sz w:val="14"/>
                    </w:rPr>
                    <w:t>2023</w:t>
                  </w:r>
                  <w:r>
                    <w:rPr>
                      <w:spacing w:val="4"/>
                      <w:w w:val="95"/>
                      <w:sz w:val="14"/>
                    </w:rPr>
                    <w:t>年</w:t>
                  </w:r>
                  <w:r>
                    <w:rPr>
                      <w:rFonts w:ascii="Times New Roman" w:eastAsia="Times New Roman"/>
                      <w:spacing w:val="-3"/>
                      <w:w w:val="95"/>
                      <w:sz w:val="14"/>
                    </w:rPr>
                    <w:t>8</w:t>
                  </w:r>
                  <w:r>
                    <w:rPr>
                      <w:w w:val="95"/>
                      <w:sz w:val="14"/>
                    </w:rPr>
                    <w:t>月</w:t>
                  </w:r>
                </w:p>
                <w:p>
                  <w:pPr>
                    <w:spacing w:before="36"/>
                    <w:ind w:left="20" w:right="0" w:firstLine="0"/>
                    <w:jc w:val="left"/>
                    <w:rPr>
                      <w:sz w:val="14"/>
                    </w:rPr>
                  </w:pPr>
                  <w:r>
                    <w:rPr>
                      <w:rFonts w:ascii="Times New Roman" w:eastAsia="Times New Roman"/>
                      <w:spacing w:val="-3"/>
                      <w:w w:val="95"/>
                      <w:sz w:val="14"/>
                    </w:rPr>
                    <w:t>2023</w:t>
                  </w:r>
                  <w:r>
                    <w:rPr>
                      <w:spacing w:val="4"/>
                      <w:w w:val="95"/>
                      <w:sz w:val="14"/>
                    </w:rPr>
                    <w:t>年</w:t>
                  </w:r>
                  <w:r>
                    <w:rPr>
                      <w:rFonts w:ascii="Times New Roman" w:eastAsia="Times New Roman"/>
                      <w:spacing w:val="-3"/>
                      <w:w w:val="95"/>
                      <w:sz w:val="14"/>
                    </w:rPr>
                    <w:t>11</w:t>
                  </w:r>
                  <w:r>
                    <w:rPr>
                      <w:w w:val="95"/>
                      <w:sz w:val="14"/>
                    </w:rPr>
                    <w:t>月</w:t>
                  </w:r>
                </w:p>
              </w:txbxContent>
            </v:textbox>
          </v:shape>
        </w:pict>
      </w:r>
      <w:r>
        <w:rPr>
          <w:rFonts w:ascii="Times New Roman"/>
          <w:w w:val="101"/>
          <w:sz w:val="18"/>
        </w:rPr>
        <w:t>0</w:t>
      </w:r>
    </w:p>
    <w:p>
      <w:pPr>
        <w:pStyle w:val="BodyText"/>
        <w:rPr>
          <w:rFonts w:ascii="Times New Roman"/>
          <w:sz w:val="18"/>
        </w:rPr>
      </w:pPr>
      <w:r>
        <w:br w:type="column"/>
      </w: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spacing w:before="2"/>
        <w:rPr>
          <w:rFonts w:ascii="Times New Roman"/>
          <w:sz w:val="22"/>
        </w:rPr>
      </w:pPr>
    </w:p>
    <w:p>
      <w:pPr>
        <w:tabs>
          <w:tab w:val="left" w:pos="2338"/>
        </w:tabs>
        <w:spacing w:before="1"/>
        <w:ind w:left="365" w:right="0" w:firstLine="0"/>
        <w:jc w:val="left"/>
        <w:rPr>
          <w:sz w:val="18"/>
        </w:rPr>
      </w:pPr>
      <w:r>
        <w:pict>
          <v:line id="_x0000_s1083" style="mso-position-horizontal-relative:page;position:absolute;z-index:251669504" from="63.8pt,5.85pt" to="83pt,5.85pt" stroked="t" strokecolor="#9e3e3b" strokeweight="2.25pt">
            <v:stroke dashstyle="solid"/>
          </v:line>
        </w:pict>
      </w:r>
      <w:r>
        <w:pict>
          <v:line id="_x0000_s1084" style="mso-position-horizontal-relative:page;position:absolute;z-index:-251650048" from="162.4pt,5.85pt" to="181.6pt,5.85pt" stroked="t" strokecolor="#e1b987" strokeweight="2.25pt">
            <v:stroke dashstyle="solid"/>
          </v:line>
        </w:pict>
      </w:r>
      <w:r>
        <w:rPr>
          <w:sz w:val="18"/>
        </w:rPr>
        <w:t>颐海</w:t>
      </w:r>
      <w:r>
        <w:rPr>
          <w:spacing w:val="-5"/>
          <w:sz w:val="18"/>
        </w:rPr>
        <w:t>国</w:t>
      </w:r>
      <w:r>
        <w:rPr>
          <w:sz w:val="18"/>
        </w:rPr>
        <w:t>际</w:t>
      </w:r>
      <w:r>
        <w:rPr>
          <w:spacing w:val="-5"/>
          <w:sz w:val="18"/>
        </w:rPr>
        <w:t>（</w:t>
      </w:r>
      <w:r>
        <w:rPr>
          <w:sz w:val="18"/>
        </w:rPr>
        <w:t>元）</w:t>
        <w:tab/>
        <w:t>天味</w:t>
      </w:r>
      <w:r>
        <w:rPr>
          <w:spacing w:val="-5"/>
          <w:sz w:val="18"/>
        </w:rPr>
        <w:t>食</w:t>
      </w:r>
      <w:r>
        <w:rPr>
          <w:sz w:val="18"/>
        </w:rPr>
        <w:t>品</w:t>
      </w:r>
      <w:r>
        <w:rPr>
          <w:spacing w:val="-5"/>
          <w:sz w:val="18"/>
        </w:rPr>
        <w:t>（</w:t>
      </w:r>
      <w:r>
        <w:rPr>
          <w:sz w:val="18"/>
        </w:rPr>
        <w:t>元）</w:t>
      </w:r>
    </w:p>
    <w:p>
      <w:pPr>
        <w:spacing w:before="157"/>
        <w:ind w:left="0" w:right="0" w:firstLine="0"/>
        <w:jc w:val="right"/>
        <w:rPr>
          <w:rFonts w:ascii="Times New Roman"/>
          <w:sz w:val="18"/>
        </w:rPr>
      </w:pPr>
      <w:r>
        <w:br w:type="column"/>
      </w:r>
      <w:r>
        <w:rPr>
          <w:rFonts w:ascii="Times New Roman"/>
          <w:sz w:val="18"/>
        </w:rPr>
        <w:t>70%</w:t>
      </w:r>
    </w:p>
    <w:p>
      <w:pPr>
        <w:spacing w:before="80"/>
        <w:ind w:left="0" w:right="0" w:firstLine="0"/>
        <w:jc w:val="right"/>
        <w:rPr>
          <w:rFonts w:ascii="Times New Roman"/>
          <w:sz w:val="18"/>
        </w:rPr>
      </w:pPr>
      <w:r>
        <w:rPr>
          <w:rFonts w:ascii="Times New Roman"/>
          <w:sz w:val="18"/>
        </w:rPr>
        <w:t>60%</w:t>
      </w:r>
    </w:p>
    <w:p>
      <w:pPr>
        <w:spacing w:before="80"/>
        <w:ind w:left="0" w:right="0" w:firstLine="0"/>
        <w:jc w:val="right"/>
        <w:rPr>
          <w:rFonts w:ascii="Times New Roman"/>
          <w:sz w:val="18"/>
        </w:rPr>
      </w:pPr>
      <w:r>
        <w:rPr>
          <w:rFonts w:ascii="Times New Roman"/>
          <w:sz w:val="18"/>
        </w:rPr>
        <w:t>50%</w:t>
      </w:r>
    </w:p>
    <w:p>
      <w:pPr>
        <w:spacing w:before="80"/>
        <w:ind w:left="0" w:right="0" w:firstLine="0"/>
        <w:jc w:val="right"/>
        <w:rPr>
          <w:rFonts w:ascii="Times New Roman"/>
          <w:sz w:val="18"/>
        </w:rPr>
      </w:pPr>
      <w:r>
        <w:rPr>
          <w:rFonts w:ascii="Times New Roman"/>
          <w:sz w:val="18"/>
        </w:rPr>
        <w:t>40%</w:t>
      </w:r>
    </w:p>
    <w:p>
      <w:pPr>
        <w:spacing w:before="80"/>
        <w:ind w:left="0" w:right="0" w:firstLine="0"/>
        <w:jc w:val="right"/>
        <w:rPr>
          <w:rFonts w:ascii="Times New Roman"/>
          <w:sz w:val="18"/>
        </w:rPr>
      </w:pPr>
      <w:r>
        <w:rPr>
          <w:rFonts w:ascii="Times New Roman"/>
          <w:sz w:val="18"/>
        </w:rPr>
        <w:t>30%</w:t>
      </w:r>
    </w:p>
    <w:p>
      <w:pPr>
        <w:spacing w:before="80"/>
        <w:ind w:left="0" w:right="0" w:firstLine="0"/>
        <w:jc w:val="right"/>
        <w:rPr>
          <w:rFonts w:ascii="Times New Roman"/>
          <w:sz w:val="18"/>
        </w:rPr>
      </w:pPr>
      <w:r>
        <w:rPr>
          <w:rFonts w:ascii="Times New Roman"/>
          <w:sz w:val="18"/>
        </w:rPr>
        <w:t>20%</w:t>
      </w:r>
    </w:p>
    <w:p>
      <w:pPr>
        <w:spacing w:before="81"/>
        <w:ind w:left="0" w:right="0" w:firstLine="0"/>
        <w:jc w:val="right"/>
        <w:rPr>
          <w:rFonts w:ascii="Times New Roman"/>
          <w:sz w:val="18"/>
        </w:rPr>
      </w:pPr>
      <w:r>
        <w:rPr>
          <w:rFonts w:ascii="Times New Roman"/>
          <w:sz w:val="18"/>
        </w:rPr>
        <w:t>10%</w:t>
      </w:r>
    </w:p>
    <w:p>
      <w:pPr>
        <w:spacing w:before="80"/>
        <w:ind w:left="0" w:right="0" w:firstLine="0"/>
        <w:jc w:val="right"/>
        <w:rPr>
          <w:rFonts w:ascii="Times New Roman"/>
          <w:sz w:val="18"/>
        </w:rPr>
      </w:pPr>
      <w:r>
        <w:rPr>
          <w:rFonts w:ascii="Times New Roman"/>
          <w:sz w:val="18"/>
        </w:rPr>
        <w:t>0%</w:t>
      </w:r>
    </w:p>
    <w:p>
      <w:pPr>
        <w:spacing w:before="80"/>
        <w:ind w:left="0" w:right="0" w:firstLine="0"/>
        <w:jc w:val="right"/>
        <w:rPr>
          <w:rFonts w:ascii="Times New Roman"/>
          <w:sz w:val="18"/>
        </w:rPr>
      </w:pPr>
      <w:r>
        <w:rPr>
          <w:rFonts w:ascii="Times New Roman"/>
          <w:spacing w:val="-1"/>
          <w:sz w:val="18"/>
        </w:rPr>
        <w:t>-10%</w:t>
      </w:r>
    </w:p>
    <w:p>
      <w:pPr>
        <w:spacing w:before="80"/>
        <w:ind w:left="0" w:right="0" w:firstLine="0"/>
        <w:jc w:val="right"/>
        <w:rPr>
          <w:rFonts w:ascii="Times New Roman"/>
          <w:sz w:val="18"/>
        </w:rPr>
      </w:pPr>
      <w:r>
        <w:rPr>
          <w:rFonts w:ascii="Times New Roman"/>
          <w:spacing w:val="-1"/>
          <w:sz w:val="18"/>
        </w:rPr>
        <w:t>-20%</w:t>
      </w:r>
    </w:p>
    <w:p>
      <w:pPr>
        <w:pStyle w:val="BodyText"/>
        <w:spacing w:before="7"/>
        <w:rPr>
          <w:rFonts w:ascii="Times New Roman"/>
          <w:sz w:val="11"/>
        </w:rPr>
      </w:pPr>
      <w:r>
        <w:br w:type="column"/>
      </w:r>
    </w:p>
    <w:p>
      <w:pPr>
        <w:pStyle w:val="BodyText"/>
        <w:ind w:left="98"/>
        <w:rPr>
          <w:rFonts w:ascii="Times New Roman"/>
          <w:sz w:val="20"/>
        </w:rPr>
      </w:pPr>
      <w:r>
        <w:rPr>
          <w:rFonts w:ascii="Times New Roman"/>
          <w:sz w:val="20"/>
        </w:rPr>
        <w:pict>
          <v:group id="_x0000_i1085" style="width:191.2pt;height:136.3pt;mso-position-horizontal-relative:char;mso-position-vertical-relative:line" coordorigin="0,0" coordsize="3824,2726">
            <v:line id="_x0000_s1086" style="position:absolute" from="8,2718" to="8,135" stroked="t" strokecolor="#aeabab" strokeweight="0.75pt">
              <v:stroke dashstyle="solid"/>
            </v:line>
            <v:line id="_x0000_s1087" style="position:absolute" from="8,2718" to="61,2718" stroked="t" strokecolor="#aeabab" strokeweight="0.75pt">
              <v:stroke dashstyle="solid"/>
            </v:line>
            <v:line id="_x0000_s1088" style="position:absolute" from="8,2430" to="61,2430" stroked="t" strokecolor="#aeabab" strokeweight="0.75pt">
              <v:stroke dashstyle="solid"/>
            </v:line>
            <v:line id="_x0000_s1089" style="position:absolute" from="8,2142" to="61,2142" stroked="t" strokecolor="#aeabab" strokeweight="0.75pt">
              <v:stroke dashstyle="solid"/>
            </v:line>
            <v:line id="_x0000_s1090" style="position:absolute" from="8,1859" to="61,1859" stroked="t" strokecolor="#aeabab" strokeweight="0.75pt">
              <v:stroke dashstyle="solid"/>
            </v:line>
            <v:line id="_x0000_s1091" style="position:absolute" from="8,1571" to="61,1571" stroked="t" strokecolor="#aeabab" strokeweight="0.75pt">
              <v:stroke dashstyle="solid"/>
            </v:line>
            <v:line id="_x0000_s1092" style="position:absolute" from="8,1283" to="61,1283" stroked="t" strokecolor="#aeabab" strokeweight="0.75pt">
              <v:stroke dashstyle="solid"/>
            </v:line>
            <v:line id="_x0000_s1093" style="position:absolute" from="8,995" to="61,995" stroked="t" strokecolor="#aeabab" strokeweight="0.75pt">
              <v:stroke dashstyle="solid"/>
            </v:line>
            <v:line id="_x0000_s1094" style="position:absolute" from="8,707" to="61,707" stroked="t" strokecolor="#aeabab" strokeweight="0.75pt">
              <v:stroke dashstyle="solid"/>
            </v:line>
            <v:line id="_x0000_s1095" style="position:absolute" from="8,424" to="61,424" stroked="t" strokecolor="#aeabab" strokeweight="0.75pt">
              <v:stroke dashstyle="solid"/>
            </v:line>
            <v:line id="_x0000_s1096" style="position:absolute" from="8,135" to="61,135" stroked="t" strokecolor="#aeabab" strokeweight="0.75pt">
              <v:stroke dashstyle="solid"/>
            </v:line>
            <v:line id="_x0000_s1097" style="position:absolute" from="8,2144" to="3824,2144" stroked="t" strokecolor="#d9d9d9" strokeweight="0.75pt">
              <v:stroke dashstyle="solid"/>
            </v:line>
            <v:shape id="_x0000_s1098" style="width:3180;height:1883;left:325;position:absolute;top:339" coordorigin="325,339" coordsize="3180,1883" path="m325,339l960,429,1598,1422,2232,1830,2870,2046,3505,2221e" filled="f" stroked="t" strokecolor="#9e3e3b" strokeweight="2.25pt">
              <v:stroke dashstyle="solid"/>
              <v:path arrowok="t"/>
            </v:shape>
            <v:shape id="_x0000_s1099" style="width:3180;height:1471;left:325;position:absolute;top:1084" coordorigin="325,1085" coordsize="3180,1471" path="m325,1211l960,1504,1598,1085,2232,2556,2870,1201,3505,1643e" filled="f" stroked="t" strokecolor="#e1b987" strokeweight="2.25pt">
              <v:stroke dashstyle="solid"/>
              <v:path arrowok="t"/>
            </v:shape>
            <v:shape id="_x0000_s1100" type="#_x0000_t202" style="width:1221;height:293;left:41;position:absolute" filled="f" stroked="f">
              <v:textbox inset="0,0,0,0">
                <w:txbxContent>
                  <w:p>
                    <w:pPr>
                      <w:spacing w:before="0" w:line="230" w:lineRule="auto"/>
                      <w:ind w:left="0" w:right="0" w:firstLine="0"/>
                      <w:jc w:val="left"/>
                      <w:rPr>
                        <w:rFonts w:ascii="Times New Roman"/>
                        <w:sz w:val="18"/>
                      </w:rPr>
                    </w:pPr>
                    <w:r>
                      <w:rPr>
                        <w:rFonts w:ascii="Times New Roman"/>
                        <w:sz w:val="18"/>
                      </w:rPr>
                      <w:t xml:space="preserve">62.88% </w:t>
                    </w:r>
                    <w:r>
                      <w:rPr>
                        <w:rFonts w:ascii="Times New Roman"/>
                        <w:position w:val="-8"/>
                        <w:sz w:val="18"/>
                      </w:rPr>
                      <w:t>59.72%</w:t>
                    </w:r>
                  </w:p>
                </w:txbxContent>
              </v:textbox>
            </v:shape>
            <v:shape id="_x0000_s1101" type="#_x0000_t202" style="width:585;height:202;left:41;position:absolute;top:870" filled="f" stroked="f">
              <v:textbox inset="0,0,0,0">
                <w:txbxContent>
                  <w:p>
                    <w:pPr>
                      <w:spacing w:before="0" w:line="201" w:lineRule="exact"/>
                      <w:ind w:left="0" w:right="0" w:firstLine="0"/>
                      <w:jc w:val="left"/>
                      <w:rPr>
                        <w:rFonts w:ascii="Times New Roman"/>
                        <w:sz w:val="18"/>
                      </w:rPr>
                    </w:pPr>
                    <w:r>
                      <w:rPr>
                        <w:rFonts w:ascii="Times New Roman"/>
                        <w:sz w:val="18"/>
                      </w:rPr>
                      <w:t>32.56%</w:t>
                    </w:r>
                  </w:p>
                </w:txbxContent>
              </v:textbox>
            </v:shape>
            <v:shape id="_x0000_s1102" type="#_x0000_t202" style="width:585;height:202;left:1314;position:absolute;top:746" filled="f" stroked="f">
              <v:textbox inset="0,0,0,0">
                <w:txbxContent>
                  <w:p>
                    <w:pPr>
                      <w:spacing w:before="0" w:line="201" w:lineRule="exact"/>
                      <w:ind w:left="0" w:right="0" w:firstLine="0"/>
                      <w:jc w:val="left"/>
                      <w:rPr>
                        <w:rFonts w:ascii="Times New Roman"/>
                        <w:sz w:val="18"/>
                      </w:rPr>
                    </w:pPr>
                    <w:r>
                      <w:rPr>
                        <w:rFonts w:ascii="Times New Roman"/>
                        <w:sz w:val="18"/>
                      </w:rPr>
                      <w:t>36.90%</w:t>
                    </w:r>
                  </w:p>
                </w:txbxContent>
              </v:textbox>
            </v:shape>
            <v:shape id="_x0000_s1103" type="#_x0000_t202" style="width:585;height:202;left:2586;position:absolute;top:862" filled="f" stroked="f">
              <v:textbox inset="0,0,0,0">
                <w:txbxContent>
                  <w:p>
                    <w:pPr>
                      <w:spacing w:before="0" w:line="201" w:lineRule="exact"/>
                      <w:ind w:left="0" w:right="0" w:firstLine="0"/>
                      <w:jc w:val="left"/>
                      <w:rPr>
                        <w:rFonts w:ascii="Times New Roman"/>
                        <w:sz w:val="18"/>
                      </w:rPr>
                    </w:pPr>
                    <w:r>
                      <w:rPr>
                        <w:rFonts w:ascii="Times New Roman"/>
                        <w:sz w:val="18"/>
                      </w:rPr>
                      <w:t>32.84%</w:t>
                    </w:r>
                  </w:p>
                </w:txbxContent>
              </v:textbox>
            </v:shape>
            <v:shape id="_x0000_s1104" type="#_x0000_t202" style="width:585;height:202;left:678;position:absolute;top:1166" filled="f" stroked="f">
              <v:textbox inset="0,0,0,0">
                <w:txbxContent>
                  <w:p>
                    <w:pPr>
                      <w:spacing w:before="0" w:line="201" w:lineRule="exact"/>
                      <w:ind w:left="0" w:right="0" w:firstLine="0"/>
                      <w:jc w:val="left"/>
                      <w:rPr>
                        <w:rFonts w:ascii="Times New Roman"/>
                        <w:sz w:val="18"/>
                      </w:rPr>
                    </w:pPr>
                    <w:r>
                      <w:rPr>
                        <w:rFonts w:ascii="Times New Roman"/>
                        <w:sz w:val="18"/>
                      </w:rPr>
                      <w:t>22.26%</w:t>
                    </w:r>
                  </w:p>
                </w:txbxContent>
              </v:textbox>
            </v:shape>
            <v:shape id="_x0000_s1105" type="#_x0000_t202" style="width:585;height:202;left:3223;position:absolute;top:1305" filled="f" stroked="f">
              <v:textbox inset="0,0,0,0">
                <w:txbxContent>
                  <w:p>
                    <w:pPr>
                      <w:spacing w:before="0" w:line="201" w:lineRule="exact"/>
                      <w:ind w:left="0" w:right="0" w:firstLine="0"/>
                      <w:jc w:val="left"/>
                      <w:rPr>
                        <w:rFonts w:ascii="Times New Roman"/>
                        <w:sz w:val="18"/>
                      </w:rPr>
                    </w:pPr>
                    <w:r>
                      <w:rPr>
                        <w:rFonts w:ascii="Times New Roman"/>
                        <w:sz w:val="18"/>
                      </w:rPr>
                      <w:t>17.42%</w:t>
                    </w:r>
                  </w:p>
                </w:txbxContent>
              </v:textbox>
            </v:shape>
            <v:shape id="_x0000_s1106" type="#_x0000_t202" style="width:1282;height:213;left:1254;position:absolute;top:1482" filled="f" stroked="f">
              <v:textbox inset="0,0,0,0">
                <w:txbxContent>
                  <w:p>
                    <w:pPr>
                      <w:spacing w:before="0" w:line="212" w:lineRule="exact"/>
                      <w:ind w:left="0" w:right="0" w:firstLine="0"/>
                      <w:jc w:val="left"/>
                      <w:rPr>
                        <w:rFonts w:ascii="Times New Roman"/>
                        <w:sz w:val="18"/>
                      </w:rPr>
                    </w:pPr>
                    <w:r>
                      <w:rPr>
                        <w:rFonts w:ascii="Times New Roman"/>
                        <w:position w:val="1"/>
                        <w:sz w:val="18"/>
                      </w:rPr>
                      <w:t xml:space="preserve">25.18% </w:t>
                    </w:r>
                    <w:r>
                      <w:rPr>
                        <w:rFonts w:ascii="Times New Roman"/>
                        <w:sz w:val="18"/>
                      </w:rPr>
                      <w:t>10.88%</w:t>
                    </w:r>
                  </w:p>
                </w:txbxContent>
              </v:textbox>
            </v:shape>
            <v:shape id="_x0000_s1107" type="#_x0000_t202" style="width:495;height:203;left:2634;position:absolute;top:1706" filled="f" stroked="f">
              <v:textbox inset="0,0,0,0">
                <w:txbxContent>
                  <w:p>
                    <w:pPr>
                      <w:spacing w:before="0" w:line="202" w:lineRule="exact"/>
                      <w:ind w:left="0" w:right="0" w:firstLine="0"/>
                      <w:jc w:val="left"/>
                      <w:rPr>
                        <w:rFonts w:ascii="Times New Roman"/>
                        <w:sz w:val="18"/>
                      </w:rPr>
                    </w:pPr>
                    <w:r>
                      <w:rPr>
                        <w:rFonts w:ascii="Times New Roman"/>
                        <w:sz w:val="18"/>
                      </w:rPr>
                      <w:t>3.43%</w:t>
                    </w:r>
                  </w:p>
                </w:txbxContent>
              </v:textbox>
            </v:shape>
            <v:shape id="_x0000_s1108" type="#_x0000_t202" style="width:551;height:202;left:3242;position:absolute;top:1883" filled="f" stroked="f">
              <v:textbox inset="0,0,0,0">
                <w:txbxContent>
                  <w:p>
                    <w:pPr>
                      <w:spacing w:before="0" w:line="201" w:lineRule="exact"/>
                      <w:ind w:left="0" w:right="0" w:firstLine="0"/>
                      <w:jc w:val="left"/>
                      <w:rPr>
                        <w:rFonts w:ascii="Times New Roman"/>
                        <w:sz w:val="18"/>
                      </w:rPr>
                    </w:pPr>
                    <w:r>
                      <w:rPr>
                        <w:rFonts w:ascii="Times New Roman"/>
                        <w:sz w:val="18"/>
                      </w:rPr>
                      <w:t>-2.69%</w:t>
                    </w:r>
                  </w:p>
                </w:txbxContent>
              </v:textbox>
            </v:shape>
            <v:shape id="_x0000_s1109" type="#_x0000_t202" style="width:1653;height:202;left:147;position:absolute;top:2249" filled="f" stroked="f">
              <v:textbox inset="0,0,0,0">
                <w:txbxContent>
                  <w:p>
                    <w:pPr>
                      <w:tabs>
                        <w:tab w:val="left" w:pos="636"/>
                        <w:tab w:val="left" w:pos="1272"/>
                      </w:tabs>
                      <w:spacing w:before="0" w:line="201" w:lineRule="exact"/>
                      <w:ind w:left="0" w:right="0" w:firstLine="0"/>
                      <w:jc w:val="left"/>
                      <w:rPr>
                        <w:rFonts w:ascii="Times New Roman"/>
                        <w:sz w:val="18"/>
                      </w:rPr>
                    </w:pPr>
                    <w:r>
                      <w:rPr>
                        <w:rFonts w:ascii="Times New Roman"/>
                        <w:sz w:val="18"/>
                      </w:rPr>
                      <w:t>2018</w:t>
                      <w:tab/>
                      <w:t>2019</w:t>
                      <w:tab/>
                      <w:t>2020</w:t>
                    </w:r>
                  </w:p>
                </w:txbxContent>
              </v:textbox>
            </v:shape>
            <v:shape id="_x0000_s1110" type="#_x0000_t202" style="width:644;height:236;left:1922;position:absolute;top:2216" filled="f" stroked="f">
              <v:textbox inset="0,0,0,0">
                <w:txbxContent>
                  <w:p>
                    <w:pPr>
                      <w:spacing w:before="0" w:line="232" w:lineRule="exact"/>
                      <w:ind w:left="0" w:right="0" w:firstLine="0"/>
                      <w:jc w:val="left"/>
                      <w:rPr>
                        <w:rFonts w:ascii="Times New Roman"/>
                        <w:sz w:val="18"/>
                      </w:rPr>
                    </w:pPr>
                    <w:r>
                      <w:rPr>
                        <w:rFonts w:ascii="Times New Roman"/>
                        <w:spacing w:val="-4"/>
                        <w:w w:val="101"/>
                        <w:sz w:val="18"/>
                      </w:rPr>
                      <w:t>-</w:t>
                    </w:r>
                    <w:r>
                      <w:rPr>
                        <w:rFonts w:ascii="Times New Roman"/>
                        <w:spacing w:val="-15"/>
                        <w:w w:val="101"/>
                        <w:sz w:val="18"/>
                      </w:rPr>
                      <w:t>1</w:t>
                    </w:r>
                    <w:r>
                      <w:rPr>
                        <w:rFonts w:ascii="Times New Roman"/>
                        <w:spacing w:val="-77"/>
                        <w:w w:val="101"/>
                        <w:position w:val="-2"/>
                        <w:sz w:val="18"/>
                      </w:rPr>
                      <w:t>2</w:t>
                    </w:r>
                    <w:r>
                      <w:rPr>
                        <w:rFonts w:ascii="Times New Roman"/>
                        <w:spacing w:val="-15"/>
                        <w:w w:val="101"/>
                        <w:sz w:val="18"/>
                      </w:rPr>
                      <w:t>4</w:t>
                    </w:r>
                    <w:r>
                      <w:rPr>
                        <w:rFonts w:ascii="Times New Roman"/>
                        <w:spacing w:val="-77"/>
                        <w:w w:val="101"/>
                        <w:position w:val="-2"/>
                        <w:sz w:val="18"/>
                      </w:rPr>
                      <w:t>0</w:t>
                    </w:r>
                    <w:r>
                      <w:rPr>
                        <w:rFonts w:ascii="Times New Roman"/>
                        <w:spacing w:val="1"/>
                        <w:w w:val="101"/>
                        <w:sz w:val="18"/>
                      </w:rPr>
                      <w:t>.</w:t>
                    </w:r>
                    <w:r>
                      <w:rPr>
                        <w:rFonts w:ascii="Times New Roman"/>
                        <w:spacing w:val="-63"/>
                        <w:w w:val="101"/>
                        <w:sz w:val="18"/>
                      </w:rPr>
                      <w:t>3</w:t>
                    </w:r>
                    <w:r>
                      <w:rPr>
                        <w:rFonts w:ascii="Times New Roman"/>
                        <w:spacing w:val="-30"/>
                        <w:w w:val="101"/>
                        <w:position w:val="-2"/>
                        <w:sz w:val="18"/>
                      </w:rPr>
                      <w:t>2</w:t>
                    </w:r>
                    <w:r>
                      <w:rPr>
                        <w:rFonts w:ascii="Times New Roman"/>
                        <w:spacing w:val="-68"/>
                        <w:w w:val="101"/>
                        <w:sz w:val="18"/>
                      </w:rPr>
                      <w:t>4</w:t>
                    </w:r>
                    <w:r>
                      <w:rPr>
                        <w:rFonts w:ascii="Times New Roman"/>
                        <w:spacing w:val="-25"/>
                        <w:w w:val="101"/>
                        <w:position w:val="-2"/>
                        <w:sz w:val="18"/>
                      </w:rPr>
                      <w:t>1</w:t>
                    </w:r>
                    <w:r>
                      <w:rPr>
                        <w:rFonts w:ascii="Times New Roman"/>
                        <w:w w:val="101"/>
                        <w:sz w:val="18"/>
                      </w:rPr>
                      <w:t>%</w:t>
                    </w:r>
                  </w:p>
                </w:txbxContent>
              </v:textbox>
            </v:shape>
            <v:shape id="_x0000_s1111" type="#_x0000_t202" style="width:1128;height:202;left:2692;position:absolute;top:2249" filled="f" stroked="f">
              <v:textbox inset="0,0,0,0">
                <w:txbxContent>
                  <w:p>
                    <w:pPr>
                      <w:spacing w:before="0" w:line="201" w:lineRule="exact"/>
                      <w:ind w:left="0" w:right="0" w:firstLine="0"/>
                      <w:jc w:val="left"/>
                      <w:rPr>
                        <w:rFonts w:ascii="Times New Roman"/>
                        <w:sz w:val="18"/>
                      </w:rPr>
                    </w:pPr>
                    <w:r>
                      <w:rPr>
                        <w:rFonts w:ascii="Times New Roman"/>
                        <w:sz w:val="18"/>
                      </w:rPr>
                      <w:t>2022 2023H1</w:t>
                    </w:r>
                  </w:p>
                </w:txbxContent>
              </v:textbox>
            </v:shape>
            <w10:wrap type="none"/>
          </v:group>
        </w:pict>
      </w:r>
    </w:p>
    <w:p>
      <w:pPr>
        <w:pStyle w:val="BodyText"/>
        <w:spacing w:before="4"/>
        <w:rPr>
          <w:rFonts w:ascii="Times New Roman"/>
          <w:sz w:val="20"/>
        </w:rPr>
      </w:pPr>
    </w:p>
    <w:p>
      <w:pPr>
        <w:tabs>
          <w:tab w:val="left" w:pos="2291"/>
        </w:tabs>
        <w:spacing w:before="1"/>
        <w:ind w:left="184" w:right="0" w:firstLine="0"/>
        <w:jc w:val="left"/>
        <w:rPr>
          <w:sz w:val="16"/>
        </w:rPr>
      </w:pPr>
      <w:r>
        <w:pict>
          <v:group id="_x0000_s1112" style="width:203.45pt;height:144.5pt;margin-top:-145.29pt;margin-left:58.73pt;mso-position-horizontal-relative:page;position:absolute;z-index:251668480" coordorigin="1175,-2906" coordsize="4069,2890">
            <v:shape id="_x0000_s1113" style="width:54;height:1979;left:1174;position:absolute;top:-2899" coordorigin="1175,-2898" coordsize="54,1979" path="m1228,-920l1228,-2898m1175,-920l1228,-920m1175,-1201l1228,-1201m1175,-1484l1228,-1484m1175,-1768l1228,-1768m1175,-2051l1228,-2051m1175,-2334l1228,-2334m1175,-2617l1228,-2617m1175,-2898l1228,-2898e" filled="f" stroked="t" strokecolor="#aeabab" strokeweight="0.75pt">
              <v:stroke dashstyle="solid"/>
              <v:path arrowok="t"/>
            </v:shape>
            <v:line id="_x0000_s1114" style="position:absolute" from="1228,-920" to="5243,-920" stroked="t" strokecolor="#d9d9d9" strokeweight="0.75pt">
              <v:stroke dashstyle="solid"/>
            </v:line>
            <v:shape id="_x0000_s1115" style="width:3944;height:1628;left:1263;position:absolute;top:-2725" coordorigin="1264,-2724" coordsize="3944,1628" path="m1264,-1465l1334,-1494,1406,-1513,1478,-1585,1550,-1580,1622,-1676,1694,-1624,1766,-1566,1838,-1542,1910,-1657,1982,-1748,2054,-1796,2126,-1897,2194,-2041,2266,-2262,2338,-2641,2410,-2627,2482,-2368,2554,-2204,2626,-2545,2698,-2724,2770,-2420,2842,-2056,2914,-1988,2986,-1796,3058,-1657,3130,-1580,3202,-1513,3274,-1532,3341,-1566,3413,-1508,3485,-1427,3557,-1388,3629,-1379,3701,-1240,3773,-1235,3845,-1264,3917,-1321,3989,-1244,4061,-1201,4133,-1153,4205,-1100,4277,-1264,4349,-1312,4421,-1312,4488,-1240,4560,-1244,4632,-1211,4704,-1163,4776,-1158,4848,-1172,4920,-1129,4992,-1110,5064,-1120,5136,-1105,5207,-1096e" filled="f" stroked="t" strokecolor="#9e3e3b" strokeweight="2.25pt">
              <v:stroke dashstyle="solid"/>
              <v:path arrowok="t"/>
            </v:shape>
            <v:shape id="_x0000_s1116" style="width:3944;height:511;left:1263;position:absolute;top:-1612" coordorigin="1264,-1611" coordsize="3944,511" path="m1264,-1139l1334,-1163,1406,-1144,1478,-1182,1550,-1220,1622,-1196,1694,-1172,1766,-1182,1838,-1148,1910,-1177,1982,-1211,2054,-1216,2126,-1326,2194,-1388,2266,-1412,2338,-1508,2410,-1470,2482,-1470,2554,-1412,2626,-1611,2698,-1436,2770,-1398,2842,-1326,2914,-1288,2986,-1283,3058,-1216,3130,-1168,3202,-1134,3274,-1153,3341,-1172,3413,-1168,3485,-1192,3557,-1134,3629,-1144,3701,-1101,3773,-1134,3845,-1129,3917,-1206,3989,-1172,4061,-1168,4133,-1182,4205,-1206,4277,-1192,4349,-1196,4421,-1187,4488,-1196,4560,-1172,4632,-1163,4704,-1134,4776,-1124,4848,-1139,4920,-1105,4992,-1110,5064,-1129,5136,-1129,5207,-1129e" filled="f" stroked="t" strokecolor="#e1b987" strokeweight="2.25pt">
              <v:stroke dashstyle="solid"/>
              <v:path arrowok="t"/>
            </v:shape>
            <v:shape id="_x0000_s1117" style="width:885;height:2851;left:1787;position:absolute;top:-2883" coordorigin="1787,-2882" coordsize="885,2851" path="m1787,-2735l1799,-2792,1830,-2839,1877,-2871,1935,-2882,2524,-2882,2582,-2871,2629,-2839,2660,-2792,2672,-2735,2672,-179,2660,-121,2629,-74,2582,-43,2524,-31,1935,-31,1877,-43,1830,-74,1799,-121,1787,-179,1787,-2735xe" filled="f" stroked="t" strokecolor="#c00000" strokeweight="1.5pt">
              <v:stroke dashstyle="solid"/>
              <v:path arrowok="t"/>
            </v:shape>
          </v:group>
        </w:pict>
      </w:r>
      <w:r>
        <w:pict>
          <v:line id="_x0000_s1118" style="mso-position-horizontal-relative:page;position:absolute;z-index:251670528" from="311pt,5.15pt" to="330.2pt,5.15pt" stroked="t" strokecolor="#9e3e3b" strokeweight="2.25pt">
            <v:stroke dashstyle="solid"/>
          </v:line>
        </w:pict>
      </w:r>
      <w:r>
        <w:pict>
          <v:line id="_x0000_s1119" style="mso-position-horizontal-relative:page;position:absolute;z-index:-251649024" from="416.35pt,5.15pt" to="435.55pt,5.15pt" stroked="t" strokecolor="#e1b987" strokeweight="2.25pt">
            <v:stroke dashstyle="solid"/>
          </v:line>
        </w:pict>
      </w:r>
      <w:r>
        <w:rPr>
          <w:spacing w:val="4"/>
          <w:sz w:val="16"/>
        </w:rPr>
        <w:t>颐</w:t>
      </w:r>
      <w:r>
        <w:rPr>
          <w:sz w:val="16"/>
        </w:rPr>
        <w:t>海国</w:t>
      </w:r>
      <w:r>
        <w:rPr>
          <w:spacing w:val="4"/>
          <w:sz w:val="16"/>
        </w:rPr>
        <w:t>际</w:t>
      </w:r>
      <w:r>
        <w:rPr>
          <w:sz w:val="16"/>
        </w:rPr>
        <w:t>营收</w:t>
      </w:r>
      <w:r>
        <w:rPr>
          <w:spacing w:val="4"/>
          <w:sz w:val="16"/>
        </w:rPr>
        <w:t>同</w:t>
      </w:r>
      <w:r>
        <w:rPr>
          <w:sz w:val="16"/>
        </w:rPr>
        <w:t>比增速</w:t>
        <w:tab/>
      </w:r>
      <w:r>
        <w:rPr>
          <w:spacing w:val="5"/>
          <w:sz w:val="16"/>
        </w:rPr>
        <w:t>天</w:t>
      </w:r>
      <w:r>
        <w:rPr>
          <w:sz w:val="16"/>
        </w:rPr>
        <w:t>味食</w:t>
      </w:r>
      <w:r>
        <w:rPr>
          <w:spacing w:val="5"/>
          <w:sz w:val="16"/>
        </w:rPr>
        <w:t>品</w:t>
      </w:r>
      <w:r>
        <w:rPr>
          <w:sz w:val="16"/>
        </w:rPr>
        <w:t>营收</w:t>
      </w:r>
      <w:r>
        <w:rPr>
          <w:spacing w:val="5"/>
          <w:sz w:val="16"/>
        </w:rPr>
        <w:t>同</w:t>
      </w:r>
      <w:r>
        <w:rPr>
          <w:sz w:val="16"/>
        </w:rPr>
        <w:t>比增速</w:t>
      </w:r>
    </w:p>
    <w:p>
      <w:pPr>
        <w:spacing w:after="0"/>
        <w:jc w:val="left"/>
        <w:rPr>
          <w:sz w:val="16"/>
        </w:rPr>
        <w:sectPr>
          <w:headerReference w:type="default" r:id="rId27"/>
          <w:footerReference w:type="default" r:id="rId28"/>
          <w:type w:val="continuous"/>
          <w:pgSz w:w="11910" w:h="16840"/>
          <w:pgMar w:top="1700" w:right="0" w:bottom="1500" w:left="440" w:header="708" w:footer="708"/>
          <w:pgNumType w:start="9"/>
          <w:cols w:num="4" w:space="708" w:equalWidth="0">
            <w:col w:w="680" w:space="216"/>
            <w:col w:w="3646" w:space="681"/>
            <w:col w:w="760" w:space="39"/>
            <w:col w:w="5448" w:space="0"/>
          </w:cols>
        </w:sectPr>
      </w:pPr>
    </w:p>
    <w:p>
      <w:pPr>
        <w:pStyle w:val="BodyText"/>
        <w:rPr>
          <w:sz w:val="13"/>
        </w:rPr>
      </w:pPr>
    </w:p>
    <w:p>
      <w:pPr>
        <w:tabs>
          <w:tab w:val="left" w:pos="5346"/>
        </w:tabs>
        <w:spacing w:line="20" w:lineRule="exact"/>
        <w:ind w:left="121" w:right="0" w:firstLine="0"/>
        <w:rPr>
          <w:sz w:val="2"/>
        </w:rPr>
      </w:pPr>
      <w:r>
        <w:rPr>
          <w:sz w:val="2"/>
        </w:rPr>
        <w:pict>
          <v:group id="_x0000_i1120" style="width:249.5pt;height:0.5pt;mso-position-horizontal-relative:char;mso-position-vertical-relative:line" coordorigin="0,0" coordsize="4990,10">
            <v:line id="_x0000_s1121" style="position:absolute" from="0,5" to="4990,5" stroked="t" strokecolor="#9c4a45" strokeweight="0.48pt">
              <v:stroke dashstyle="solid"/>
            </v:line>
            <w10:wrap type="none"/>
          </v:group>
        </w:pict>
      </w:r>
      <w:r>
        <w:rPr>
          <w:sz w:val="2"/>
        </w:rPr>
        <w:tab/>
      </w:r>
      <w:r>
        <w:rPr>
          <w:sz w:val="2"/>
        </w:rPr>
        <w:pict>
          <v:group id="_x0000_i1122" style="width:249.5pt;height:0.5pt;mso-position-horizontal-relative:char;mso-position-vertical-relative:line" coordorigin="0,0" coordsize="4990,10">
            <v:line id="_x0000_s1123" style="position:absolute" from="0,5" to="4989,5" stroked="t" strokecolor="#9c4a45" strokeweight="0.48pt">
              <v:stroke dashstyle="solid"/>
            </v:line>
            <w10:wrap type="none"/>
          </v:group>
        </w:pict>
      </w:r>
    </w:p>
    <w:p>
      <w:pPr>
        <w:tabs>
          <w:tab w:val="left" w:pos="5351"/>
        </w:tabs>
        <w:spacing w:before="65"/>
        <w:ind w:left="126" w:right="0" w:firstLine="0"/>
        <w:jc w:val="left"/>
        <w:rPr>
          <w:sz w:val="15"/>
        </w:rPr>
      </w:pPr>
      <w:r>
        <w:t xml:space="preserve">数据来源： ， </w:t>
        <w:tab/>
        <w:t xml:space="preserve">数据来源： ， </w:t>
      </w:r>
    </w:p>
    <w:p>
      <w:pPr>
        <w:pStyle w:val="BodyText"/>
        <w:spacing w:before="7"/>
        <w:rPr>
          <w:sz w:val="11"/>
        </w:rPr>
      </w:pPr>
    </w:p>
    <w:p>
      <w:pPr>
        <w:pStyle w:val="ListParagraph"/>
        <w:numPr>
          <w:ilvl w:val="0"/>
          <w:numId w:val="13"/>
        </w:numPr>
        <w:tabs>
          <w:tab w:val="left" w:pos="3387"/>
        </w:tabs>
        <w:spacing w:before="80" w:after="0" w:line="328" w:lineRule="auto"/>
        <w:ind w:left="3387" w:right="1117" w:hanging="423"/>
        <w:jc w:val="both"/>
        <w:rPr>
          <w:sz w:val="21"/>
        </w:rPr>
      </w:pPr>
      <w:r>
        <w:rPr>
          <w:b/>
          <w:spacing w:val="-6"/>
          <w:sz w:val="21"/>
        </w:rPr>
        <w:t>阵痛回调阶段</w:t>
      </w:r>
      <w:r>
        <w:rPr>
          <w:b/>
          <w:sz w:val="21"/>
        </w:rPr>
        <w:t>（</w:t>
      </w:r>
      <w:r>
        <w:rPr>
          <w:rFonts w:ascii="Times New Roman" w:eastAsia="Times New Roman" w:hAnsi="Times New Roman"/>
          <w:b/>
          <w:sz w:val="21"/>
        </w:rPr>
        <w:t>2021-2022</w:t>
      </w:r>
      <w:r>
        <w:rPr>
          <w:rFonts w:ascii="Times New Roman" w:eastAsia="Times New Roman" w:hAnsi="Times New Roman"/>
          <w:b/>
          <w:spacing w:val="3"/>
          <w:sz w:val="21"/>
        </w:rPr>
        <w:t xml:space="preserve"> </w:t>
      </w:r>
      <w:r>
        <w:rPr>
          <w:b/>
          <w:spacing w:val="4"/>
          <w:sz w:val="21"/>
        </w:rPr>
        <w:t>年</w:t>
      </w:r>
      <w:r>
        <w:rPr>
          <w:b/>
          <w:spacing w:val="-34"/>
          <w:sz w:val="21"/>
        </w:rPr>
        <w:t>）：</w:t>
      </w:r>
      <w:r>
        <w:rPr>
          <w:b/>
          <w:spacing w:val="-4"/>
          <w:sz w:val="21"/>
        </w:rPr>
        <w:t>高景气度下行业竞争加剧，后疫情时代热度</w:t>
      </w:r>
      <w:r>
        <w:rPr>
          <w:b/>
          <w:spacing w:val="-15"/>
          <w:sz w:val="21"/>
        </w:rPr>
        <w:t>减退市场需求疲软。</w:t>
      </w:r>
      <w:r>
        <w:rPr>
          <w:spacing w:val="-11"/>
          <w:sz w:val="21"/>
        </w:rPr>
        <w:t>复调行业在旺盛需求下迅速扩容，积累众多新进入企业。</w:t>
      </w:r>
      <w:r>
        <w:rPr>
          <w:spacing w:val="-10"/>
          <w:sz w:val="21"/>
        </w:rPr>
        <w:t xml:space="preserve">据天眼查数据显示，截至 </w:t>
      </w:r>
      <w:r>
        <w:rPr>
          <w:rFonts w:ascii="Times New Roman" w:eastAsia="Times New Roman" w:hAnsi="Times New Roman"/>
          <w:sz w:val="21"/>
        </w:rPr>
        <w:t>2021</w:t>
      </w:r>
      <w:r>
        <w:rPr>
          <w:rFonts w:ascii="Times New Roman" w:eastAsia="Times New Roman" w:hAnsi="Times New Roman"/>
          <w:spacing w:val="7"/>
          <w:sz w:val="21"/>
        </w:rPr>
        <w:t xml:space="preserve"> </w:t>
      </w:r>
      <w:r>
        <w:rPr>
          <w:spacing w:val="-7"/>
          <w:sz w:val="21"/>
        </w:rPr>
        <w:t xml:space="preserve">年底，我国已有超过 </w:t>
      </w:r>
      <w:r>
        <w:rPr>
          <w:rFonts w:ascii="Times New Roman" w:eastAsia="Times New Roman" w:hAnsi="Times New Roman"/>
          <w:sz w:val="21"/>
        </w:rPr>
        <w:t>4800</w:t>
      </w:r>
      <w:r>
        <w:rPr>
          <w:rFonts w:ascii="Times New Roman" w:eastAsia="Times New Roman" w:hAnsi="Times New Roman"/>
          <w:spacing w:val="13"/>
          <w:sz w:val="21"/>
        </w:rPr>
        <w:t xml:space="preserve"> </w:t>
      </w:r>
      <w:r>
        <w:rPr>
          <w:spacing w:val="-4"/>
          <w:sz w:val="21"/>
        </w:rPr>
        <w:t>家复合调味品相关</w:t>
      </w:r>
      <w:r>
        <w:rPr>
          <w:spacing w:val="-7"/>
          <w:sz w:val="21"/>
        </w:rPr>
        <w:t xml:space="preserve">企业，其中 </w:t>
      </w:r>
      <w:r>
        <w:rPr>
          <w:rFonts w:ascii="Times New Roman" w:eastAsia="Times New Roman" w:hAnsi="Times New Roman"/>
          <w:sz w:val="21"/>
        </w:rPr>
        <w:t>2800</w:t>
      </w:r>
      <w:r>
        <w:rPr>
          <w:rFonts w:ascii="Times New Roman" w:eastAsia="Times New Roman" w:hAnsi="Times New Roman"/>
          <w:spacing w:val="11"/>
          <w:sz w:val="21"/>
        </w:rPr>
        <w:t xml:space="preserve"> </w:t>
      </w:r>
      <w:r>
        <w:rPr>
          <w:spacing w:val="-7"/>
          <w:sz w:val="21"/>
        </w:rPr>
        <w:t xml:space="preserve">余家企业成立于 </w:t>
      </w:r>
      <w:r>
        <w:rPr>
          <w:rFonts w:ascii="Times New Roman" w:eastAsia="Times New Roman" w:hAnsi="Times New Roman"/>
          <w:sz w:val="21"/>
        </w:rPr>
        <w:t>5</w:t>
      </w:r>
      <w:r>
        <w:rPr>
          <w:rFonts w:ascii="Times New Roman" w:eastAsia="Times New Roman" w:hAnsi="Times New Roman"/>
          <w:spacing w:val="15"/>
          <w:sz w:val="21"/>
        </w:rPr>
        <w:t xml:space="preserve"> </w:t>
      </w:r>
      <w:r>
        <w:rPr>
          <w:spacing w:val="-8"/>
          <w:sz w:val="21"/>
        </w:rPr>
        <w:t xml:space="preserve">年内，占比 </w:t>
      </w:r>
      <w:r>
        <w:rPr>
          <w:rFonts w:ascii="Times New Roman" w:eastAsia="Times New Roman" w:hAnsi="Times New Roman"/>
          <w:spacing w:val="-3"/>
          <w:sz w:val="21"/>
        </w:rPr>
        <w:t>59%</w:t>
      </w:r>
      <w:r>
        <w:rPr>
          <w:spacing w:val="-8"/>
          <w:sz w:val="21"/>
        </w:rPr>
        <w:t>。 同时，传统调味品企</w:t>
      </w:r>
      <w:r>
        <w:rPr>
          <w:spacing w:val="-12"/>
          <w:sz w:val="21"/>
        </w:rPr>
        <w:t xml:space="preserve">业也开始加速布局复合调味品赛道，抢占市场份额，例如海天在 </w:t>
      </w:r>
      <w:r>
        <w:rPr>
          <w:rFonts w:ascii="Times New Roman" w:eastAsia="Times New Roman" w:hAnsi="Times New Roman"/>
          <w:sz w:val="21"/>
        </w:rPr>
        <w:t>2020</w:t>
      </w:r>
      <w:r>
        <w:rPr>
          <w:rFonts w:ascii="Times New Roman" w:eastAsia="Times New Roman" w:hAnsi="Times New Roman"/>
          <w:spacing w:val="14"/>
          <w:sz w:val="21"/>
        </w:rPr>
        <w:t xml:space="preserve"> </w:t>
      </w:r>
      <w:r>
        <w:rPr>
          <w:spacing w:val="-6"/>
          <w:sz w:val="21"/>
        </w:rPr>
        <w:t>年底率</w:t>
      </w:r>
      <w:r>
        <w:rPr>
          <w:spacing w:val="-4"/>
          <w:sz w:val="21"/>
        </w:rPr>
        <w:t>先推出了中式复合调味料以及火锅底料。因此，复合调味品行业在景气度迅</w:t>
      </w:r>
    </w:p>
    <w:p>
      <w:pPr>
        <w:spacing w:after="0" w:line="328" w:lineRule="auto"/>
        <w:jc w:val="both"/>
        <w:rPr>
          <w:sz w:val="21"/>
        </w:rPr>
        <w:sectPr>
          <w:headerReference w:type="default" r:id="rId29"/>
          <w:footerReference w:type="default" r:id="rId30"/>
          <w:type w:val="continuous"/>
          <w:pgSz w:w="11910" w:h="16840"/>
          <w:pgMar w:top="1700" w:right="0" w:bottom="1500" w:left="440" w:header="708" w:footer="708"/>
          <w:pgNumType w:start="10"/>
          <w:cols w:space="708"/>
        </w:sectPr>
      </w:pPr>
    </w:p>
    <w:p>
      <w:pPr>
        <w:pStyle w:val="BodyText"/>
        <w:spacing w:before="161" w:line="328" w:lineRule="auto"/>
        <w:ind w:left="3387" w:right="1117"/>
        <w:jc w:val="both"/>
      </w:pPr>
      <w:r>
        <w:rPr>
          <w:spacing w:val="-4"/>
        </w:rPr>
        <w:t>速攀升的同时，也伴随着更加激烈的竞争。</w:t>
      </w:r>
      <w:r>
        <w:rPr>
          <w:b/>
          <w:spacing w:val="-1"/>
        </w:rPr>
        <w:t>随后，因后疫情时代消费需求相</w:t>
      </w:r>
      <w:r>
        <w:rPr>
          <w:b/>
          <w:spacing w:val="-13"/>
          <w:w w:val="100"/>
        </w:rPr>
        <w:t>对偏弱，复调市场开始调整。</w:t>
      </w:r>
      <w:r>
        <w:rPr>
          <w:spacing w:val="-5"/>
          <w:w w:val="100"/>
          <w:u w:val="single"/>
        </w:rPr>
        <w:t>我们认为行业景气度回调的原因如下</w:t>
      </w:r>
      <w:r>
        <w:rPr>
          <w:spacing w:val="-126"/>
          <w:w w:val="100"/>
          <w:u w:val="single"/>
        </w:rPr>
        <w:t>：</w:t>
      </w:r>
      <w:r>
        <w:rPr>
          <w:spacing w:val="-2"/>
          <w:w w:val="100"/>
          <w:u w:val="single"/>
        </w:rPr>
        <w:t>（</w:t>
      </w:r>
      <w:r>
        <w:rPr>
          <w:rFonts w:ascii="Times New Roman" w:eastAsia="Times New Roman"/>
          <w:spacing w:val="-2"/>
          <w:w w:val="100"/>
        </w:rPr>
        <w:t>1</w:t>
      </w:r>
      <w:r>
        <w:rPr>
          <w:spacing w:val="-65"/>
          <w:w w:val="100"/>
        </w:rPr>
        <w:t>）</w:t>
      </w:r>
      <w:r>
        <w:rPr>
          <w:rFonts w:ascii="Times New Roman" w:eastAsia="Times New Roman"/>
          <w:spacing w:val="-2"/>
          <w:w w:val="100"/>
        </w:rPr>
        <w:t>2021</w:t>
      </w:r>
      <w:r>
        <w:rPr>
          <w:spacing w:val="-4"/>
        </w:rPr>
        <w:t>年疫情趋向稳定，外出就餐逐渐恢复，消费者居家烹饪次数减少，分流部分</w:t>
      </w:r>
      <w:r>
        <w:rPr>
          <w:spacing w:val="-3"/>
        </w:rPr>
        <w:t>对复合调味品的需求；</w:t>
      </w:r>
      <w:r>
        <w:rPr>
          <w:spacing w:val="-15"/>
        </w:rPr>
        <w:t>（</w:t>
      </w:r>
      <w:r>
        <w:rPr>
          <w:rFonts w:ascii="Times New Roman" w:eastAsia="Times New Roman"/>
          <w:spacing w:val="-15"/>
        </w:rPr>
        <w:t>2</w:t>
      </w:r>
      <w:r>
        <w:rPr>
          <w:spacing w:val="-15"/>
        </w:rPr>
        <w:t>）</w:t>
      </w:r>
      <w:r>
        <w:rPr>
          <w:spacing w:val="-7"/>
        </w:rPr>
        <w:t>渠道库存积压，特别是企业推出大量新品，需要</w:t>
      </w:r>
      <w:r>
        <w:rPr>
          <w:spacing w:val="-1"/>
          <w:w w:val="100"/>
        </w:rPr>
        <w:t>进行库存去化</w:t>
      </w:r>
      <w:r>
        <w:rPr>
          <w:spacing w:val="-149"/>
          <w:w w:val="100"/>
        </w:rPr>
        <w:t>；</w:t>
      </w:r>
      <w:r>
        <w:rPr>
          <w:w w:val="100"/>
        </w:rPr>
        <w:t>（</w:t>
      </w:r>
      <w:r>
        <w:rPr>
          <w:rFonts w:ascii="Times New Roman" w:eastAsia="Times New Roman"/>
          <w:spacing w:val="-5"/>
          <w:w w:val="100"/>
        </w:rPr>
        <w:t>3</w:t>
      </w:r>
      <w:r>
        <w:rPr>
          <w:spacing w:val="-72"/>
          <w:w w:val="100"/>
        </w:rPr>
        <w:t>）</w:t>
      </w:r>
      <w:r>
        <w:rPr>
          <w:spacing w:val="-10"/>
          <w:w w:val="100"/>
        </w:rPr>
        <w:t>复合调味品行业竞争格局恶化，产能过剩导致供大过求，</w:t>
      </w:r>
      <w:r>
        <w:rPr>
          <w:spacing w:val="-10"/>
        </w:rPr>
        <w:t>且行业同质化严重，企业难以生产出有别于竞争对手的爆款产品；</w:t>
      </w:r>
      <w:r>
        <w:rPr>
          <w:spacing w:val="-18"/>
        </w:rPr>
        <w:t>（</w:t>
      </w:r>
      <w:r>
        <w:rPr>
          <w:rFonts w:ascii="Times New Roman" w:eastAsia="Times New Roman"/>
          <w:spacing w:val="-18"/>
        </w:rPr>
        <w:t>4</w:t>
      </w:r>
      <w:r>
        <w:rPr>
          <w:spacing w:val="-18"/>
        </w:rPr>
        <w:t>）</w:t>
      </w:r>
      <w:r>
        <w:rPr>
          <w:spacing w:val="-7"/>
        </w:rPr>
        <w:t>渠道</w:t>
      </w:r>
      <w:r>
        <w:rPr>
          <w:spacing w:val="-8"/>
        </w:rPr>
        <w:t xml:space="preserve">红利暂时褪去，经历了 </w:t>
      </w:r>
      <w:r>
        <w:rPr>
          <w:rFonts w:ascii="Times New Roman" w:eastAsia="Times New Roman"/>
        </w:rPr>
        <w:t xml:space="preserve">2020 </w:t>
      </w:r>
      <w:r>
        <w:rPr>
          <w:spacing w:val="-10"/>
        </w:rPr>
        <w:t>年的快速发展，渠道扩张迅速，渠道治理亟需调</w:t>
      </w:r>
      <w:r>
        <w:rPr>
          <w:spacing w:val="-5"/>
        </w:rPr>
        <w:t>整优化；</w:t>
      </w:r>
      <w:r>
        <w:rPr>
          <w:spacing w:val="-18"/>
        </w:rPr>
        <w:t>（</w:t>
      </w:r>
      <w:r>
        <w:rPr>
          <w:rFonts w:ascii="Times New Roman" w:eastAsia="Times New Roman"/>
          <w:spacing w:val="-18"/>
        </w:rPr>
        <w:t>5</w:t>
      </w:r>
      <w:r>
        <w:rPr>
          <w:spacing w:val="-18"/>
        </w:rPr>
        <w:t>）</w:t>
      </w:r>
      <w:r>
        <w:rPr>
          <w:spacing w:val="-7"/>
        </w:rPr>
        <w:t>消费者教育和市场渗透率有待提升，且需长时间培养消费者心</w:t>
      </w:r>
      <w:r>
        <w:rPr>
          <w:spacing w:val="-6"/>
        </w:rPr>
        <w:t>智。基于此，复合调味品行业进入阵痛期，行业步入调整期。</w:t>
      </w:r>
    </w:p>
    <w:p>
      <w:pPr>
        <w:pStyle w:val="BodyText"/>
        <w:spacing w:line="260" w:lineRule="exact"/>
        <w:ind w:left="126"/>
        <w:jc w:val="both"/>
      </w:pPr>
      <w:r>
        <w:rPr>
          <w:color w:val="FFFFFF"/>
          <w:shd w:val="clear" w:color="auto" w:fill="9C4A45"/>
        </w:rPr>
        <w:t>图</w:t>
      </w:r>
      <w:r>
        <w:rPr>
          <w:rFonts w:ascii="Times New Roman" w:eastAsia="Times New Roman"/>
          <w:color w:val="FFFFFF"/>
          <w:shd w:val="clear" w:color="auto" w:fill="9C4A45"/>
        </w:rPr>
        <w:t xml:space="preserve">6.2009-2021 </w:t>
      </w:r>
      <w:r>
        <w:rPr>
          <w:color w:val="FFFFFF"/>
          <w:shd w:val="clear" w:color="auto" w:fill="9C4A45"/>
        </w:rPr>
        <w:t>年中国新增调味品企业注册数量</w:t>
      </w:r>
      <w:r>
        <w:rPr>
          <w:color w:val="FFFFFF"/>
        </w:rPr>
        <w:t xml:space="preserve"> </w:t>
      </w:r>
      <w:r>
        <w:rPr>
          <w:color w:val="FFFFFF"/>
          <w:shd w:val="clear" w:color="auto" w:fill="9C4A45"/>
        </w:rPr>
        <w:t>图</w:t>
      </w:r>
      <w:r>
        <w:rPr>
          <w:rFonts w:ascii="Times New Roman" w:eastAsia="Times New Roman"/>
          <w:color w:val="FFFFFF"/>
          <w:shd w:val="clear" w:color="auto" w:fill="9C4A45"/>
        </w:rPr>
        <w:t xml:space="preserve">7.2019-2023 </w:t>
      </w:r>
      <w:r>
        <w:rPr>
          <w:color w:val="FFFFFF"/>
          <w:shd w:val="clear" w:color="auto" w:fill="9C4A45"/>
        </w:rPr>
        <w:t xml:space="preserve">天味食品与颐海国际单季度营收增速   </w:t>
      </w:r>
    </w:p>
    <w:p>
      <w:pPr>
        <w:spacing w:after="0" w:line="260" w:lineRule="exact"/>
        <w:jc w:val="both"/>
        <w:sectPr>
          <w:headerReference w:type="default" r:id="rId31"/>
          <w:footerReference w:type="default" r:id="rId32"/>
          <w:pgSz w:w="11910" w:h="16840"/>
          <w:pgMar w:top="1700" w:right="0" w:bottom="1500" w:left="440" w:header="708" w:footer="708"/>
          <w:pgNumType w:start="11"/>
          <w:cols w:space="708"/>
        </w:sectPr>
      </w:pPr>
    </w:p>
    <w:p>
      <w:pPr>
        <w:pStyle w:val="BodyText"/>
        <w:spacing w:before="10"/>
        <w:rPr>
          <w:sz w:val="18"/>
        </w:rPr>
      </w:pPr>
    </w:p>
    <w:p>
      <w:pPr>
        <w:spacing w:before="0"/>
        <w:ind w:left="0" w:right="0" w:firstLine="0"/>
        <w:jc w:val="right"/>
        <w:rPr>
          <w:rFonts w:ascii="Times New Roman"/>
          <w:sz w:val="18"/>
        </w:rPr>
      </w:pPr>
      <w:r>
        <w:rPr>
          <w:rFonts w:ascii="Times New Roman"/>
          <w:spacing w:val="-1"/>
          <w:sz w:val="18"/>
        </w:rPr>
        <w:t>100000</w:t>
      </w:r>
    </w:p>
    <w:p>
      <w:pPr>
        <w:pStyle w:val="BodyText"/>
        <w:spacing w:before="9"/>
        <w:rPr>
          <w:rFonts w:ascii="Times New Roman"/>
          <w:sz w:val="15"/>
        </w:rPr>
      </w:pPr>
    </w:p>
    <w:p>
      <w:pPr>
        <w:spacing w:before="1"/>
        <w:ind w:left="0" w:right="1" w:firstLine="0"/>
        <w:jc w:val="right"/>
        <w:rPr>
          <w:rFonts w:ascii="Times New Roman"/>
          <w:sz w:val="18"/>
        </w:rPr>
      </w:pPr>
      <w:r>
        <w:rPr>
          <w:rFonts w:ascii="Times New Roman"/>
          <w:spacing w:val="-1"/>
          <w:sz w:val="18"/>
        </w:rPr>
        <w:t>80000</w:t>
      </w:r>
    </w:p>
    <w:p>
      <w:pPr>
        <w:pStyle w:val="BodyText"/>
        <w:spacing w:before="9"/>
        <w:rPr>
          <w:rFonts w:ascii="Times New Roman"/>
          <w:sz w:val="15"/>
        </w:rPr>
      </w:pPr>
    </w:p>
    <w:p>
      <w:pPr>
        <w:spacing w:before="0"/>
        <w:ind w:left="0" w:right="1" w:firstLine="0"/>
        <w:jc w:val="right"/>
        <w:rPr>
          <w:rFonts w:ascii="Times New Roman"/>
          <w:sz w:val="18"/>
        </w:rPr>
      </w:pPr>
      <w:r>
        <w:rPr>
          <w:rFonts w:ascii="Times New Roman"/>
          <w:spacing w:val="-1"/>
          <w:sz w:val="18"/>
        </w:rPr>
        <w:t>60000</w:t>
      </w:r>
    </w:p>
    <w:p>
      <w:pPr>
        <w:pStyle w:val="BodyText"/>
        <w:spacing w:before="9"/>
        <w:rPr>
          <w:rFonts w:ascii="Times New Roman"/>
          <w:sz w:val="15"/>
        </w:rPr>
      </w:pPr>
    </w:p>
    <w:p>
      <w:pPr>
        <w:spacing w:before="0"/>
        <w:ind w:left="0" w:right="1" w:firstLine="0"/>
        <w:jc w:val="right"/>
        <w:rPr>
          <w:rFonts w:ascii="Times New Roman"/>
          <w:sz w:val="18"/>
        </w:rPr>
      </w:pPr>
      <w:r>
        <w:rPr>
          <w:rFonts w:ascii="Times New Roman"/>
          <w:spacing w:val="-1"/>
          <w:sz w:val="18"/>
        </w:rPr>
        <w:t>40000</w:t>
      </w:r>
    </w:p>
    <w:p>
      <w:pPr>
        <w:pStyle w:val="BodyText"/>
        <w:spacing w:before="9"/>
        <w:rPr>
          <w:rFonts w:ascii="Times New Roman"/>
          <w:sz w:val="15"/>
        </w:rPr>
      </w:pPr>
    </w:p>
    <w:p>
      <w:pPr>
        <w:spacing w:before="1"/>
        <w:ind w:left="0" w:right="1" w:firstLine="0"/>
        <w:jc w:val="right"/>
        <w:rPr>
          <w:rFonts w:ascii="Times New Roman"/>
          <w:sz w:val="18"/>
        </w:rPr>
      </w:pPr>
      <w:r>
        <w:rPr>
          <w:rFonts w:ascii="Times New Roman"/>
          <w:spacing w:val="-1"/>
          <w:sz w:val="18"/>
        </w:rPr>
        <w:t>20000</w:t>
      </w:r>
    </w:p>
    <w:p>
      <w:pPr>
        <w:pStyle w:val="BodyText"/>
        <w:spacing w:before="8"/>
        <w:rPr>
          <w:rFonts w:ascii="Times New Roman"/>
          <w:sz w:val="15"/>
        </w:rPr>
      </w:pPr>
    </w:p>
    <w:p>
      <w:pPr>
        <w:spacing w:before="0"/>
        <w:ind w:left="0" w:right="0" w:firstLine="0"/>
        <w:jc w:val="right"/>
        <w:rPr>
          <w:rFonts w:ascii="Times New Roman"/>
          <w:sz w:val="18"/>
        </w:rPr>
      </w:pPr>
      <w:r>
        <w:rPr>
          <w:rFonts w:ascii="Times New Roman"/>
          <w:w w:val="101"/>
          <w:sz w:val="18"/>
        </w:rPr>
        <w:t>0</w:t>
      </w:r>
    </w:p>
    <w:p>
      <w:pPr>
        <w:pStyle w:val="BodyText"/>
        <w:spacing w:before="11"/>
        <w:rPr>
          <w:rFonts w:ascii="Times New Roman"/>
          <w:sz w:val="18"/>
        </w:rPr>
      </w:pPr>
      <w:r>
        <w:br w:type="column"/>
      </w:r>
    </w:p>
    <w:p>
      <w:pPr>
        <w:pStyle w:val="BodyText"/>
        <w:ind w:left="102" w:right="-130"/>
        <w:rPr>
          <w:rFonts w:ascii="Times New Roman"/>
          <w:sz w:val="20"/>
        </w:rPr>
      </w:pPr>
      <w:r>
        <w:rPr>
          <w:rFonts w:ascii="Times New Roman"/>
          <w:sz w:val="20"/>
        </w:rPr>
        <w:pict>
          <v:group id="_x0000_i1124" style="width:192.1pt;height:104.35pt;mso-position-horizontal-relative:char;mso-position-vertical-relative:line" coordorigin="0,0" coordsize="3842,2087">
            <v:line id="_x0000_s1125" style="position:absolute" from="156,1613" to="156,2079" stroked="t" strokecolor="#b34745" strokeweight="4.32pt">
              <v:stroke dashstyle="solid"/>
            </v:line>
            <v:rect id="_x0000_s1126" style="width:87;height:466;left:112;position:absolute;top:1613" filled="f" stroked="t" strokecolor="#b34745" strokeweight="0.75pt">
              <v:stroke dashstyle="solid"/>
            </v:rect>
            <v:line id="_x0000_s1127" style="position:absolute" from="8,2079" to="8,136" stroked="t" strokecolor="#aeabab" strokeweight="0.75pt">
              <v:stroke dashstyle="solid"/>
            </v:line>
            <v:line id="_x0000_s1128" style="position:absolute" from="8,2079" to="61,2079" stroked="t" strokecolor="#aeabab" strokeweight="0.75pt">
              <v:stroke dashstyle="solid"/>
            </v:line>
            <v:line id="_x0000_s1129" style="position:absolute" from="8,1690" to="61,1690" stroked="t" strokecolor="#aeabab" strokeweight="0.75pt">
              <v:stroke dashstyle="solid"/>
            </v:line>
            <v:line id="_x0000_s1130" style="position:absolute" from="8,1301" to="61,1301" stroked="t" strokecolor="#aeabab" strokeweight="0.75pt">
              <v:stroke dashstyle="solid"/>
            </v:line>
            <v:line id="_x0000_s1131" style="position:absolute" from="8,913" to="61,913" stroked="t" strokecolor="#aeabab" strokeweight="0.75pt">
              <v:stroke dashstyle="solid"/>
            </v:line>
            <v:line id="_x0000_s1132" style="position:absolute" from="8,524" to="61,524" stroked="t" strokecolor="#aeabab" strokeweight="0.75pt">
              <v:stroke dashstyle="solid"/>
            </v:line>
            <v:line id="_x0000_s1133" style="position:absolute" from="8,136" to="61,136" stroked="t" strokecolor="#aeabab" strokeweight="0.75pt">
              <v:stroke dashstyle="solid"/>
            </v:line>
            <v:line id="_x0000_s1134" style="position:absolute" from="449,1748" to="449,2079" stroked="t" strokecolor="#b34745" strokeweight="4.32pt">
              <v:stroke dashstyle="solid"/>
            </v:line>
            <v:rect id="_x0000_s1135" style="width:87;height:331;left:405;position:absolute;top:1747" filled="f" stroked="t" strokecolor="#b34745" strokeweight="0.75pt">
              <v:stroke dashstyle="solid"/>
            </v:rect>
            <v:line id="_x0000_s1136" style="position:absolute" from="746,1748" to="746,2079" stroked="t" strokecolor="#b34745" strokeweight="4.32pt">
              <v:stroke dashstyle="solid"/>
            </v:line>
            <v:rect id="_x0000_s1137" style="width:87;height:331;left:702;position:absolute;top:1747" filled="f" stroked="t" strokecolor="#b34745" strokeweight="0.75pt">
              <v:stroke dashstyle="solid"/>
            </v:rect>
            <v:line id="_x0000_s1138" style="position:absolute" from="1039,1777" to="1039,2079" stroked="t" strokecolor="#b34745" strokeweight="4.32pt">
              <v:stroke dashstyle="solid"/>
            </v:line>
            <v:rect id="_x0000_s1139" style="width:87;height:303;left:995;position:absolute;top:1776" filled="f" stroked="t" strokecolor="#b34745" strokeweight="0.75pt">
              <v:stroke dashstyle="solid"/>
            </v:rect>
            <v:line id="_x0000_s1140" style="position:absolute" from="1334,1753" to="1334,2079" stroked="t" strokecolor="#b34745" strokeweight="4.08pt">
              <v:stroke dashstyle="solid"/>
            </v:line>
            <v:rect id="_x0000_s1141" style="width:82;height:327;left:1293;position:absolute;top:1752" filled="f" stroked="t" strokecolor="#b34745" strokeweight="0.75pt">
              <v:stroke dashstyle="solid"/>
            </v:rect>
            <v:line id="_x0000_s1142" style="position:absolute" from="1629,1709" to="1629,2079" stroked="t" strokecolor="#b34745" strokeweight="4.32pt">
              <v:stroke dashstyle="solid"/>
            </v:line>
            <v:rect id="_x0000_s1143" style="width:87;height:370;left:1586;position:absolute;top:1709" filled="f" stroked="t" strokecolor="#b34745" strokeweight="0.75pt">
              <v:stroke dashstyle="solid"/>
            </v:rect>
            <v:line id="_x0000_s1144" style="position:absolute" from="1925,1450" to="1925,2079" stroked="t" strokecolor="#b34745" strokeweight="4.08pt">
              <v:stroke dashstyle="solid"/>
            </v:line>
            <v:rect id="_x0000_s1145" style="width:82;height:629;left:1883;position:absolute;top:1450" filled="f" stroked="t" strokecolor="#b34745" strokeweight="0.75pt">
              <v:stroke dashstyle="solid"/>
            </v:rect>
            <v:line id="_x0000_s1146" style="position:absolute" from="2220,1244" to="2220,2079" stroked="t" strokecolor="#b34745" strokeweight="4.32pt">
              <v:stroke dashstyle="solid"/>
            </v:line>
            <v:rect id="_x0000_s1147" style="width:87;height:835;left:2176;position:absolute;top:1243" filled="f" stroked="t" strokecolor="#b34745" strokeweight="0.75pt">
              <v:stroke dashstyle="solid"/>
            </v:rect>
            <v:line id="_x0000_s1148" style="position:absolute" from="2513,1037" to="2513,2079" stroked="t" strokecolor="#b34745" strokeweight="4.32pt">
              <v:stroke dashstyle="solid"/>
            </v:line>
            <v:rect id="_x0000_s1149" style="width:87;height:1042;left:2469;position:absolute;top:1037" filled="f" stroked="t" strokecolor="#b34745" strokeweight="0.75pt">
              <v:stroke dashstyle="solid"/>
            </v:rect>
            <v:line id="_x0000_s1150" style="position:absolute" from="2810,826" to="2810,2079" stroked="t" strokecolor="#b34745" strokeweight="4.32pt">
              <v:stroke dashstyle="solid"/>
            </v:line>
            <v:rect id="_x0000_s1151" style="width:87;height:1253;left:2766;position:absolute;top:826" filled="f" stroked="t" strokecolor="#b34745" strokeweight="0.75pt">
              <v:stroke dashstyle="solid"/>
            </v:rect>
            <v:line id="_x0000_s1152" style="position:absolute" from="3103,461" to="3103,2079" stroked="t" strokecolor="#b34745" strokeweight="4.32pt">
              <v:stroke dashstyle="solid"/>
            </v:line>
            <v:rect id="_x0000_s1153" style="width:87;height:1618;left:3059;position:absolute;top:461" filled="f" stroked="t" strokecolor="#b34745" strokeweight="0.75pt">
              <v:stroke dashstyle="solid"/>
            </v:rect>
            <v:line id="_x0000_s1154" style="position:absolute" from="3401,313" to="3401,2079" stroked="t" strokecolor="#b34745" strokeweight="4.32pt">
              <v:stroke dashstyle="solid"/>
            </v:line>
            <v:rect id="_x0000_s1155" style="width:87;height:1767;left:3357;position:absolute;top:312" filled="f" stroked="t" strokecolor="#b34745" strokeweight="0.75pt">
              <v:stroke dashstyle="solid"/>
            </v:rect>
            <v:line id="_x0000_s1156" style="position:absolute" from="3693,1383" to="3693,2079" stroked="t" strokecolor="#b34745" strokeweight="4.32pt">
              <v:stroke dashstyle="solid"/>
            </v:line>
            <v:rect id="_x0000_s1157" style="width:87;height:696;left:3650;position:absolute;top:1383" filled="f" stroked="t" strokecolor="#b34745" strokeweight="0.75pt">
              <v:stroke dashstyle="solid"/>
            </v:rect>
            <v:line id="_x0000_s1158" style="position:absolute" from="8,2079" to="3841,2079" stroked="t" strokecolor="#d9d9d9" strokeweight="0.75pt">
              <v:stroke dashstyle="solid"/>
            </v:line>
            <v:shape id="_x0000_s1159" type="#_x0000_t202" style="width:527;height:224;left:3145;position:absolute" filled="f" stroked="f">
              <v:textbox inset="0,0,0,0">
                <w:txbxContent>
                  <w:p>
                    <w:pPr>
                      <w:spacing w:before="0" w:line="223" w:lineRule="exact"/>
                      <w:ind w:left="0" w:right="0" w:firstLine="0"/>
                      <w:jc w:val="left"/>
                      <w:rPr>
                        <w:rFonts w:ascii="Times New Roman"/>
                        <w:sz w:val="20"/>
                      </w:rPr>
                    </w:pPr>
                    <w:r>
                      <w:rPr>
                        <w:rFonts w:ascii="Times New Roman"/>
                        <w:sz w:val="20"/>
                      </w:rPr>
                      <w:t>90991</w:t>
                    </w:r>
                  </w:p>
                </w:txbxContent>
              </v:textbox>
            </v:shape>
            <w10:wrap type="none"/>
          </v:group>
        </w:pict>
      </w:r>
    </w:p>
    <w:p>
      <w:pPr>
        <w:pStyle w:val="BodyText"/>
        <w:spacing w:before="3"/>
        <w:rPr>
          <w:rFonts w:ascii="Times New Roman"/>
          <w:sz w:val="6"/>
        </w:rPr>
      </w:pPr>
    </w:p>
    <w:p>
      <w:pPr>
        <w:pStyle w:val="BodyText"/>
        <w:ind w:left="-24"/>
        <w:rPr>
          <w:rFonts w:ascii="Times New Roman"/>
          <w:sz w:val="20"/>
        </w:rPr>
      </w:pPr>
      <w:r>
        <w:rPr>
          <w:rFonts w:ascii="Times New Roman"/>
          <w:sz w:val="20"/>
        </w:rPr>
        <w:drawing>
          <wp:inline distT="0" distB="0" distL="0" distR="0">
            <wp:extent cx="2431322" cy="210026"/>
            <wp:effectExtent l="0" t="0" r="0" b="0"/>
            <wp:docPr id="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8.png"/>
                    <pic:cNvPicPr/>
                  </pic:nvPicPr>
                  <pic:blipFill>
                    <a:blip xmlns:r="http://schemas.openxmlformats.org/officeDocument/2006/relationships" r:embed="rId33" cstate="print"/>
                    <a:stretch>
                      <a:fillRect/>
                    </a:stretch>
                  </pic:blipFill>
                  <pic:spPr>
                    <a:xfrm>
                      <a:off x="0" y="0"/>
                      <a:ext cx="2431322" cy="210026"/>
                    </a:xfrm>
                    <a:prstGeom prst="rect">
                      <a:avLst/>
                    </a:prstGeom>
                  </pic:spPr>
                </pic:pic>
              </a:graphicData>
            </a:graphic>
          </wp:inline>
        </w:drawing>
      </w:r>
    </w:p>
    <w:p>
      <w:pPr>
        <w:pStyle w:val="BodyText"/>
        <w:spacing w:before="9"/>
        <w:rPr>
          <w:rFonts w:ascii="Times New Roman"/>
          <w:sz w:val="17"/>
        </w:rPr>
      </w:pPr>
    </w:p>
    <w:p>
      <w:pPr>
        <w:spacing w:before="0"/>
        <w:ind w:left="563" w:right="0" w:firstLine="0"/>
        <w:jc w:val="left"/>
        <w:rPr>
          <w:sz w:val="18"/>
        </w:rPr>
      </w:pPr>
      <w:r>
        <w:pict>
          <v:group id="_x0000_s1160" style="width:5.25pt;height:5.25pt;margin-top:3.23pt;margin-left:90.81pt;mso-position-horizontal-relative:page;position:absolute;z-index:251673600" coordorigin="1816,65" coordsize="105,105">
            <v:rect id="_x0000_s1161" style="width:90;height:90;left:1823;position:absolute;top:72" filled="t" fillcolor="#b34745" stroked="f">
              <v:fill type="solid"/>
            </v:rect>
            <v:rect id="_x0000_s1162" style="width:90;height:90;left:1823;position:absolute;top:72" filled="f" stroked="t" strokecolor="#b34745" strokeweight="0.75pt">
              <v:stroke dashstyle="solid"/>
            </v:rect>
          </v:group>
        </w:pict>
      </w:r>
      <w:r>
        <w:rPr>
          <w:sz w:val="18"/>
        </w:rPr>
        <w:t>新增调味品企业注册数量（家）</w:t>
      </w:r>
    </w:p>
    <w:p>
      <w:pPr>
        <w:spacing w:before="111"/>
        <w:ind w:left="0" w:right="41" w:firstLine="0"/>
        <w:jc w:val="right"/>
        <w:rPr>
          <w:rFonts w:ascii="Times New Roman"/>
          <w:sz w:val="18"/>
        </w:rPr>
      </w:pPr>
      <w:r>
        <w:br w:type="column"/>
      </w:r>
      <w:r>
        <w:rPr>
          <w:rFonts w:ascii="Times New Roman"/>
          <w:spacing w:val="-2"/>
          <w:sz w:val="18"/>
        </w:rPr>
        <w:t>100%</w:t>
      </w:r>
    </w:p>
    <w:p>
      <w:pPr>
        <w:spacing w:before="122"/>
        <w:ind w:left="0" w:right="38" w:firstLine="0"/>
        <w:jc w:val="right"/>
        <w:rPr>
          <w:rFonts w:ascii="Times New Roman"/>
          <w:sz w:val="18"/>
        </w:rPr>
      </w:pPr>
      <w:r>
        <w:pict>
          <v:group id="_x0000_s1163" style="width:210.3pt;height:132.45pt;margin-top:-5.11pt;margin-left:322.32pt;mso-position-horizontal-relative:page;position:absolute;z-index:251674624" coordorigin="6446,-102" coordsize="4206,2649">
            <v:shape id="_x0000_s1164" style="width:54;height:2634;left:6599;position:absolute;top:-95" coordorigin="6599,-95" coordsize="54,2634" path="m6599,2539l6599,-95m6599,2539l6652,2539m6599,2209l6652,2209m6599,1883l6652,1883m6599,1551l6652,1551m6599,1220l6652,1220m6599,894l6652,894m6599,563l6652,563m6599,236l6652,236m6599,-95l6652,-95e" filled="f" stroked="t" strokecolor="#aeabab" strokeweight="0.75pt">
              <v:stroke dashstyle="solid"/>
              <v:path arrowok="t"/>
            </v:shape>
            <v:line id="_x0000_s1165" style="position:absolute" from="6599,1551" to="10492,1551" stroked="t" strokecolor="#d9d9d9" strokeweight="0.75pt">
              <v:stroke dashstyle="solid"/>
            </v:line>
            <v:shape id="_x0000_s1166" style="width:3689;height:1967;left:6701;position:absolute;top:196" coordorigin="6701,196" coordsize="3689,1967" path="m6701,1139l6907,903,7114,1307,7315,1239,7522,1398,7728,222,7930,971,8136,1067,8342,625,8544,1806,8750,2162,8957,1964,9158,1211,9365,1249,9571,196,9773,1148,9979,1191,10186,1340,10390,1283e" filled="f" stroked="t" strokecolor="#9e3e3b" strokeweight="2.25pt">
              <v:stroke dashstyle="solid"/>
              <v:path arrowok="t"/>
            </v:shape>
            <v:shape id="_x0000_s1167" type="#_x0000_t75" style="width:111;height:111;left:6649;position:absolute;top:1082" stroked="f">
              <v:imagedata r:id="rId34" o:title=""/>
            </v:shape>
            <v:shape id="_x0000_s1168" type="#_x0000_t75" style="width:111;height:111;left:6851;position:absolute;top:846" stroked="f">
              <v:imagedata r:id="rId35" o:title=""/>
            </v:shape>
            <v:shape id="_x0000_s1169" type="#_x0000_t75" style="width:111;height:111;left:7057;position:absolute;top:1254" stroked="f">
              <v:imagedata r:id="rId35" o:title=""/>
            </v:shape>
            <v:shape id="_x0000_s1170" type="#_x0000_t75" style="width:111;height:111;left:7264;position:absolute;top:1182" stroked="f">
              <v:imagedata r:id="rId36" o:title=""/>
            </v:shape>
            <v:shape id="_x0000_s1171" type="#_x0000_t75" style="width:111;height:111;left:7465;position:absolute;top:1346" stroked="f">
              <v:imagedata r:id="rId35" o:title=""/>
            </v:shape>
            <v:shape id="_x0000_s1172" type="#_x0000_t75" style="width:111;height:111;left:7672;position:absolute;top:170" stroked="f">
              <v:imagedata r:id="rId37" o:title=""/>
            </v:shape>
            <v:shape id="_x0000_s1173" type="#_x0000_t75" style="width:111;height:111;left:7878;position:absolute;top:918" stroked="f">
              <v:imagedata r:id="rId37" o:title=""/>
            </v:shape>
            <v:shape id="_x0000_s1174" type="#_x0000_t75" style="width:111;height:111;left:8080;position:absolute;top:1014" stroked="f">
              <v:imagedata r:id="rId35" o:title=""/>
            </v:shape>
            <v:shape id="_x0000_s1175" type="#_x0000_t75" style="width:111;height:111;left:8286;position:absolute;top:573" stroked="f">
              <v:imagedata r:id="rId35" o:title=""/>
            </v:shape>
            <v:shape id="_x0000_s1176" type="#_x0000_t75" style="width:111;height:111;left:8492;position:absolute;top:1749" stroked="f">
              <v:imagedata r:id="rId35" o:title=""/>
            </v:shape>
            <v:shape id="_x0000_s1177" type="#_x0000_t75" style="width:111;height:111;left:8699;position:absolute;top:2109" stroked="f">
              <v:imagedata r:id="rId35" o:title=""/>
            </v:shape>
            <v:shape id="_x0000_s1178" type="#_x0000_t75" style="width:111;height:111;left:8900;position:absolute;top:1912" stroked="f">
              <v:imagedata r:id="rId34" o:title=""/>
            </v:shape>
            <v:shape id="_x0000_s1179" type="#_x0000_t75" style="width:111;height:111;left:9107;position:absolute;top:1158" stroked="f">
              <v:imagedata r:id="rId37" o:title=""/>
            </v:shape>
            <v:shape id="_x0000_s1180" type="#_x0000_t75" style="width:111;height:111;left:9313;position:absolute;top:1197" stroked="f">
              <v:imagedata r:id="rId37" o:title=""/>
            </v:shape>
            <v:shape id="_x0000_s1181" type="#_x0000_t75" style="width:111;height:111;left:9515;position:absolute;top:141" stroked="f">
              <v:imagedata r:id="rId34" o:title=""/>
            </v:shape>
            <v:shape id="_x0000_s1182" type="#_x0000_t75" style="width:111;height:111;left:9721;position:absolute;top:1091" stroked="f">
              <v:imagedata r:id="rId37" o:title=""/>
            </v:shape>
            <v:shape id="_x0000_s1183" type="#_x0000_t75" style="width:111;height:111;left:9928;position:absolute;top:1139" stroked="f">
              <v:imagedata r:id="rId34" o:title=""/>
            </v:shape>
            <v:shape id="_x0000_s1184" type="#_x0000_t75" style="width:111;height:111;left:10129;position:absolute;top:1288" stroked="f">
              <v:imagedata r:id="rId34" o:title=""/>
            </v:shape>
            <v:shape id="_x0000_s1185" type="#_x0000_t75" style="width:111;height:111;left:10336;position:absolute;top:1226" stroked="f">
              <v:imagedata r:id="rId35" o:title=""/>
            </v:shape>
            <v:shape id="_x0000_s1186" style="width:3279;height:1119;left:6906;position:absolute;top:478" coordorigin="6906,479" coordsize="3279,1119" path="m6906,479l7315,620,7728,995,8136,1230,8544,1244,8957,1460,9365,1513,9773,1479,10185,1597e" filled="f" stroked="t" strokecolor="#e1b987" strokeweight="2.25pt">
              <v:stroke dashstyle="solid"/>
              <v:path arrowok="t"/>
            </v:shape>
            <v:shape id="_x0000_s1187" type="#_x0000_t75" style="width:111;height:111;left:6851;position:absolute;top:424" stroked="f">
              <v:imagedata r:id="rId38" o:title=""/>
            </v:shape>
            <v:shape id="_x0000_s1188" type="#_x0000_t75" style="width:111;height:111;left:7264;position:absolute;top:563" stroked="f">
              <v:imagedata r:id="rId39" o:title=""/>
            </v:shape>
            <v:shape id="_x0000_s1189" type="#_x0000_t75" style="width:111;height:111;left:7672;position:absolute;top:938" stroked="f">
              <v:imagedata r:id="rId40" o:title=""/>
            </v:shape>
            <v:shape id="_x0000_s1190" type="#_x0000_t75" style="width:111;height:111;left:8080;position:absolute;top:1173" stroked="f">
              <v:imagedata r:id="rId40" o:title=""/>
            </v:shape>
            <v:shape id="_x0000_s1191" type="#_x0000_t75" style="width:111;height:111;left:8492;position:absolute;top:1187" stroked="f">
              <v:imagedata r:id="rId40" o:title=""/>
            </v:shape>
            <v:shape id="_x0000_s1192" type="#_x0000_t75" style="width:111;height:111;left:8900;position:absolute;top:1408" stroked="f">
              <v:imagedata r:id="rId39" o:title=""/>
            </v:shape>
            <v:shape id="_x0000_s1193" type="#_x0000_t75" style="width:111;height:111;left:9313;position:absolute;top:1461" stroked="f">
              <v:imagedata r:id="rId40" o:title=""/>
            </v:shape>
            <v:shape id="_x0000_s1194" type="#_x0000_t75" style="width:111;height:111;left:9721;position:absolute;top:1427" stroked="f">
              <v:imagedata r:id="rId40" o:title=""/>
            </v:shape>
            <v:shape id="_x0000_s1195" type="#_x0000_t75" style="width:111;height:111;left:10129;position:absolute;top:1542" stroked="f">
              <v:imagedata r:id="rId41" o:title=""/>
            </v:shape>
            <v:shape id="_x0000_s1196" type="#_x0000_t202" style="width:4206;height:2649;left:6446;position:absolute;top:-103" filled="f" stroked="f">
              <v:textbox inset="0,0,0,0">
                <w:txbxContent>
                  <w:p>
                    <w:pPr>
                      <w:spacing w:before="0" w:line="240" w:lineRule="auto"/>
                      <w:rPr>
                        <w:sz w:val="18"/>
                      </w:rPr>
                    </w:pPr>
                  </w:p>
                  <w:p>
                    <w:pPr>
                      <w:spacing w:before="0" w:line="240" w:lineRule="auto"/>
                      <w:rPr>
                        <w:sz w:val="18"/>
                      </w:rPr>
                    </w:pPr>
                  </w:p>
                  <w:p>
                    <w:pPr>
                      <w:spacing w:before="0" w:line="240" w:lineRule="auto"/>
                      <w:rPr>
                        <w:sz w:val="18"/>
                      </w:rPr>
                    </w:pPr>
                  </w:p>
                  <w:p>
                    <w:pPr>
                      <w:spacing w:before="0" w:line="240" w:lineRule="auto"/>
                      <w:rPr>
                        <w:sz w:val="18"/>
                      </w:rPr>
                    </w:pPr>
                  </w:p>
                  <w:p>
                    <w:pPr>
                      <w:spacing w:before="0" w:line="240" w:lineRule="auto"/>
                      <w:rPr>
                        <w:sz w:val="18"/>
                      </w:rPr>
                    </w:pPr>
                  </w:p>
                  <w:p>
                    <w:pPr>
                      <w:spacing w:before="0" w:line="240" w:lineRule="auto"/>
                      <w:rPr>
                        <w:sz w:val="18"/>
                      </w:rPr>
                    </w:pPr>
                  </w:p>
                  <w:p>
                    <w:pPr>
                      <w:spacing w:before="0" w:line="240" w:lineRule="auto"/>
                      <w:rPr>
                        <w:sz w:val="18"/>
                      </w:rPr>
                    </w:pPr>
                  </w:p>
                  <w:p>
                    <w:pPr>
                      <w:spacing w:before="131"/>
                      <w:ind w:left="0" w:right="0" w:firstLine="0"/>
                      <w:jc w:val="left"/>
                      <w:rPr>
                        <w:rFonts w:ascii="Times New Roman"/>
                        <w:sz w:val="16"/>
                      </w:rPr>
                    </w:pPr>
                    <w:r>
                      <w:rPr>
                        <w:rFonts w:ascii="Times New Roman"/>
                        <w:sz w:val="16"/>
                      </w:rPr>
                      <w:t>2019Q1 2019Q4 2020Q3 2021Q2 2022Q1 2022Q4 2023Q3</w:t>
                    </w:r>
                  </w:p>
                </w:txbxContent>
              </v:textbox>
            </v:shape>
          </v:group>
        </w:pict>
      </w:r>
      <w:r>
        <w:rPr>
          <w:rFonts w:ascii="Times New Roman"/>
          <w:sz w:val="18"/>
        </w:rPr>
        <w:t>80%</w:t>
      </w:r>
    </w:p>
    <w:p>
      <w:pPr>
        <w:spacing w:before="122"/>
        <w:ind w:left="0" w:right="38" w:firstLine="0"/>
        <w:jc w:val="right"/>
        <w:rPr>
          <w:rFonts w:ascii="Times New Roman"/>
          <w:sz w:val="18"/>
        </w:rPr>
      </w:pPr>
      <w:r>
        <w:rPr>
          <w:rFonts w:ascii="Times New Roman"/>
          <w:sz w:val="18"/>
        </w:rPr>
        <w:t>60%</w:t>
      </w:r>
    </w:p>
    <w:p>
      <w:pPr>
        <w:spacing w:before="123"/>
        <w:ind w:left="0" w:right="38" w:firstLine="0"/>
        <w:jc w:val="right"/>
        <w:rPr>
          <w:rFonts w:ascii="Times New Roman"/>
          <w:sz w:val="18"/>
        </w:rPr>
      </w:pPr>
      <w:r>
        <w:rPr>
          <w:rFonts w:ascii="Times New Roman"/>
          <w:sz w:val="18"/>
        </w:rPr>
        <w:t>40%</w:t>
      </w:r>
    </w:p>
    <w:p>
      <w:pPr>
        <w:spacing w:before="122"/>
        <w:ind w:left="0" w:right="38" w:firstLine="0"/>
        <w:jc w:val="right"/>
        <w:rPr>
          <w:rFonts w:ascii="Times New Roman"/>
          <w:sz w:val="18"/>
        </w:rPr>
      </w:pPr>
      <w:r>
        <w:rPr>
          <w:rFonts w:ascii="Times New Roman"/>
          <w:sz w:val="18"/>
        </w:rPr>
        <w:t>20%</w:t>
      </w:r>
    </w:p>
    <w:p>
      <w:pPr>
        <w:spacing w:before="122"/>
        <w:ind w:left="0" w:right="39" w:firstLine="0"/>
        <w:jc w:val="right"/>
        <w:rPr>
          <w:rFonts w:ascii="Times New Roman"/>
          <w:sz w:val="18"/>
        </w:rPr>
      </w:pPr>
      <w:r>
        <w:rPr>
          <w:rFonts w:ascii="Times New Roman"/>
          <w:sz w:val="18"/>
        </w:rPr>
        <w:t>0%</w:t>
      </w:r>
    </w:p>
    <w:p>
      <w:pPr>
        <w:spacing w:before="123"/>
        <w:ind w:left="0" w:right="40" w:firstLine="0"/>
        <w:jc w:val="right"/>
        <w:rPr>
          <w:rFonts w:ascii="Times New Roman"/>
          <w:sz w:val="18"/>
        </w:rPr>
      </w:pPr>
      <w:r>
        <w:rPr>
          <w:rFonts w:ascii="Times New Roman"/>
          <w:spacing w:val="-1"/>
          <w:sz w:val="18"/>
        </w:rPr>
        <w:t>-20%</w:t>
      </w:r>
    </w:p>
    <w:p>
      <w:pPr>
        <w:spacing w:before="122"/>
        <w:ind w:left="0" w:right="40" w:firstLine="0"/>
        <w:jc w:val="right"/>
        <w:rPr>
          <w:rFonts w:ascii="Times New Roman"/>
          <w:sz w:val="18"/>
        </w:rPr>
      </w:pPr>
      <w:r>
        <w:rPr>
          <w:rFonts w:ascii="Times New Roman"/>
          <w:spacing w:val="-1"/>
          <w:sz w:val="18"/>
        </w:rPr>
        <w:t>-40%</w:t>
      </w:r>
    </w:p>
    <w:p>
      <w:pPr>
        <w:spacing w:before="122"/>
        <w:ind w:left="0" w:right="40" w:firstLine="0"/>
        <w:jc w:val="right"/>
        <w:rPr>
          <w:rFonts w:ascii="Times New Roman"/>
          <w:sz w:val="18"/>
        </w:rPr>
      </w:pPr>
      <w:r>
        <w:rPr>
          <w:rFonts w:ascii="Times New Roman"/>
          <w:spacing w:val="-1"/>
          <w:sz w:val="18"/>
        </w:rPr>
        <w:t>-60%</w:t>
      </w:r>
    </w:p>
    <w:p>
      <w:pPr>
        <w:pStyle w:val="BodyText"/>
        <w:rPr>
          <w:rFonts w:ascii="Times New Roman"/>
          <w:sz w:val="16"/>
        </w:rPr>
      </w:pPr>
      <w:r>
        <w:br w:type="column"/>
      </w: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spacing w:before="5"/>
        <w:rPr>
          <w:rFonts w:ascii="Times New Roman"/>
          <w:sz w:val="15"/>
        </w:rPr>
      </w:pPr>
    </w:p>
    <w:p>
      <w:pPr>
        <w:tabs>
          <w:tab w:val="left" w:pos="1634"/>
        </w:tabs>
        <w:spacing w:before="1"/>
        <w:ind w:left="365" w:right="0" w:firstLine="0"/>
        <w:jc w:val="left"/>
        <w:rPr>
          <w:sz w:val="16"/>
        </w:rPr>
      </w:pPr>
      <w:r>
        <w:pict>
          <v:group id="_x0000_s1197" style="width:19.2pt;height:4.6pt;margin-top:2.94pt;margin-left:361.94pt;mso-position-horizontal-relative:page;position:absolute;z-index:251675648" coordorigin="7239,59" coordsize="384,92">
            <v:line id="_x0000_s1198" style="position:absolute" from="7239,104" to="7623,104" stroked="t" strokecolor="#9e3e3b" strokeweight="2.25pt">
              <v:stroke dashstyle="solid"/>
            </v:line>
            <v:shape id="_x0000_s1199" style="width:77;height:77;left:7394;position:absolute;top:66" coordorigin="7394,66" coordsize="77,77" path="m7433,66l7418,69,7406,78,7397,90,7394,105,7397,120,7406,132,7418,140,7433,143,7448,140,7460,132,7468,120,7471,105,7468,90,7460,78,7448,69,7433,66xe" filled="t" fillcolor="#b34745" stroked="f">
              <v:fill type="solid"/>
              <v:path arrowok="t"/>
            </v:shape>
            <v:shape id="_x0000_s1200" style="width:77;height:77;left:7394;position:absolute;top:66" coordorigin="7394,66" coordsize="77,77" path="m7471,105l7468,120,7460,132,7448,140,7433,143,7418,140,7406,132,7397,120,7394,105,7397,90,7406,78,7418,69,7433,66,7448,69,7460,78,7468,90,7471,105xe" filled="f" stroked="t" strokecolor="#9e3e3b" strokeweight="0.75pt">
              <v:stroke dashstyle="solid"/>
              <v:path arrowok="t"/>
            </v:shape>
          </v:group>
        </w:pict>
      </w:r>
      <w:r>
        <w:pict>
          <v:group id="_x0000_s1201" style="width:19.2pt;height:4.6pt;margin-top:2.94pt;margin-left:425.41pt;mso-position-horizontal-relative:page;position:absolute;z-index:-251643904" coordorigin="8508,59" coordsize="384,92">
            <v:line id="_x0000_s1202" style="position:absolute" from="8508,104" to="8892,104" stroked="t" strokecolor="#e1b987" strokeweight="2.25pt">
              <v:stroke dashstyle="solid"/>
            </v:line>
            <v:shape id="_x0000_s1203" style="width:77;height:77;left:8661;position:absolute;top:66" coordorigin="8662,66" coordsize="77,77" path="m8700,66l8685,69,8673,78,8665,90,8662,105,8665,120,8673,132,8685,140,8700,143,8715,140,8727,132,8735,120,8738,105,8735,90,8727,78,8715,69,8700,66xe" filled="t" fillcolor="#d99d24" stroked="f">
              <v:fill type="solid"/>
              <v:path arrowok="t"/>
            </v:shape>
            <v:shape id="_x0000_s1204" style="width:77;height:77;left:8661;position:absolute;top:66" coordorigin="8662,66" coordsize="77,77" path="m8738,105l8735,120,8727,132,8715,140,8700,143,8685,140,8673,132,8665,120,8662,105,8665,90,8673,78,8685,69,8700,66,8715,69,8727,78,8735,90,8738,105xe" filled="f" stroked="t" strokecolor="#e1b987" strokeweight="0.75pt">
              <v:stroke dashstyle="solid"/>
              <v:path arrowok="t"/>
            </v:shape>
          </v:group>
        </w:pict>
      </w:r>
      <w:r>
        <w:rPr>
          <w:spacing w:val="4"/>
          <w:sz w:val="16"/>
        </w:rPr>
        <w:t>天</w:t>
      </w:r>
      <w:r>
        <w:rPr>
          <w:sz w:val="16"/>
        </w:rPr>
        <w:t>味食品</w:t>
        <w:tab/>
      </w:r>
      <w:r>
        <w:rPr>
          <w:spacing w:val="4"/>
          <w:sz w:val="16"/>
        </w:rPr>
        <w:t>颐</w:t>
      </w:r>
      <w:r>
        <w:rPr>
          <w:sz w:val="16"/>
        </w:rPr>
        <w:t>海国际</w:t>
      </w:r>
    </w:p>
    <w:p>
      <w:pPr>
        <w:spacing w:after="0"/>
        <w:jc w:val="left"/>
        <w:rPr>
          <w:sz w:val="16"/>
        </w:rPr>
        <w:sectPr>
          <w:headerReference w:type="default" r:id="rId42"/>
          <w:footerReference w:type="default" r:id="rId43"/>
          <w:type w:val="continuous"/>
          <w:pgSz w:w="11910" w:h="16840"/>
          <w:pgMar w:top="1700" w:right="0" w:bottom="1500" w:left="440" w:header="708" w:footer="708"/>
          <w:pgNumType w:start="12"/>
          <w:cols w:num="4" w:space="708" w:equalWidth="0">
            <w:col w:w="908" w:space="40"/>
            <w:col w:w="3863" w:space="412"/>
            <w:col w:w="830" w:space="808"/>
            <w:col w:w="4609" w:space="0"/>
          </w:cols>
        </w:sectPr>
      </w:pPr>
    </w:p>
    <w:p>
      <w:pPr>
        <w:pStyle w:val="BodyText"/>
        <w:spacing w:before="10"/>
        <w:rPr>
          <w:sz w:val="13"/>
        </w:rPr>
      </w:pPr>
    </w:p>
    <w:p>
      <w:pPr>
        <w:tabs>
          <w:tab w:val="left" w:pos="5346"/>
        </w:tabs>
        <w:spacing w:line="20" w:lineRule="exact"/>
        <w:ind w:left="121" w:right="0" w:firstLine="0"/>
        <w:rPr>
          <w:sz w:val="2"/>
        </w:rPr>
      </w:pPr>
      <w:r>
        <w:rPr>
          <w:sz w:val="2"/>
        </w:rPr>
        <w:pict>
          <v:group id="_x0000_i1205" style="width:249.5pt;height:0.5pt;mso-position-horizontal-relative:char;mso-position-vertical-relative:line" coordorigin="0,0" coordsize="4990,10">
            <v:line id="_x0000_s1206" style="position:absolute" from="0,5" to="4990,5" stroked="t" strokecolor="#9c4a45" strokeweight="0.48pt">
              <v:stroke dashstyle="solid"/>
            </v:line>
            <w10:wrap type="none"/>
          </v:group>
        </w:pict>
      </w:r>
      <w:r>
        <w:rPr>
          <w:sz w:val="2"/>
        </w:rPr>
        <w:tab/>
      </w:r>
      <w:r>
        <w:rPr>
          <w:sz w:val="2"/>
        </w:rPr>
        <w:pict>
          <v:group id="_x0000_i1207" style="width:249.5pt;height:0.5pt;mso-position-horizontal-relative:char;mso-position-vertical-relative:line" coordorigin="0,0" coordsize="4990,10">
            <v:line id="_x0000_s1208" style="position:absolute" from="0,5" to="4989,5" stroked="t" strokecolor="#9c4a45" strokeweight="0.48pt">
              <v:stroke dashstyle="solid"/>
            </v:line>
            <w10:wrap type="none"/>
          </v:group>
        </w:pict>
      </w:r>
    </w:p>
    <w:p>
      <w:pPr>
        <w:tabs>
          <w:tab w:val="left" w:pos="5351"/>
        </w:tabs>
        <w:spacing w:before="65"/>
        <w:ind w:left="126" w:right="0" w:firstLine="0"/>
        <w:jc w:val="left"/>
        <w:rPr>
          <w:sz w:val="15"/>
        </w:rPr>
      </w:pPr>
      <w:r>
        <w:t xml:space="preserve">数据来源：艾媒数据中心， </w:t>
        <w:tab/>
        <w:t xml:space="preserve">数据来源： ， </w:t>
      </w:r>
    </w:p>
    <w:p>
      <w:pPr>
        <w:pStyle w:val="BodyText"/>
        <w:rPr>
          <w:sz w:val="20"/>
        </w:rPr>
      </w:pPr>
    </w:p>
    <w:p>
      <w:pPr>
        <w:pStyle w:val="BodyText"/>
        <w:spacing w:before="2"/>
        <w:rPr>
          <w:sz w:val="17"/>
        </w:rPr>
      </w:pPr>
    </w:p>
    <w:p>
      <w:pPr>
        <w:pStyle w:val="BodyText"/>
        <w:tabs>
          <w:tab w:val="left" w:pos="10335"/>
        </w:tabs>
        <w:spacing w:before="79"/>
        <w:ind w:left="2964"/>
      </w:pPr>
      <w:r>
        <w:rPr>
          <w:color w:val="FFFFFF"/>
          <w:shd w:val="clear" w:color="auto" w:fill="9C4A45"/>
        </w:rPr>
        <w:t>图</w:t>
      </w:r>
      <w:r>
        <w:rPr>
          <w:rFonts w:ascii="Times New Roman" w:eastAsia="Times New Roman"/>
          <w:color w:val="FFFFFF"/>
          <w:shd w:val="clear" w:color="auto" w:fill="9C4A45"/>
        </w:rPr>
        <w:t>8.</w:t>
      </w:r>
      <w:r>
        <w:rPr>
          <w:color w:val="FFFFFF"/>
          <w:shd w:val="clear" w:color="auto" w:fill="9C4A45"/>
        </w:rPr>
        <w:t>行业景气</w:t>
      </w:r>
      <w:r>
        <w:rPr>
          <w:color w:val="FFFFFF"/>
          <w:spacing w:val="-5"/>
          <w:shd w:val="clear" w:color="auto" w:fill="9C4A45"/>
        </w:rPr>
        <w:t>度</w:t>
      </w:r>
      <w:r>
        <w:rPr>
          <w:color w:val="FFFFFF"/>
          <w:shd w:val="clear" w:color="auto" w:fill="9C4A45"/>
        </w:rPr>
        <w:t>回调原因</w:t>
        <w:tab/>
      </w:r>
    </w:p>
    <w:p>
      <w:pPr>
        <w:pStyle w:val="BodyText"/>
        <w:spacing w:before="7"/>
        <w:rPr>
          <w:sz w:val="11"/>
        </w:rPr>
      </w:pPr>
      <w:r>
        <w:drawing>
          <wp:anchor distT="0" distB="0" distL="0" distR="0" simplePos="0" relativeHeight="251676672" behindDoc="0" locked="0" layoutInCell="1" allowOverlap="1">
            <wp:simplePos x="0" y="0"/>
            <wp:positionH relativeFrom="page">
              <wp:posOffset>2328862</wp:posOffset>
            </wp:positionH>
            <wp:positionV relativeFrom="paragraph">
              <wp:posOffset>118864</wp:posOffset>
            </wp:positionV>
            <wp:extent cx="4348162" cy="1690687"/>
            <wp:effectExtent l="0" t="0" r="0" b="0"/>
            <wp:wrapTopAndBottom/>
            <wp:docPr id="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7.png"/>
                    <pic:cNvPicPr/>
                  </pic:nvPicPr>
                  <pic:blipFill>
                    <a:blip xmlns:r="http://schemas.openxmlformats.org/officeDocument/2006/relationships" r:embed="rId44" cstate="print"/>
                    <a:stretch>
                      <a:fillRect/>
                    </a:stretch>
                  </pic:blipFill>
                  <pic:spPr>
                    <a:xfrm>
                      <a:off x="0" y="0"/>
                      <a:ext cx="4348162" cy="1690687"/>
                    </a:xfrm>
                    <a:prstGeom prst="rect">
                      <a:avLst/>
                    </a:prstGeom>
                  </pic:spPr>
                </pic:pic>
              </a:graphicData>
            </a:graphic>
          </wp:anchor>
        </w:drawing>
      </w:r>
      <w:r>
        <w:pict>
          <v:shape id="_x0000_s1209" style="width:368.8pt;height:0.1pt;margin-top:153.31pt;margin-left:170.23pt;mso-position-horizontal-relative:page;mso-wrap-distance-left:0;mso-wrap-distance-right:0;position:absolute;z-index:-251638784" coordorigin="3405,3066" coordsize="7376,0" path="m3405,3066l10780,3066e" filled="f" stroked="t" strokecolor="#9c4a45" strokeweight="0.48pt">
            <v:stroke dashstyle="solid"/>
            <v:path arrowok="t"/>
            <w10:wrap type="topAndBottom"/>
          </v:shape>
        </w:pict>
      </w:r>
    </w:p>
    <w:p>
      <w:pPr>
        <w:pStyle w:val="BodyText"/>
        <w:spacing w:before="2"/>
        <w:rPr>
          <w:sz w:val="11"/>
        </w:rPr>
      </w:pPr>
    </w:p>
    <w:p>
      <w:pPr>
        <w:spacing w:before="42"/>
        <w:ind w:left="2964" w:right="0" w:firstLine="0"/>
        <w:jc w:val="left"/>
        <w:rPr>
          <w:sz w:val="15"/>
        </w:rPr>
      </w:pPr>
      <w:r>
        <w:t xml:space="preserve">数据来源：证券日报网， </w:t>
      </w:r>
    </w:p>
    <w:p>
      <w:pPr>
        <w:pStyle w:val="BodyText"/>
        <w:spacing w:before="11"/>
        <w:rPr>
          <w:sz w:val="11"/>
        </w:rPr>
      </w:pPr>
    </w:p>
    <w:p>
      <w:pPr>
        <w:pStyle w:val="ListParagraph"/>
        <w:numPr>
          <w:ilvl w:val="0"/>
          <w:numId w:val="9"/>
        </w:numPr>
        <w:tabs>
          <w:tab w:val="left" w:pos="3387"/>
        </w:tabs>
        <w:spacing w:before="80" w:after="0" w:line="328" w:lineRule="auto"/>
        <w:ind w:left="3387" w:right="1011" w:hanging="423"/>
        <w:jc w:val="both"/>
        <w:rPr>
          <w:sz w:val="21"/>
        </w:rPr>
      </w:pPr>
      <w:r>
        <w:rPr>
          <w:b/>
          <w:spacing w:val="-15"/>
          <w:sz w:val="21"/>
        </w:rPr>
        <w:t>拐点重生阶段</w:t>
      </w:r>
      <w:r>
        <w:rPr>
          <w:b/>
          <w:sz w:val="21"/>
        </w:rPr>
        <w:t>（</w:t>
      </w:r>
      <w:r>
        <w:rPr>
          <w:rFonts w:ascii="Times New Roman" w:eastAsia="Times New Roman" w:hAnsi="Times New Roman"/>
          <w:b/>
          <w:sz w:val="21"/>
        </w:rPr>
        <w:t>2022</w:t>
      </w:r>
      <w:r>
        <w:rPr>
          <w:rFonts w:ascii="Times New Roman" w:eastAsia="Times New Roman" w:hAnsi="Times New Roman"/>
          <w:b/>
          <w:spacing w:val="-1"/>
          <w:sz w:val="21"/>
        </w:rPr>
        <w:t xml:space="preserve"> </w:t>
      </w:r>
      <w:r>
        <w:rPr>
          <w:b/>
          <w:spacing w:val="4"/>
          <w:sz w:val="21"/>
        </w:rPr>
        <w:t>年</w:t>
      </w:r>
      <w:r>
        <w:rPr>
          <w:rFonts w:ascii="Times New Roman" w:eastAsia="Times New Roman" w:hAnsi="Times New Roman"/>
          <w:b/>
          <w:spacing w:val="-4"/>
          <w:sz w:val="21"/>
        </w:rPr>
        <w:t>-</w:t>
      </w:r>
      <w:r>
        <w:rPr>
          <w:b/>
          <w:sz w:val="21"/>
        </w:rPr>
        <w:t>至今</w:t>
      </w:r>
      <w:r>
        <w:rPr>
          <w:b/>
          <w:spacing w:val="-87"/>
          <w:sz w:val="21"/>
        </w:rPr>
        <w:t>）：</w:t>
      </w:r>
      <w:r>
        <w:rPr>
          <w:b/>
          <w:spacing w:val="-10"/>
          <w:sz w:val="21"/>
        </w:rPr>
        <w:t xml:space="preserve">格局有所改善，渗透率提升叠加标准化需求， </w:t>
      </w:r>
      <w:r>
        <w:rPr>
          <w:b/>
          <w:spacing w:val="-9"/>
          <w:sz w:val="21"/>
        </w:rPr>
        <w:t>行业或迎新起点。</w:t>
      </w:r>
      <w:r>
        <w:rPr>
          <w:spacing w:val="-5"/>
          <w:sz w:val="21"/>
        </w:rPr>
        <w:t>经历行业调整后，部分中小调味品企业在行业承压的情况</w:t>
      </w:r>
      <w:r>
        <w:rPr>
          <w:spacing w:val="-6"/>
          <w:sz w:val="21"/>
        </w:rPr>
        <w:t>下退出市场，中国调味品协会数据显示，</w:t>
      </w:r>
      <w:r>
        <w:rPr>
          <w:rFonts w:ascii="Times New Roman" w:eastAsia="Times New Roman" w:hAnsi="Times New Roman"/>
          <w:spacing w:val="-4"/>
          <w:sz w:val="21"/>
        </w:rPr>
        <w:t>2022</w:t>
      </w:r>
      <w:r>
        <w:rPr>
          <w:rFonts w:ascii="Times New Roman" w:eastAsia="Times New Roman" w:hAnsi="Times New Roman"/>
          <w:spacing w:val="12"/>
          <w:sz w:val="21"/>
        </w:rPr>
        <w:t xml:space="preserve"> </w:t>
      </w:r>
      <w:r>
        <w:rPr>
          <w:spacing w:val="-5"/>
          <w:sz w:val="21"/>
        </w:rPr>
        <w:t>年调味品企业注册量出现了断</w:t>
      </w:r>
      <w:r>
        <w:rPr>
          <w:spacing w:val="-8"/>
          <w:sz w:val="21"/>
        </w:rPr>
        <w:t xml:space="preserve">崖式下滑，全年共新注册企业 </w:t>
      </w:r>
      <w:r>
        <w:rPr>
          <w:rFonts w:ascii="Times New Roman" w:eastAsia="Times New Roman" w:hAnsi="Times New Roman"/>
          <w:sz w:val="21"/>
        </w:rPr>
        <w:t>14862</w:t>
      </w:r>
      <w:r>
        <w:rPr>
          <w:rFonts w:ascii="Times New Roman" w:eastAsia="Times New Roman" w:hAnsi="Times New Roman"/>
          <w:spacing w:val="16"/>
          <w:sz w:val="21"/>
        </w:rPr>
        <w:t xml:space="preserve"> </w:t>
      </w:r>
      <w:r>
        <w:rPr>
          <w:spacing w:val="-7"/>
          <w:sz w:val="21"/>
        </w:rPr>
        <w:t xml:space="preserve">家，同比下降 </w:t>
      </w:r>
      <w:r>
        <w:rPr>
          <w:rFonts w:ascii="Times New Roman" w:eastAsia="Times New Roman" w:hAnsi="Times New Roman"/>
          <w:sz w:val="21"/>
        </w:rPr>
        <w:t>58.4%</w:t>
      </w:r>
      <w:r>
        <w:rPr>
          <w:spacing w:val="-11"/>
          <w:sz w:val="21"/>
        </w:rPr>
        <w:t xml:space="preserve">；截至 </w:t>
      </w:r>
      <w:r>
        <w:rPr>
          <w:rFonts w:ascii="Times New Roman" w:eastAsia="Times New Roman" w:hAnsi="Times New Roman"/>
          <w:sz w:val="21"/>
        </w:rPr>
        <w:t>2023</w:t>
      </w:r>
      <w:r>
        <w:rPr>
          <w:rFonts w:ascii="Times New Roman" w:eastAsia="Times New Roman" w:hAnsi="Times New Roman"/>
          <w:spacing w:val="15"/>
          <w:sz w:val="21"/>
        </w:rPr>
        <w:t xml:space="preserve"> </w:t>
      </w:r>
      <w:r>
        <w:rPr>
          <w:spacing w:val="-5"/>
          <w:sz w:val="21"/>
        </w:rPr>
        <w:t>年底，</w:t>
      </w:r>
    </w:p>
    <w:p>
      <w:pPr>
        <w:spacing w:after="0" w:line="328" w:lineRule="auto"/>
        <w:jc w:val="both"/>
        <w:rPr>
          <w:sz w:val="21"/>
        </w:rPr>
        <w:sectPr>
          <w:headerReference w:type="default" r:id="rId45"/>
          <w:footerReference w:type="default" r:id="rId46"/>
          <w:type w:val="continuous"/>
          <w:pgSz w:w="11910" w:h="16840"/>
          <w:pgMar w:top="1700" w:right="0" w:bottom="1500" w:left="440" w:header="708" w:footer="708"/>
          <w:pgNumType w:start="13"/>
          <w:cols w:space="708"/>
        </w:sectPr>
      </w:pPr>
    </w:p>
    <w:p>
      <w:pPr>
        <w:pStyle w:val="BodyText"/>
        <w:spacing w:before="161"/>
        <w:ind w:left="3387"/>
      </w:pPr>
      <w:r>
        <w:t xml:space="preserve">调味品在业存续企业为 </w:t>
      </w:r>
      <w:r>
        <w:rPr>
          <w:rFonts w:ascii="Times New Roman" w:eastAsia="Times New Roman"/>
        </w:rPr>
        <w:t xml:space="preserve">385315 </w:t>
      </w:r>
      <w:r>
        <w:t xml:space="preserve">家，相比 </w:t>
      </w:r>
      <w:r>
        <w:rPr>
          <w:rFonts w:ascii="Times New Roman" w:eastAsia="Times New Roman"/>
        </w:rPr>
        <w:t xml:space="preserve">2022 </w:t>
      </w:r>
      <w:r>
        <w:t xml:space="preserve">年下降 </w:t>
      </w:r>
      <w:r>
        <w:rPr>
          <w:rFonts w:ascii="Times New Roman" w:eastAsia="Times New Roman"/>
        </w:rPr>
        <w:t>4.6%</w:t>
      </w:r>
      <w:r>
        <w:t>。随着行业竞争格</w:t>
      </w:r>
    </w:p>
    <w:p>
      <w:pPr>
        <w:pStyle w:val="BodyText"/>
        <w:spacing w:before="101" w:line="328" w:lineRule="auto"/>
        <w:ind w:left="3387" w:right="1011"/>
      </w:pPr>
      <w:r>
        <w:rPr>
          <w:spacing w:val="-6"/>
        </w:rPr>
        <w:t xml:space="preserve">局调整优化， </w:t>
      </w:r>
      <w:r>
        <w:rPr>
          <w:rFonts w:ascii="Times New Roman" w:eastAsia="Times New Roman"/>
        </w:rPr>
        <w:t xml:space="preserve">2021 </w:t>
      </w:r>
      <w:r>
        <w:rPr>
          <w:spacing w:val="-8"/>
        </w:rPr>
        <w:t xml:space="preserve">年复合调味品市场规模达 </w:t>
      </w:r>
      <w:r>
        <w:rPr>
          <w:rFonts w:ascii="Times New Roman" w:eastAsia="Times New Roman"/>
        </w:rPr>
        <w:t xml:space="preserve">1588 </w:t>
      </w:r>
      <w:r>
        <w:rPr>
          <w:spacing w:val="-12"/>
        </w:rPr>
        <w:t xml:space="preserve">亿元，艾媒咨询预计 </w:t>
      </w:r>
      <w:r>
        <w:rPr>
          <w:rFonts w:ascii="Times New Roman" w:eastAsia="Times New Roman"/>
        </w:rPr>
        <w:t xml:space="preserve">2023 </w:t>
      </w:r>
      <w:r>
        <w:rPr>
          <w:spacing w:val="-6"/>
        </w:rPr>
        <w:t xml:space="preserve">年该市场规模达 </w:t>
      </w:r>
      <w:r>
        <w:rPr>
          <w:rFonts w:ascii="Times New Roman" w:eastAsia="Times New Roman"/>
        </w:rPr>
        <w:t xml:space="preserve">2032 </w:t>
      </w:r>
      <w:r>
        <w:t>亿元，</w:t>
      </w:r>
      <w:r>
        <w:rPr>
          <w:rFonts w:ascii="Times New Roman" w:eastAsia="Times New Roman"/>
        </w:rPr>
        <w:t xml:space="preserve">CAGR </w:t>
      </w:r>
      <w:r>
        <w:rPr>
          <w:spacing w:val="-19"/>
        </w:rPr>
        <w:t xml:space="preserve">达 </w:t>
      </w:r>
      <w:r>
        <w:rPr>
          <w:rFonts w:ascii="Times New Roman" w:eastAsia="Times New Roman"/>
        </w:rPr>
        <w:t>13.12%</w:t>
      </w:r>
      <w:r>
        <w:rPr>
          <w:spacing w:val="-5"/>
        </w:rPr>
        <w:t>。从行业占比看，复合调味品</w:t>
      </w:r>
      <w:r>
        <w:rPr>
          <w:spacing w:val="-10"/>
        </w:rPr>
        <w:t>在调味品行业的市场占比逐步攀升，从</w:t>
      </w:r>
      <w:r>
        <w:rPr>
          <w:rFonts w:ascii="Times New Roman" w:eastAsia="Times New Roman"/>
        </w:rPr>
        <w:t xml:space="preserve">2014 </w:t>
      </w:r>
      <w:r>
        <w:rPr>
          <w:spacing w:val="14"/>
        </w:rPr>
        <w:t>年的</w:t>
      </w:r>
      <w:r>
        <w:rPr>
          <w:rFonts w:ascii="Times New Roman" w:eastAsia="Times New Roman"/>
        </w:rPr>
        <w:t>25</w:t>
      </w:r>
      <w:r>
        <w:rPr>
          <w:rFonts w:ascii="Times New Roman" w:eastAsia="Times New Roman"/>
          <w:spacing w:val="7"/>
        </w:rPr>
        <w:t xml:space="preserve">% </w:t>
      </w:r>
      <w:r>
        <w:rPr>
          <w:spacing w:val="11"/>
        </w:rPr>
        <w:t>提升至</w:t>
      </w:r>
      <w:r>
        <w:rPr>
          <w:rFonts w:ascii="Times New Roman" w:eastAsia="Times New Roman"/>
        </w:rPr>
        <w:t xml:space="preserve">2021 </w:t>
      </w:r>
      <w:r>
        <w:rPr>
          <w:spacing w:val="14"/>
        </w:rPr>
        <w:t>年的</w:t>
      </w:r>
      <w:r>
        <w:rPr>
          <w:rFonts w:ascii="Times New Roman" w:eastAsia="Times New Roman"/>
        </w:rPr>
        <w:t>35%</w:t>
      </w:r>
      <w:r>
        <w:rPr>
          <w:spacing w:val="-15"/>
        </w:rPr>
        <w:t>。</w:t>
      </w:r>
      <w:r>
        <w:rPr>
          <w:rFonts w:ascii="Times New Roman" w:eastAsia="Times New Roman"/>
        </w:rPr>
        <w:t xml:space="preserve">2023 </w:t>
      </w:r>
      <w:r>
        <w:rPr>
          <w:spacing w:val="-11"/>
        </w:rPr>
        <w:t xml:space="preserve">年随餐饮行业景气度持续回升，连锁化率提高，带动复合调味品 </w:t>
      </w:r>
      <w:r>
        <w:rPr>
          <w:rFonts w:ascii="Times New Roman" w:eastAsia="Times New Roman"/>
        </w:rPr>
        <w:t xml:space="preserve">B </w:t>
      </w:r>
      <w:r>
        <w:t>端需</w:t>
      </w:r>
      <w:r>
        <w:rPr>
          <w:spacing w:val="-3"/>
        </w:rPr>
        <w:t>求提升。同时，随着近几年复调渗透率的提升，叠加消费者对便捷化、风味</w:t>
      </w:r>
      <w:r>
        <w:rPr>
          <w:spacing w:val="-5"/>
        </w:rPr>
        <w:t>化的需求，行业整体进入稳健增长态势。</w:t>
      </w:r>
    </w:p>
    <w:p>
      <w:pPr>
        <w:pStyle w:val="BodyText"/>
        <w:tabs>
          <w:tab w:val="left" w:pos="5115"/>
          <w:tab w:val="left" w:pos="5351"/>
          <w:tab w:val="left" w:pos="10335"/>
        </w:tabs>
        <w:spacing w:line="262" w:lineRule="exact"/>
        <w:ind w:left="126"/>
      </w:pPr>
      <w:r>
        <w:rPr>
          <w:color w:val="FFFFFF"/>
          <w:shd w:val="clear" w:color="auto" w:fill="9C4A45"/>
        </w:rPr>
        <w:t>图</w:t>
      </w:r>
      <w:r>
        <w:rPr>
          <w:rFonts w:ascii="Times New Roman" w:eastAsia="Times New Roman"/>
          <w:color w:val="FFFFFF"/>
          <w:shd w:val="clear" w:color="auto" w:fill="9C4A45"/>
        </w:rPr>
        <w:t>9.2014-2027</w:t>
      </w:r>
      <w:r>
        <w:rPr>
          <w:rFonts w:ascii="Times New Roman" w:eastAsia="Times New Roman"/>
          <w:color w:val="FFFFFF"/>
          <w:spacing w:val="5"/>
          <w:shd w:val="clear" w:color="auto" w:fill="9C4A45"/>
        </w:rPr>
        <w:t xml:space="preserve"> </w:t>
      </w:r>
      <w:r>
        <w:rPr>
          <w:color w:val="FFFFFF"/>
          <w:shd w:val="clear" w:color="auto" w:fill="9C4A45"/>
        </w:rPr>
        <w:t>中国</w:t>
      </w:r>
      <w:r>
        <w:rPr>
          <w:color w:val="FFFFFF"/>
          <w:spacing w:val="-5"/>
          <w:shd w:val="clear" w:color="auto" w:fill="9C4A45"/>
        </w:rPr>
        <w:t>调</w:t>
      </w:r>
      <w:r>
        <w:rPr>
          <w:color w:val="FFFFFF"/>
          <w:shd w:val="clear" w:color="auto" w:fill="9C4A45"/>
        </w:rPr>
        <w:t>味品行</w:t>
      </w:r>
      <w:r>
        <w:rPr>
          <w:color w:val="FFFFFF"/>
          <w:spacing w:val="-5"/>
          <w:shd w:val="clear" w:color="auto" w:fill="9C4A45"/>
        </w:rPr>
        <w:t>业</w:t>
      </w:r>
      <w:r>
        <w:rPr>
          <w:color w:val="FFFFFF"/>
          <w:shd w:val="clear" w:color="auto" w:fill="9C4A45"/>
        </w:rPr>
        <w:t>市场规</w:t>
      </w:r>
      <w:r>
        <w:rPr>
          <w:color w:val="FFFFFF"/>
          <w:spacing w:val="-5"/>
          <w:shd w:val="clear" w:color="auto" w:fill="9C4A45"/>
        </w:rPr>
        <w:t>模</w:t>
      </w:r>
      <w:r>
        <w:rPr>
          <w:color w:val="FFFFFF"/>
          <w:shd w:val="clear" w:color="auto" w:fill="9C4A45"/>
        </w:rPr>
        <w:t>及增长率</w:t>
        <w:tab/>
      </w:r>
      <w:r>
        <w:rPr>
          <w:color w:val="FFFFFF"/>
        </w:rPr>
        <w:tab/>
      </w:r>
      <w:r>
        <w:rPr>
          <w:color w:val="FFFFFF"/>
          <w:shd w:val="clear" w:color="auto" w:fill="9C4A45"/>
        </w:rPr>
        <w:t>图</w:t>
      </w:r>
      <w:r>
        <w:rPr>
          <w:rFonts w:ascii="Times New Roman" w:eastAsia="Times New Roman"/>
          <w:color w:val="FFFFFF"/>
          <w:shd w:val="clear" w:color="auto" w:fill="9C4A45"/>
        </w:rPr>
        <w:t>10.2011-2027</w:t>
      </w:r>
      <w:r>
        <w:rPr>
          <w:rFonts w:ascii="Times New Roman" w:eastAsia="Times New Roman"/>
          <w:color w:val="FFFFFF"/>
          <w:spacing w:val="11"/>
          <w:shd w:val="clear" w:color="auto" w:fill="9C4A45"/>
        </w:rPr>
        <w:t xml:space="preserve"> </w:t>
      </w:r>
      <w:r>
        <w:rPr>
          <w:color w:val="FFFFFF"/>
          <w:spacing w:val="-5"/>
          <w:shd w:val="clear" w:color="auto" w:fill="9C4A45"/>
        </w:rPr>
        <w:t>中</w:t>
      </w:r>
      <w:r>
        <w:rPr>
          <w:color w:val="FFFFFF"/>
          <w:shd w:val="clear" w:color="auto" w:fill="9C4A45"/>
        </w:rPr>
        <w:t>国复合</w:t>
      </w:r>
      <w:r>
        <w:rPr>
          <w:color w:val="FFFFFF"/>
          <w:spacing w:val="-5"/>
          <w:shd w:val="clear" w:color="auto" w:fill="9C4A45"/>
        </w:rPr>
        <w:t>调</w:t>
      </w:r>
      <w:r>
        <w:rPr>
          <w:color w:val="FFFFFF"/>
          <w:shd w:val="clear" w:color="auto" w:fill="9C4A45"/>
        </w:rPr>
        <w:t>味品市</w:t>
      </w:r>
      <w:r>
        <w:rPr>
          <w:color w:val="FFFFFF"/>
          <w:spacing w:val="-5"/>
          <w:shd w:val="clear" w:color="auto" w:fill="9C4A45"/>
        </w:rPr>
        <w:t>场</w:t>
      </w:r>
      <w:r>
        <w:rPr>
          <w:color w:val="FFFFFF"/>
          <w:shd w:val="clear" w:color="auto" w:fill="9C4A45"/>
        </w:rPr>
        <w:t>规模及</w:t>
      </w:r>
      <w:r>
        <w:rPr>
          <w:color w:val="FFFFFF"/>
          <w:spacing w:val="-5"/>
          <w:shd w:val="clear" w:color="auto" w:fill="9C4A45"/>
        </w:rPr>
        <w:t>增</w:t>
      </w:r>
      <w:r>
        <w:rPr>
          <w:color w:val="FFFFFF"/>
          <w:shd w:val="clear" w:color="auto" w:fill="9C4A45"/>
        </w:rPr>
        <w:t>长率</w:t>
        <w:tab/>
      </w:r>
    </w:p>
    <w:p>
      <w:pPr>
        <w:pStyle w:val="BodyText"/>
        <w:spacing w:before="7"/>
        <w:rPr>
          <w:sz w:val="10"/>
        </w:rPr>
      </w:pPr>
    </w:p>
    <w:p>
      <w:pPr>
        <w:spacing w:after="0"/>
        <w:rPr>
          <w:sz w:val="10"/>
        </w:rPr>
        <w:sectPr>
          <w:headerReference w:type="default" r:id="rId47"/>
          <w:footerReference w:type="default" r:id="rId48"/>
          <w:pgSz w:w="11910" w:h="16840"/>
          <w:pgMar w:top="1700" w:right="0" w:bottom="1500" w:left="440" w:header="708" w:footer="708"/>
          <w:pgNumType w:start="14"/>
          <w:cols w:space="708"/>
        </w:sectPr>
      </w:pPr>
    </w:p>
    <w:p>
      <w:pPr>
        <w:spacing w:before="94"/>
        <w:ind w:left="0" w:right="0" w:firstLine="0"/>
        <w:jc w:val="right"/>
        <w:rPr>
          <w:rFonts w:ascii="Times New Roman"/>
          <w:sz w:val="18"/>
        </w:rPr>
      </w:pPr>
      <w:r>
        <w:rPr>
          <w:rFonts w:ascii="Times New Roman"/>
          <w:spacing w:val="-1"/>
          <w:sz w:val="18"/>
        </w:rPr>
        <w:t>12000</w:t>
      </w:r>
    </w:p>
    <w:p>
      <w:pPr>
        <w:pStyle w:val="BodyText"/>
        <w:spacing w:before="8"/>
        <w:rPr>
          <w:rFonts w:ascii="Times New Roman"/>
          <w:sz w:val="18"/>
        </w:rPr>
      </w:pPr>
    </w:p>
    <w:p>
      <w:pPr>
        <w:spacing w:before="0"/>
        <w:ind w:left="0" w:right="0" w:firstLine="0"/>
        <w:jc w:val="right"/>
        <w:rPr>
          <w:rFonts w:ascii="Times New Roman"/>
          <w:sz w:val="18"/>
        </w:rPr>
      </w:pPr>
      <w:r>
        <w:rPr>
          <w:rFonts w:ascii="Times New Roman"/>
          <w:spacing w:val="-1"/>
          <w:sz w:val="18"/>
        </w:rPr>
        <w:t>10000</w:t>
      </w:r>
    </w:p>
    <w:p>
      <w:pPr>
        <w:pStyle w:val="BodyText"/>
        <w:spacing w:before="7"/>
        <w:rPr>
          <w:rFonts w:ascii="Times New Roman"/>
          <w:sz w:val="18"/>
        </w:rPr>
      </w:pPr>
    </w:p>
    <w:p>
      <w:pPr>
        <w:spacing w:before="1"/>
        <w:ind w:left="0" w:right="1" w:firstLine="0"/>
        <w:jc w:val="right"/>
        <w:rPr>
          <w:rFonts w:ascii="Times New Roman"/>
          <w:sz w:val="18"/>
        </w:rPr>
      </w:pPr>
      <w:r>
        <w:rPr>
          <w:rFonts w:ascii="Times New Roman"/>
          <w:spacing w:val="-2"/>
          <w:sz w:val="18"/>
        </w:rPr>
        <w:t>8000</w:t>
      </w:r>
    </w:p>
    <w:p>
      <w:pPr>
        <w:pStyle w:val="BodyText"/>
        <w:spacing w:before="7"/>
        <w:rPr>
          <w:rFonts w:ascii="Times New Roman"/>
          <w:sz w:val="18"/>
        </w:rPr>
      </w:pPr>
    </w:p>
    <w:p>
      <w:pPr>
        <w:spacing w:before="1"/>
        <w:ind w:left="0" w:right="1" w:firstLine="0"/>
        <w:jc w:val="right"/>
        <w:rPr>
          <w:rFonts w:ascii="Times New Roman"/>
          <w:sz w:val="18"/>
        </w:rPr>
      </w:pPr>
      <w:r>
        <w:rPr>
          <w:rFonts w:ascii="Times New Roman"/>
          <w:spacing w:val="-2"/>
          <w:sz w:val="18"/>
        </w:rPr>
        <w:t>6000</w:t>
      </w:r>
    </w:p>
    <w:p>
      <w:pPr>
        <w:pStyle w:val="BodyText"/>
        <w:spacing w:before="7"/>
        <w:rPr>
          <w:rFonts w:ascii="Times New Roman"/>
          <w:sz w:val="18"/>
        </w:rPr>
      </w:pPr>
    </w:p>
    <w:p>
      <w:pPr>
        <w:spacing w:before="0"/>
        <w:ind w:left="0" w:right="1" w:firstLine="0"/>
        <w:jc w:val="right"/>
        <w:rPr>
          <w:rFonts w:ascii="Times New Roman"/>
          <w:sz w:val="18"/>
        </w:rPr>
      </w:pPr>
      <w:r>
        <w:rPr>
          <w:rFonts w:ascii="Times New Roman"/>
          <w:spacing w:val="-2"/>
          <w:sz w:val="18"/>
        </w:rPr>
        <w:t>4000</w:t>
      </w:r>
    </w:p>
    <w:p>
      <w:pPr>
        <w:pStyle w:val="BodyText"/>
        <w:spacing w:before="8"/>
        <w:rPr>
          <w:rFonts w:ascii="Times New Roman"/>
          <w:sz w:val="18"/>
        </w:rPr>
      </w:pPr>
    </w:p>
    <w:p>
      <w:pPr>
        <w:spacing w:before="0"/>
        <w:ind w:left="0" w:right="1" w:firstLine="0"/>
        <w:jc w:val="right"/>
        <w:rPr>
          <w:rFonts w:ascii="Times New Roman"/>
          <w:sz w:val="18"/>
        </w:rPr>
      </w:pPr>
      <w:r>
        <w:rPr>
          <w:rFonts w:ascii="Times New Roman"/>
          <w:spacing w:val="-2"/>
          <w:sz w:val="18"/>
        </w:rPr>
        <w:t>2000</w:t>
      </w:r>
    </w:p>
    <w:p>
      <w:pPr>
        <w:pStyle w:val="BodyText"/>
        <w:spacing w:before="7"/>
        <w:rPr>
          <w:rFonts w:ascii="Times New Roman"/>
          <w:sz w:val="18"/>
        </w:rPr>
      </w:pPr>
    </w:p>
    <w:p>
      <w:pPr>
        <w:spacing w:before="1"/>
        <w:ind w:left="0" w:right="0" w:firstLine="0"/>
        <w:jc w:val="right"/>
        <w:rPr>
          <w:rFonts w:ascii="Times New Roman"/>
          <w:sz w:val="18"/>
        </w:rPr>
      </w:pPr>
      <w:r>
        <w:rPr>
          <w:rFonts w:ascii="Times New Roman"/>
          <w:w w:val="101"/>
          <w:sz w:val="18"/>
        </w:rPr>
        <w:t>0</w:t>
      </w:r>
    </w:p>
    <w:p>
      <w:pPr>
        <w:pStyle w:val="BodyText"/>
        <w:rPr>
          <w:rFonts w:ascii="Times New Roman"/>
          <w:sz w:val="24"/>
        </w:rPr>
      </w:pPr>
      <w:r>
        <w:br w:type="column"/>
      </w:r>
    </w:p>
    <w:p>
      <w:pPr>
        <w:pStyle w:val="BodyText"/>
        <w:rPr>
          <w:rFonts w:ascii="Times New Roman"/>
          <w:sz w:val="24"/>
        </w:rPr>
      </w:pPr>
    </w:p>
    <w:p>
      <w:pPr>
        <w:pStyle w:val="BodyText"/>
        <w:rPr>
          <w:rFonts w:ascii="Times New Roman"/>
          <w:sz w:val="24"/>
        </w:rPr>
      </w:pPr>
    </w:p>
    <w:p>
      <w:pPr>
        <w:pStyle w:val="BodyText"/>
        <w:rPr>
          <w:rFonts w:ascii="Times New Roman"/>
          <w:sz w:val="24"/>
        </w:rPr>
      </w:pPr>
    </w:p>
    <w:p>
      <w:pPr>
        <w:pStyle w:val="BodyText"/>
        <w:rPr>
          <w:rFonts w:ascii="Times New Roman"/>
          <w:sz w:val="24"/>
        </w:rPr>
      </w:pPr>
    </w:p>
    <w:p>
      <w:pPr>
        <w:pStyle w:val="BodyText"/>
        <w:rPr>
          <w:rFonts w:ascii="Times New Roman"/>
          <w:sz w:val="24"/>
        </w:rPr>
      </w:pPr>
    </w:p>
    <w:p>
      <w:pPr>
        <w:spacing w:before="190"/>
        <w:ind w:left="119" w:right="0" w:firstLine="0"/>
        <w:jc w:val="left"/>
        <w:rPr>
          <w:rFonts w:ascii="Times New Roman"/>
          <w:sz w:val="12"/>
        </w:rPr>
      </w:pPr>
      <w:r>
        <w:rPr>
          <w:rFonts w:ascii="Times New Roman"/>
          <w:spacing w:val="-3"/>
          <w:position w:val="-11"/>
          <w:sz w:val="12"/>
        </w:rPr>
        <w:t>2595</w:t>
      </w:r>
      <w:r>
        <w:rPr>
          <w:rFonts w:ascii="Times New Roman"/>
          <w:spacing w:val="-17"/>
          <w:position w:val="-11"/>
          <w:sz w:val="12"/>
        </w:rPr>
        <w:t xml:space="preserve"> </w:t>
      </w:r>
      <w:r>
        <w:rPr>
          <w:rFonts w:ascii="Times New Roman"/>
          <w:spacing w:val="-3"/>
          <w:position w:val="-5"/>
          <w:sz w:val="12"/>
        </w:rPr>
        <w:t>2842</w:t>
      </w:r>
      <w:r>
        <w:rPr>
          <w:rFonts w:ascii="Times New Roman"/>
          <w:spacing w:val="-18"/>
          <w:position w:val="-5"/>
          <w:sz w:val="12"/>
        </w:rPr>
        <w:t xml:space="preserve"> </w:t>
      </w:r>
      <w:r>
        <w:rPr>
          <w:rFonts w:ascii="Times New Roman"/>
          <w:spacing w:val="-3"/>
          <w:position w:val="-2"/>
          <w:sz w:val="12"/>
        </w:rPr>
        <w:t>3016</w:t>
      </w:r>
      <w:r>
        <w:rPr>
          <w:rFonts w:ascii="Times New Roman"/>
          <w:spacing w:val="-15"/>
          <w:position w:val="-2"/>
          <w:sz w:val="12"/>
        </w:rPr>
        <w:t xml:space="preserve"> </w:t>
      </w:r>
      <w:r>
        <w:rPr>
          <w:rFonts w:ascii="Times New Roman"/>
          <w:spacing w:val="-6"/>
          <w:sz w:val="12"/>
        </w:rPr>
        <w:t>3145</w:t>
      </w:r>
    </w:p>
    <w:p>
      <w:pPr>
        <w:pStyle w:val="BodyText"/>
        <w:rPr>
          <w:rFonts w:ascii="Times New Roman"/>
          <w:sz w:val="16"/>
        </w:rPr>
      </w:pPr>
      <w:r>
        <w:br w:type="column"/>
      </w: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spacing w:before="9"/>
        <w:rPr>
          <w:rFonts w:ascii="Times New Roman"/>
          <w:sz w:val="12"/>
        </w:rPr>
      </w:pPr>
    </w:p>
    <w:p>
      <w:pPr>
        <w:spacing w:before="0"/>
        <w:ind w:left="-27" w:right="0" w:firstLine="0"/>
        <w:jc w:val="left"/>
        <w:rPr>
          <w:rFonts w:ascii="Times New Roman"/>
          <w:sz w:val="12"/>
        </w:rPr>
      </w:pPr>
      <w:r>
        <w:rPr>
          <w:rFonts w:ascii="Times New Roman"/>
          <w:spacing w:val="-3"/>
          <w:position w:val="-2"/>
          <w:sz w:val="12"/>
        </w:rPr>
        <w:t xml:space="preserve">3224 </w:t>
      </w:r>
      <w:r>
        <w:rPr>
          <w:rFonts w:ascii="Times New Roman"/>
          <w:spacing w:val="-7"/>
          <w:sz w:val="12"/>
        </w:rPr>
        <w:t>3346</w:t>
      </w:r>
    </w:p>
    <w:p>
      <w:pPr>
        <w:pStyle w:val="BodyText"/>
        <w:rPr>
          <w:rFonts w:ascii="Times New Roman"/>
          <w:sz w:val="12"/>
        </w:rPr>
      </w:pPr>
      <w:r>
        <w:br w:type="column"/>
      </w: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spacing w:before="9"/>
        <w:rPr>
          <w:rFonts w:ascii="Times New Roman"/>
          <w:sz w:val="13"/>
        </w:rPr>
      </w:pPr>
    </w:p>
    <w:p>
      <w:pPr>
        <w:spacing w:before="0"/>
        <w:ind w:left="-27" w:right="0" w:firstLine="0"/>
        <w:jc w:val="left"/>
        <w:rPr>
          <w:rFonts w:ascii="Times New Roman"/>
          <w:sz w:val="12"/>
        </w:rPr>
      </w:pPr>
      <w:r>
        <w:rPr>
          <w:rFonts w:ascii="Times New Roman"/>
          <w:spacing w:val="-3"/>
          <w:sz w:val="12"/>
        </w:rPr>
        <w:t>3950</w:t>
      </w:r>
    </w:p>
    <w:p>
      <w:pPr>
        <w:pStyle w:val="BodyText"/>
        <w:rPr>
          <w:rFonts w:ascii="Times New Roman"/>
          <w:sz w:val="12"/>
        </w:rPr>
      </w:pPr>
      <w:r>
        <w:br w:type="column"/>
      </w: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spacing w:before="11"/>
        <w:rPr>
          <w:rFonts w:ascii="Times New Roman"/>
          <w:sz w:val="13"/>
        </w:rPr>
      </w:pPr>
    </w:p>
    <w:p>
      <w:pPr>
        <w:spacing w:before="0"/>
        <w:ind w:left="-26" w:right="0" w:firstLine="0"/>
        <w:jc w:val="left"/>
        <w:rPr>
          <w:rFonts w:ascii="Times New Roman"/>
          <w:sz w:val="12"/>
        </w:rPr>
      </w:pPr>
      <w:r>
        <w:rPr>
          <w:rFonts w:ascii="Times New Roman"/>
          <w:spacing w:val="-3"/>
          <w:sz w:val="12"/>
        </w:rPr>
        <w:t>4594</w:t>
      </w:r>
    </w:p>
    <w:p>
      <w:pPr>
        <w:pStyle w:val="BodyText"/>
        <w:rPr>
          <w:rFonts w:ascii="Times New Roman"/>
          <w:sz w:val="12"/>
        </w:rPr>
      </w:pPr>
      <w:r>
        <w:br w:type="column"/>
      </w: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6"/>
        </w:rPr>
      </w:pPr>
    </w:p>
    <w:p>
      <w:pPr>
        <w:spacing w:before="1"/>
        <w:ind w:left="-27" w:right="0" w:firstLine="0"/>
        <w:jc w:val="left"/>
        <w:rPr>
          <w:rFonts w:ascii="Times New Roman"/>
          <w:sz w:val="12"/>
        </w:rPr>
      </w:pPr>
      <w:r>
        <w:rPr>
          <w:rFonts w:ascii="Times New Roman"/>
          <w:spacing w:val="-3"/>
          <w:sz w:val="12"/>
        </w:rPr>
        <w:t>5133</w:t>
      </w:r>
    </w:p>
    <w:p>
      <w:pPr>
        <w:pStyle w:val="BodyText"/>
        <w:rPr>
          <w:rFonts w:ascii="Times New Roman"/>
          <w:sz w:val="12"/>
        </w:rPr>
      </w:pPr>
      <w:r>
        <w:br w:type="column"/>
      </w: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spacing w:before="6"/>
        <w:rPr>
          <w:rFonts w:ascii="Times New Roman"/>
          <w:sz w:val="13"/>
        </w:rPr>
      </w:pPr>
    </w:p>
    <w:p>
      <w:pPr>
        <w:spacing w:before="1"/>
        <w:ind w:left="-26" w:right="0" w:firstLine="0"/>
        <w:jc w:val="left"/>
        <w:rPr>
          <w:rFonts w:ascii="Times New Roman"/>
          <w:sz w:val="12"/>
        </w:rPr>
      </w:pPr>
      <w:r>
        <w:rPr>
          <w:rFonts w:ascii="Times New Roman"/>
          <w:spacing w:val="-3"/>
          <w:sz w:val="12"/>
        </w:rPr>
        <w:t>5923</w:t>
      </w:r>
    </w:p>
    <w:p>
      <w:pPr>
        <w:pStyle w:val="BodyText"/>
        <w:rPr>
          <w:rFonts w:ascii="Times New Roman"/>
          <w:sz w:val="12"/>
        </w:rPr>
      </w:pPr>
      <w:r>
        <w:br w:type="column"/>
      </w: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spacing w:before="94"/>
        <w:ind w:left="-27" w:right="0" w:firstLine="0"/>
        <w:jc w:val="left"/>
        <w:rPr>
          <w:rFonts w:ascii="Times New Roman"/>
          <w:sz w:val="12"/>
        </w:rPr>
      </w:pPr>
      <w:r>
        <w:rPr>
          <w:rFonts w:ascii="Times New Roman"/>
          <w:spacing w:val="-3"/>
          <w:sz w:val="12"/>
        </w:rPr>
        <w:t>6871</w:t>
      </w:r>
    </w:p>
    <w:p>
      <w:pPr>
        <w:pStyle w:val="BodyText"/>
        <w:rPr>
          <w:rFonts w:ascii="Times New Roman"/>
          <w:sz w:val="12"/>
        </w:rPr>
      </w:pPr>
      <w:r>
        <w:br w:type="column"/>
      </w: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rPr>
          <w:rFonts w:ascii="Times New Roman"/>
          <w:sz w:val="12"/>
        </w:rPr>
      </w:pPr>
    </w:p>
    <w:p>
      <w:pPr>
        <w:pStyle w:val="BodyText"/>
        <w:spacing w:before="7"/>
        <w:rPr>
          <w:rFonts w:ascii="Times New Roman"/>
          <w:sz w:val="13"/>
        </w:rPr>
      </w:pPr>
    </w:p>
    <w:p>
      <w:pPr>
        <w:spacing w:before="1"/>
        <w:ind w:left="-26" w:right="0" w:firstLine="0"/>
        <w:jc w:val="left"/>
        <w:rPr>
          <w:rFonts w:ascii="Times New Roman"/>
          <w:sz w:val="12"/>
        </w:rPr>
      </w:pPr>
      <w:r>
        <w:rPr>
          <w:rFonts w:ascii="Times New Roman"/>
          <w:spacing w:val="-3"/>
          <w:sz w:val="12"/>
        </w:rPr>
        <w:t>7881</w:t>
      </w:r>
    </w:p>
    <w:p>
      <w:pPr>
        <w:pStyle w:val="BodyText"/>
        <w:rPr>
          <w:rFonts w:ascii="Times New Roman"/>
          <w:sz w:val="12"/>
        </w:rPr>
      </w:pPr>
      <w:r>
        <w:br w:type="column"/>
      </w:r>
    </w:p>
    <w:p>
      <w:pPr>
        <w:pStyle w:val="BodyText"/>
        <w:rPr>
          <w:rFonts w:ascii="Times New Roman"/>
          <w:sz w:val="12"/>
        </w:rPr>
      </w:pPr>
    </w:p>
    <w:p>
      <w:pPr>
        <w:pStyle w:val="BodyText"/>
        <w:spacing w:before="3"/>
        <w:rPr>
          <w:rFonts w:ascii="Times New Roman"/>
          <w:sz w:val="10"/>
        </w:rPr>
      </w:pPr>
    </w:p>
    <w:p>
      <w:pPr>
        <w:spacing w:before="1"/>
        <w:ind w:left="189" w:right="0" w:firstLine="0"/>
        <w:jc w:val="left"/>
        <w:rPr>
          <w:rFonts w:ascii="Times New Roman"/>
          <w:sz w:val="12"/>
        </w:rPr>
      </w:pPr>
      <w:r>
        <w:rPr>
          <w:rFonts w:ascii="Times New Roman"/>
          <w:spacing w:val="-3"/>
          <w:sz w:val="12"/>
        </w:rPr>
        <w:t>10028</w:t>
      </w:r>
    </w:p>
    <w:p>
      <w:pPr>
        <w:spacing w:before="95"/>
        <w:ind w:left="-26" w:right="0" w:firstLine="0"/>
        <w:jc w:val="left"/>
        <w:rPr>
          <w:rFonts w:ascii="Times New Roman"/>
          <w:sz w:val="12"/>
        </w:rPr>
      </w:pPr>
      <w:r>
        <w:pict>
          <v:group id="_x0000_s1210" style="width:171.9pt;height:127.25pt;margin-top:-16.68pt;margin-left:70.03pt;mso-position-horizontal-relative:page;position:absolute;z-index:-251637760" coordorigin="1401,-334" coordsize="3438,2545">
            <v:line id="_x0000_s1211" style="position:absolute" from="1531,1657" to="1531,2204" stroked="t" strokecolor="#b34745" strokeweight="3.84pt">
              <v:stroke dashstyle="solid"/>
            </v:line>
            <v:rect id="_x0000_s1212" style="width:77;height:547;left:1492;position:absolute;top:1657" filled="f" stroked="t" strokecolor="#b34745" strokeweight="0.75pt">
              <v:stroke dashstyle="solid"/>
            </v:rect>
            <v:shape id="_x0000_s1213" style="width:54;height:2530;left:1408;position:absolute;top:-327" coordorigin="1408,-326" coordsize="54,2530" path="m1408,2204l1408,-326m1408,2204l1462,2204m1408,1782l1462,1782m1408,1359l1462,1359m1408,937l1462,937m1408,519l1462,519m1408,97l1462,97m1408,-326l1462,-326e" filled="f" stroked="t" strokecolor="#aeabab" strokeweight="0.75pt">
              <v:stroke dashstyle="solid"/>
              <v:path arrowok="t"/>
            </v:shape>
            <v:line id="_x0000_s1214" style="position:absolute" from="1776,1604" to="1776,2204" stroked="t" strokecolor="#b34745" strokeweight="3.84pt">
              <v:stroke dashstyle="solid"/>
            </v:line>
            <v:rect id="_x0000_s1215" style="width:77;height:600;left:1737;position:absolute;top:1604" filled="f" stroked="t" strokecolor="#b34745" strokeweight="0.75pt">
              <v:stroke dashstyle="solid"/>
            </v:rect>
            <v:line id="_x0000_s1216" style="position:absolute" from="2021,1566" to="2021,2204" stroked="t" strokecolor="#b34745" strokeweight="3.84pt">
              <v:stroke dashstyle="solid"/>
            </v:line>
            <v:rect id="_x0000_s1217" style="width:77;height:638;left:1982;position:absolute;top:1565" filled="f" stroked="t" strokecolor="#b34745" strokeweight="0.75pt">
              <v:stroke dashstyle="solid"/>
            </v:rect>
            <v:line id="_x0000_s1218" style="position:absolute" from="2266,1542" to="2266,2204" stroked="t" strokecolor="#b34745" strokeweight="3.84pt">
              <v:stroke dashstyle="solid"/>
            </v:line>
            <v:rect id="_x0000_s1219" style="width:77;height:662;left:2227;position:absolute;top:1541" filled="f" stroked="t" strokecolor="#b34745" strokeweight="0.75pt">
              <v:stroke dashstyle="solid"/>
            </v:rect>
            <v:line id="_x0000_s1220" style="position:absolute" from="2510,1523" to="2510,2204" stroked="t" strokecolor="#b34745" strokeweight="3.84pt">
              <v:stroke dashstyle="solid"/>
            </v:line>
            <v:rect id="_x0000_s1221" style="width:77;height:681;left:2472;position:absolute;top:1522" filled="f" stroked="t" strokecolor="#b34745" strokeweight="0.75pt">
              <v:stroke dashstyle="solid"/>
            </v:rect>
            <v:line id="_x0000_s1222" style="position:absolute" from="2753,1499" to="2753,2204" stroked="t" strokecolor="#b34745" strokeweight="3.6pt">
              <v:stroke dashstyle="solid"/>
            </v:line>
            <v:rect id="_x0000_s1223" style="width:72;height:705;left:2716;position:absolute;top:1498" filled="f" stroked="t" strokecolor="#b34745" strokeweight="0.75pt">
              <v:stroke dashstyle="solid"/>
            </v:rect>
            <v:line id="_x0000_s1224" style="position:absolute" from="2995,1369" to="2995,2204" stroked="t" strokecolor="#b34745" strokeweight="3.84pt">
              <v:stroke dashstyle="solid"/>
            </v:line>
            <v:rect id="_x0000_s1225" style="width:77;height:835;left:2956;position:absolute;top:1369" filled="f" stroked="t" strokecolor="#b34745" strokeweight="0.75pt">
              <v:stroke dashstyle="solid"/>
            </v:rect>
            <v:line id="_x0000_s1226" style="position:absolute" from="3240,1235" to="3240,2204" stroked="t" strokecolor="#b34745" strokeweight="3.84pt">
              <v:stroke dashstyle="solid"/>
            </v:line>
            <v:rect id="_x0000_s1227" style="width:77;height:969;left:3201;position:absolute;top:1234" filled="f" stroked="t" strokecolor="#b34745" strokeweight="0.75pt">
              <v:stroke dashstyle="solid"/>
            </v:rect>
            <v:line id="_x0000_s1228" style="position:absolute" from="3485,1119" to="3485,2204" stroked="t" strokecolor="#b34745" strokeweight="3.84pt">
              <v:stroke dashstyle="solid"/>
            </v:line>
            <v:rect id="_x0000_s1229" style="width:77;height:1085;left:3446;position:absolute;top:1119" filled="f" stroked="t" strokecolor="#b34745" strokeweight="0.75pt">
              <v:stroke dashstyle="solid"/>
            </v:rect>
            <v:line id="_x0000_s1230" style="position:absolute" from="3730,956" to="3730,2204" stroked="t" strokecolor="#b34745" strokeweight="3.84pt">
              <v:stroke dashstyle="solid"/>
            </v:line>
            <v:rect id="_x0000_s1231" style="width:77;height:1248;left:3691;position:absolute;top:956" filled="f" stroked="t" strokecolor="#b34745" strokeweight="0.75pt">
              <v:stroke dashstyle="solid"/>
            </v:rect>
            <v:line id="_x0000_s1232" style="position:absolute" from="3974,755" to="3974,2204" stroked="t" strokecolor="#b34745" strokeweight="3.84pt">
              <v:stroke dashstyle="solid"/>
            </v:line>
            <v:rect id="_x0000_s1233" style="width:77;height:1449;left:3936;position:absolute;top:754" filled="f" stroked="t" strokecolor="#b34745" strokeweight="0.75pt">
              <v:stroke dashstyle="solid"/>
            </v:rect>
            <v:line id="_x0000_s1234" style="position:absolute" from="4219,543" to="4219,2204" stroked="t" strokecolor="#b34745" strokeweight="3.84pt">
              <v:stroke dashstyle="solid"/>
            </v:line>
            <v:rect id="_x0000_s1235" style="width:77;height:1661;left:4180;position:absolute;top:543" filled="f" stroked="t" strokecolor="#b34745" strokeweight="0.75pt">
              <v:stroke dashstyle="solid"/>
            </v:rect>
            <v:line id="_x0000_s1236" style="position:absolute" from="4464,323" to="4464,2204" stroked="t" strokecolor="#b34745" strokeweight="3.84pt">
              <v:stroke dashstyle="solid"/>
            </v:line>
            <v:rect id="_x0000_s1237" style="width:77;height:1881;left:4425;position:absolute;top:322" filled="f" stroked="t" strokecolor="#b34745" strokeweight="0.75pt">
              <v:stroke dashstyle="solid"/>
            </v:rect>
            <v:line id="_x0000_s1238" style="position:absolute" from="4709,87" to="4709,2204" stroked="t" strokecolor="#b34745" strokeweight="3.84pt">
              <v:stroke dashstyle="solid"/>
            </v:line>
            <v:rect id="_x0000_s1239" style="width:77;height:2117;left:4670;position:absolute;top:87" filled="f" stroked="t" strokecolor="#b34745" strokeweight="0.75pt">
              <v:stroke dashstyle="solid"/>
            </v:rect>
            <v:shape id="_x0000_s1240" style="width:54;height:2530;left:4777;position:absolute;top:-327" coordorigin="4778,-326" coordsize="54,2530" path="m4831,2204l4831,-326m4778,2204l4831,2204m4778,1950l4831,1950m4778,1695l4831,1695m4778,1446l4831,1446m4778,1191l4831,1191m4778,937l4831,937m4778,687l4831,687m4778,433l4831,433m4778,179l4831,179m4778,-71l4831,-71m4778,-326l4831,-326e" filled="f" stroked="t" strokecolor="#aeabab" strokeweight="0.75pt">
              <v:stroke dashstyle="solid"/>
              <v:path arrowok="t"/>
            </v:shape>
            <v:line id="_x0000_s1241" style="position:absolute" from="1408,2204" to="4831,2204" stroked="t" strokecolor="#d9d9d9" strokeweight="0.75pt">
              <v:stroke dashstyle="solid"/>
            </v:line>
            <v:shape id="_x0000_s1242" style="width:2934;height:1974;left:1774;position:absolute;top:-86" coordorigin="1775,-86" coordsize="2934,1974" path="m1775,1004l2021,1431,2266,1662,2510,1887,2755,1724,2995,-86,3240,140,3485,726,3730,255,3974,179,4219,347,4464,534,4709,635e" filled="f" stroked="t" strokecolor="#d99d24" strokeweight="2.25pt">
              <v:stroke dashstyle="solid"/>
              <v:path arrowok="t"/>
            </v:shape>
          </v:group>
        </w:pict>
      </w:r>
      <w:r>
        <w:rPr>
          <w:rFonts w:ascii="Times New Roman"/>
          <w:sz w:val="12"/>
        </w:rPr>
        <w:t>8921</w:t>
      </w:r>
    </w:p>
    <w:p>
      <w:pPr>
        <w:spacing w:before="94"/>
        <w:ind w:left="90" w:right="0" w:firstLine="0"/>
        <w:jc w:val="left"/>
        <w:rPr>
          <w:rFonts w:ascii="Times New Roman"/>
          <w:sz w:val="18"/>
        </w:rPr>
      </w:pPr>
      <w:r>
        <w:br w:type="column"/>
      </w:r>
      <w:r>
        <w:rPr>
          <w:rFonts w:ascii="Times New Roman"/>
          <w:sz w:val="18"/>
        </w:rPr>
        <w:t>20%</w:t>
      </w:r>
    </w:p>
    <w:p>
      <w:pPr>
        <w:spacing w:before="46"/>
        <w:ind w:left="90" w:right="0" w:firstLine="0"/>
        <w:jc w:val="left"/>
        <w:rPr>
          <w:rFonts w:ascii="Times New Roman"/>
          <w:sz w:val="18"/>
        </w:rPr>
      </w:pPr>
      <w:r>
        <w:rPr>
          <w:rFonts w:ascii="Times New Roman"/>
          <w:sz w:val="18"/>
        </w:rPr>
        <w:t>18%</w:t>
      </w:r>
    </w:p>
    <w:p>
      <w:pPr>
        <w:spacing w:before="46"/>
        <w:ind w:left="90" w:right="0" w:firstLine="0"/>
        <w:jc w:val="left"/>
        <w:rPr>
          <w:rFonts w:ascii="Times New Roman"/>
          <w:sz w:val="18"/>
        </w:rPr>
      </w:pPr>
      <w:r>
        <w:rPr>
          <w:rFonts w:ascii="Times New Roman"/>
          <w:sz w:val="18"/>
        </w:rPr>
        <w:t>16%</w:t>
      </w:r>
    </w:p>
    <w:p>
      <w:pPr>
        <w:spacing w:before="46"/>
        <w:ind w:left="90" w:right="0" w:firstLine="0"/>
        <w:jc w:val="left"/>
        <w:rPr>
          <w:rFonts w:ascii="Times New Roman"/>
          <w:sz w:val="18"/>
        </w:rPr>
      </w:pPr>
      <w:r>
        <w:rPr>
          <w:rFonts w:ascii="Times New Roman"/>
          <w:sz w:val="18"/>
        </w:rPr>
        <w:t>14%</w:t>
      </w:r>
    </w:p>
    <w:p>
      <w:pPr>
        <w:spacing w:before="46"/>
        <w:ind w:left="90" w:right="0" w:firstLine="0"/>
        <w:jc w:val="left"/>
        <w:rPr>
          <w:rFonts w:ascii="Times New Roman"/>
          <w:sz w:val="18"/>
        </w:rPr>
      </w:pPr>
      <w:r>
        <w:rPr>
          <w:rFonts w:ascii="Times New Roman"/>
          <w:sz w:val="18"/>
        </w:rPr>
        <w:t>12%</w:t>
      </w:r>
    </w:p>
    <w:p>
      <w:pPr>
        <w:spacing w:before="47"/>
        <w:ind w:left="90" w:right="0" w:firstLine="0"/>
        <w:jc w:val="left"/>
        <w:rPr>
          <w:rFonts w:ascii="Times New Roman"/>
          <w:sz w:val="18"/>
        </w:rPr>
      </w:pPr>
      <w:r>
        <w:rPr>
          <w:rFonts w:ascii="Times New Roman"/>
          <w:sz w:val="18"/>
        </w:rPr>
        <w:t>10%</w:t>
      </w:r>
    </w:p>
    <w:p>
      <w:pPr>
        <w:spacing w:before="46"/>
        <w:ind w:left="90" w:right="0" w:firstLine="0"/>
        <w:jc w:val="left"/>
        <w:rPr>
          <w:rFonts w:ascii="Times New Roman"/>
          <w:sz w:val="18"/>
        </w:rPr>
      </w:pPr>
      <w:r>
        <w:rPr>
          <w:rFonts w:ascii="Times New Roman"/>
          <w:sz w:val="18"/>
        </w:rPr>
        <w:t>8%</w:t>
      </w:r>
    </w:p>
    <w:p>
      <w:pPr>
        <w:spacing w:before="46"/>
        <w:ind w:left="90" w:right="0" w:firstLine="0"/>
        <w:jc w:val="left"/>
        <w:rPr>
          <w:rFonts w:ascii="Times New Roman"/>
          <w:sz w:val="18"/>
        </w:rPr>
      </w:pPr>
      <w:r>
        <w:rPr>
          <w:rFonts w:ascii="Times New Roman"/>
          <w:sz w:val="18"/>
        </w:rPr>
        <w:t>6%</w:t>
      </w:r>
    </w:p>
    <w:p>
      <w:pPr>
        <w:spacing w:before="45"/>
        <w:ind w:left="90" w:right="0" w:firstLine="0"/>
        <w:jc w:val="left"/>
        <w:rPr>
          <w:rFonts w:ascii="Times New Roman"/>
          <w:sz w:val="18"/>
        </w:rPr>
      </w:pPr>
      <w:r>
        <w:rPr>
          <w:rFonts w:ascii="Times New Roman"/>
          <w:sz w:val="18"/>
        </w:rPr>
        <w:t>4%</w:t>
      </w:r>
    </w:p>
    <w:p>
      <w:pPr>
        <w:spacing w:before="46"/>
        <w:ind w:left="90" w:right="0" w:firstLine="0"/>
        <w:jc w:val="left"/>
        <w:rPr>
          <w:rFonts w:ascii="Times New Roman"/>
          <w:sz w:val="18"/>
        </w:rPr>
      </w:pPr>
      <w:r>
        <w:rPr>
          <w:rFonts w:ascii="Times New Roman"/>
          <w:sz w:val="18"/>
        </w:rPr>
        <w:t>2%</w:t>
      </w:r>
    </w:p>
    <w:p>
      <w:pPr>
        <w:spacing w:before="46"/>
        <w:ind w:left="90" w:right="0" w:firstLine="0"/>
        <w:jc w:val="left"/>
        <w:rPr>
          <w:rFonts w:ascii="Times New Roman"/>
          <w:sz w:val="18"/>
        </w:rPr>
      </w:pPr>
      <w:r>
        <w:rPr>
          <w:rFonts w:ascii="Times New Roman"/>
          <w:sz w:val="18"/>
        </w:rPr>
        <w:t>0%</w:t>
      </w:r>
    </w:p>
    <w:p>
      <w:pPr>
        <w:spacing w:before="110"/>
        <w:ind w:left="0" w:right="41" w:firstLine="0"/>
        <w:jc w:val="right"/>
        <w:rPr>
          <w:rFonts w:ascii="Times New Roman"/>
          <w:sz w:val="18"/>
        </w:rPr>
      </w:pPr>
      <w:r>
        <w:br w:type="column"/>
      </w:r>
      <w:r>
        <w:rPr>
          <w:rFonts w:ascii="Times New Roman"/>
          <w:spacing w:val="-2"/>
          <w:sz w:val="18"/>
        </w:rPr>
        <w:t>4000</w:t>
      </w:r>
    </w:p>
    <w:p>
      <w:pPr>
        <w:spacing w:before="92"/>
        <w:ind w:left="0" w:right="41" w:firstLine="0"/>
        <w:jc w:val="right"/>
        <w:rPr>
          <w:rFonts w:ascii="Times New Roman"/>
          <w:sz w:val="18"/>
        </w:rPr>
      </w:pPr>
      <w:r>
        <w:rPr>
          <w:rFonts w:ascii="Times New Roman"/>
          <w:spacing w:val="-2"/>
          <w:sz w:val="18"/>
        </w:rPr>
        <w:t>3500</w:t>
      </w:r>
    </w:p>
    <w:p>
      <w:pPr>
        <w:spacing w:before="91"/>
        <w:ind w:left="0" w:right="41" w:firstLine="0"/>
        <w:jc w:val="right"/>
        <w:rPr>
          <w:rFonts w:ascii="Times New Roman"/>
          <w:sz w:val="18"/>
        </w:rPr>
      </w:pPr>
      <w:r>
        <w:rPr>
          <w:rFonts w:ascii="Times New Roman"/>
          <w:spacing w:val="-2"/>
          <w:sz w:val="18"/>
        </w:rPr>
        <w:t>3000</w:t>
      </w:r>
    </w:p>
    <w:p>
      <w:pPr>
        <w:spacing w:before="92"/>
        <w:ind w:left="0" w:right="41" w:firstLine="0"/>
        <w:jc w:val="right"/>
        <w:rPr>
          <w:rFonts w:ascii="Times New Roman"/>
          <w:sz w:val="18"/>
        </w:rPr>
      </w:pPr>
      <w:r>
        <w:rPr>
          <w:rFonts w:ascii="Times New Roman"/>
          <w:spacing w:val="-2"/>
          <w:sz w:val="18"/>
        </w:rPr>
        <w:t>2500</w:t>
      </w:r>
    </w:p>
    <w:p>
      <w:pPr>
        <w:spacing w:before="91"/>
        <w:ind w:left="0" w:right="41" w:firstLine="0"/>
        <w:jc w:val="right"/>
        <w:rPr>
          <w:rFonts w:ascii="Times New Roman"/>
          <w:sz w:val="18"/>
        </w:rPr>
      </w:pPr>
      <w:r>
        <w:rPr>
          <w:rFonts w:ascii="Times New Roman"/>
          <w:spacing w:val="-2"/>
          <w:sz w:val="18"/>
        </w:rPr>
        <w:t>2000</w:t>
      </w:r>
    </w:p>
    <w:p>
      <w:pPr>
        <w:spacing w:before="92"/>
        <w:ind w:left="0" w:right="41" w:firstLine="0"/>
        <w:jc w:val="right"/>
        <w:rPr>
          <w:rFonts w:ascii="Times New Roman"/>
          <w:sz w:val="18"/>
        </w:rPr>
      </w:pPr>
      <w:r>
        <w:rPr>
          <w:rFonts w:ascii="Times New Roman"/>
          <w:spacing w:val="-2"/>
          <w:sz w:val="18"/>
        </w:rPr>
        <w:t>1500</w:t>
      </w:r>
    </w:p>
    <w:p>
      <w:pPr>
        <w:spacing w:before="92"/>
        <w:ind w:left="0" w:right="41" w:firstLine="0"/>
        <w:jc w:val="right"/>
        <w:rPr>
          <w:rFonts w:ascii="Times New Roman"/>
          <w:sz w:val="18"/>
        </w:rPr>
      </w:pPr>
      <w:r>
        <w:rPr>
          <w:rFonts w:ascii="Times New Roman"/>
          <w:spacing w:val="-2"/>
          <w:sz w:val="18"/>
        </w:rPr>
        <w:t>1000</w:t>
      </w:r>
    </w:p>
    <w:p>
      <w:pPr>
        <w:spacing w:before="91"/>
        <w:ind w:left="0" w:right="38" w:firstLine="0"/>
        <w:jc w:val="right"/>
        <w:rPr>
          <w:rFonts w:ascii="Times New Roman"/>
          <w:sz w:val="18"/>
        </w:rPr>
      </w:pPr>
      <w:r>
        <w:rPr>
          <w:rFonts w:ascii="Times New Roman"/>
          <w:sz w:val="18"/>
        </w:rPr>
        <w:t>500</w:t>
      </w:r>
    </w:p>
    <w:p>
      <w:pPr>
        <w:spacing w:before="92"/>
        <w:ind w:left="0" w:right="40" w:firstLine="0"/>
        <w:jc w:val="right"/>
        <w:rPr>
          <w:rFonts w:ascii="Times New Roman"/>
          <w:sz w:val="18"/>
        </w:rPr>
      </w:pPr>
      <w:r>
        <w:pict>
          <v:shape id="_x0000_s1243" type="#_x0000_t202" style="width:171.1pt;height:20.05pt;margin-top:20.94pt;margin-left:70.36pt;mso-position-horizontal-relative:page;position:absolute;z-index:251680768" filled="f" stroked="f">
            <v:textbox style="layout-flow:vertical;mso-layout-flow-alt:bottom-to-top" inset="0,0,0,0">
              <w:txbxContent>
                <w:p>
                  <w:pPr>
                    <w:spacing w:before="14"/>
                    <w:ind w:left="20" w:right="0" w:firstLine="0"/>
                    <w:jc w:val="left"/>
                    <w:rPr>
                      <w:rFonts w:ascii="Times New Roman"/>
                      <w:sz w:val="18"/>
                    </w:rPr>
                  </w:pPr>
                  <w:r>
                    <w:rPr>
                      <w:rFonts w:ascii="Times New Roman"/>
                      <w:sz w:val="18"/>
                    </w:rPr>
                    <w:t>2014</w:t>
                  </w:r>
                </w:p>
                <w:p>
                  <w:pPr>
                    <w:spacing w:before="38"/>
                    <w:ind w:left="20" w:right="0" w:firstLine="0"/>
                    <w:jc w:val="left"/>
                    <w:rPr>
                      <w:rFonts w:ascii="Times New Roman"/>
                      <w:sz w:val="18"/>
                    </w:rPr>
                  </w:pPr>
                  <w:r>
                    <w:rPr>
                      <w:rFonts w:ascii="Times New Roman"/>
                      <w:sz w:val="18"/>
                    </w:rPr>
                    <w:t>2015</w:t>
                  </w:r>
                </w:p>
                <w:p>
                  <w:pPr>
                    <w:spacing w:before="37"/>
                    <w:ind w:left="20" w:right="0" w:firstLine="0"/>
                    <w:jc w:val="left"/>
                    <w:rPr>
                      <w:rFonts w:ascii="Times New Roman"/>
                      <w:sz w:val="18"/>
                    </w:rPr>
                  </w:pPr>
                  <w:r>
                    <w:rPr>
                      <w:rFonts w:ascii="Times New Roman"/>
                      <w:sz w:val="18"/>
                    </w:rPr>
                    <w:t>2016</w:t>
                  </w:r>
                </w:p>
                <w:p>
                  <w:pPr>
                    <w:spacing w:before="38"/>
                    <w:ind w:left="20" w:right="0" w:firstLine="0"/>
                    <w:jc w:val="left"/>
                    <w:rPr>
                      <w:rFonts w:ascii="Times New Roman"/>
                      <w:sz w:val="18"/>
                    </w:rPr>
                  </w:pPr>
                  <w:r>
                    <w:rPr>
                      <w:rFonts w:ascii="Times New Roman"/>
                      <w:sz w:val="18"/>
                    </w:rPr>
                    <w:t>2017</w:t>
                  </w:r>
                </w:p>
                <w:p>
                  <w:pPr>
                    <w:spacing w:before="38"/>
                    <w:ind w:left="20" w:right="0" w:firstLine="0"/>
                    <w:jc w:val="left"/>
                    <w:rPr>
                      <w:rFonts w:ascii="Times New Roman"/>
                      <w:sz w:val="18"/>
                    </w:rPr>
                  </w:pPr>
                  <w:r>
                    <w:rPr>
                      <w:rFonts w:ascii="Times New Roman"/>
                      <w:sz w:val="18"/>
                    </w:rPr>
                    <w:t>2018</w:t>
                  </w:r>
                </w:p>
                <w:p>
                  <w:pPr>
                    <w:spacing w:before="37"/>
                    <w:ind w:left="20" w:right="0" w:firstLine="0"/>
                    <w:jc w:val="left"/>
                    <w:rPr>
                      <w:rFonts w:ascii="Times New Roman"/>
                      <w:sz w:val="18"/>
                    </w:rPr>
                  </w:pPr>
                  <w:r>
                    <w:rPr>
                      <w:rFonts w:ascii="Times New Roman"/>
                      <w:sz w:val="18"/>
                    </w:rPr>
                    <w:t>2019</w:t>
                  </w:r>
                </w:p>
                <w:p>
                  <w:pPr>
                    <w:spacing w:before="38"/>
                    <w:ind w:left="20" w:right="0" w:firstLine="0"/>
                    <w:jc w:val="left"/>
                    <w:rPr>
                      <w:rFonts w:ascii="Times New Roman"/>
                      <w:sz w:val="18"/>
                    </w:rPr>
                  </w:pPr>
                  <w:r>
                    <w:rPr>
                      <w:rFonts w:ascii="Times New Roman"/>
                      <w:sz w:val="18"/>
                    </w:rPr>
                    <w:t>2020</w:t>
                  </w:r>
                </w:p>
                <w:p>
                  <w:pPr>
                    <w:spacing w:before="38"/>
                    <w:ind w:left="20" w:right="0" w:firstLine="0"/>
                    <w:jc w:val="left"/>
                    <w:rPr>
                      <w:rFonts w:ascii="Times New Roman"/>
                      <w:sz w:val="18"/>
                    </w:rPr>
                  </w:pPr>
                  <w:r>
                    <w:rPr>
                      <w:rFonts w:ascii="Times New Roman"/>
                      <w:sz w:val="18"/>
                    </w:rPr>
                    <w:t>2021</w:t>
                  </w:r>
                </w:p>
                <w:p>
                  <w:pPr>
                    <w:spacing w:before="37"/>
                    <w:ind w:left="20" w:right="0" w:firstLine="0"/>
                    <w:jc w:val="left"/>
                    <w:rPr>
                      <w:rFonts w:ascii="Times New Roman"/>
                      <w:sz w:val="18"/>
                    </w:rPr>
                  </w:pPr>
                  <w:r>
                    <w:rPr>
                      <w:rFonts w:ascii="Times New Roman"/>
                      <w:sz w:val="18"/>
                    </w:rPr>
                    <w:t>2022</w:t>
                  </w:r>
                </w:p>
                <w:p>
                  <w:pPr>
                    <w:spacing w:before="38"/>
                    <w:ind w:left="20" w:right="0" w:firstLine="0"/>
                    <w:jc w:val="left"/>
                    <w:rPr>
                      <w:rFonts w:ascii="Times New Roman"/>
                      <w:sz w:val="18"/>
                    </w:rPr>
                  </w:pPr>
                  <w:r>
                    <w:rPr>
                      <w:rFonts w:ascii="Times New Roman"/>
                      <w:sz w:val="18"/>
                    </w:rPr>
                    <w:t>2023</w:t>
                  </w:r>
                </w:p>
                <w:p>
                  <w:pPr>
                    <w:spacing w:before="37"/>
                    <w:ind w:left="20" w:right="0" w:firstLine="0"/>
                    <w:jc w:val="left"/>
                    <w:rPr>
                      <w:rFonts w:ascii="Times New Roman"/>
                      <w:sz w:val="18"/>
                    </w:rPr>
                  </w:pPr>
                  <w:r>
                    <w:rPr>
                      <w:rFonts w:ascii="Times New Roman"/>
                      <w:sz w:val="18"/>
                    </w:rPr>
                    <w:t>2024</w:t>
                  </w:r>
                </w:p>
                <w:p>
                  <w:pPr>
                    <w:spacing w:before="38"/>
                    <w:ind w:left="20" w:right="0" w:firstLine="0"/>
                    <w:jc w:val="left"/>
                    <w:rPr>
                      <w:rFonts w:ascii="Times New Roman"/>
                      <w:sz w:val="18"/>
                    </w:rPr>
                  </w:pPr>
                  <w:r>
                    <w:rPr>
                      <w:rFonts w:ascii="Times New Roman"/>
                      <w:sz w:val="18"/>
                    </w:rPr>
                    <w:t>2025</w:t>
                  </w:r>
                </w:p>
                <w:p>
                  <w:pPr>
                    <w:spacing w:before="38"/>
                    <w:ind w:left="20" w:right="0" w:firstLine="0"/>
                    <w:jc w:val="left"/>
                    <w:rPr>
                      <w:rFonts w:ascii="Times New Roman"/>
                      <w:sz w:val="18"/>
                    </w:rPr>
                  </w:pPr>
                  <w:r>
                    <w:rPr>
                      <w:rFonts w:ascii="Times New Roman"/>
                      <w:sz w:val="18"/>
                    </w:rPr>
                    <w:t>2026</w:t>
                  </w:r>
                </w:p>
                <w:p>
                  <w:pPr>
                    <w:spacing w:before="37"/>
                    <w:ind w:left="20" w:right="0" w:firstLine="0"/>
                    <w:jc w:val="left"/>
                    <w:rPr>
                      <w:rFonts w:ascii="Times New Roman"/>
                      <w:sz w:val="18"/>
                    </w:rPr>
                  </w:pPr>
                  <w:r>
                    <w:rPr>
                      <w:rFonts w:ascii="Times New Roman"/>
                      <w:sz w:val="18"/>
                    </w:rPr>
                    <w:t>2027</w:t>
                  </w:r>
                </w:p>
              </w:txbxContent>
            </v:textbox>
          </v:shape>
        </w:pict>
      </w:r>
      <w:r>
        <w:rPr>
          <w:rFonts w:ascii="Times New Roman"/>
          <w:w w:val="101"/>
          <w:sz w:val="18"/>
        </w:rPr>
        <w:t>0</w:t>
      </w:r>
    </w:p>
    <w:p>
      <w:pPr>
        <w:spacing w:before="110"/>
        <w:ind w:left="365" w:right="0" w:firstLine="0"/>
        <w:jc w:val="left"/>
        <w:rPr>
          <w:rFonts w:ascii="Times New Roman"/>
          <w:sz w:val="18"/>
        </w:rPr>
      </w:pPr>
      <w:r>
        <w:br w:type="column"/>
      </w:r>
      <w:r>
        <w:rPr>
          <w:rFonts w:ascii="Times New Roman"/>
          <w:sz w:val="18"/>
        </w:rPr>
        <w:t>18%</w:t>
      </w:r>
    </w:p>
    <w:p>
      <w:pPr>
        <w:spacing w:before="59"/>
        <w:ind w:left="365" w:right="0" w:firstLine="0"/>
        <w:jc w:val="left"/>
        <w:rPr>
          <w:rFonts w:ascii="Times New Roman"/>
          <w:sz w:val="18"/>
        </w:rPr>
      </w:pPr>
      <w:r>
        <w:pict>
          <v:group id="_x0000_s1244" style="width:177.85pt;height:120.15pt;margin-top:-5.06pt;margin-left:326.58pt;mso-position-horizontal-relative:page;position:absolute;z-index:251679744" coordorigin="6532,-101" coordsize="3557,2403">
            <v:line id="_x0000_s1245" style="position:absolute" from="6643,2037" to="6643,2294" stroked="t" strokecolor="#b34745" strokeweight="5.76pt">
              <v:stroke dashstyle="solid"/>
            </v:line>
            <v:rect id="_x0000_s1246" style="width:116;height:258;left:6585;position:absolute;top:2036" filled="f" stroked="t" strokecolor="#b34745" strokeweight="0.75pt">
              <v:stroke dashstyle="solid"/>
            </v:rect>
            <v:shape id="_x0000_s1247" style="width:54;height:2388;left:6539;position:absolute;top:-94" coordorigin="6539,-94" coordsize="54,2388" path="m6539,2294l6539,-94m6539,2294l6593,2294m6539,1993l6593,1993m6539,1696l6593,1696m6539,1398l6593,1398m6539,1101l6593,1101m6539,803l6593,803m6539,505l6593,505m6539,203l6593,203m6539,-94l6593,-94e" filled="f" stroked="t" strokecolor="#aeabab" strokeweight="0.75pt">
              <v:stroke dashstyle="solid"/>
              <v:path arrowok="t"/>
            </v:shape>
            <v:line id="_x0000_s1248" style="position:absolute" from="6850,1998" to="6850,2294" stroked="t" strokecolor="#b34745" strokeweight="5.76pt">
              <v:stroke dashstyle="solid"/>
            </v:line>
            <v:rect id="_x0000_s1249" style="width:116;height:296;left:6792;position:absolute;top:1998" filled="f" stroked="t" strokecolor="#b34745" strokeweight="0.75pt">
              <v:stroke dashstyle="solid"/>
            </v:rect>
            <v:line id="_x0000_s1250" style="position:absolute" from="7056,1955" to="7056,2294" stroked="t" strokecolor="#b34745" strokeweight="5.76pt">
              <v:stroke dashstyle="solid"/>
            </v:line>
            <v:rect id="_x0000_s1251" style="width:116;height:339;left:6998;position:absolute;top:1955" filled="f" stroked="t" strokecolor="#b34745" strokeweight="0.75pt">
              <v:stroke dashstyle="solid"/>
            </v:rect>
            <v:line id="_x0000_s1252" style="position:absolute" from="7262,1902" to="7262,2294" stroked="t" strokecolor="#b34745" strokeweight="5.76pt">
              <v:stroke dashstyle="solid"/>
            </v:line>
            <v:rect id="_x0000_s1253" style="width:116;height:392;left:7204;position:absolute;top:1902" filled="f" stroked="t" strokecolor="#b34745" strokeweight="0.75pt">
              <v:stroke dashstyle="solid"/>
            </v:rect>
            <v:line id="_x0000_s1254" style="position:absolute" from="7469,1845" to="7469,2294" stroked="t" strokecolor="#b34745" strokeweight="5.76pt">
              <v:stroke dashstyle="solid"/>
            </v:line>
            <v:rect id="_x0000_s1255" style="width:116;height:450;left:7411;position:absolute;top:1844" filled="f" stroked="t" strokecolor="#b34745" strokeweight="0.75pt">
              <v:stroke dashstyle="solid"/>
            </v:rect>
            <v:line id="_x0000_s1256" style="position:absolute" from="7675,1782" to="7675,2294" stroked="t" strokecolor="#b34745" strokeweight="5.76pt">
              <v:stroke dashstyle="solid"/>
            </v:line>
            <v:rect id="_x0000_s1257" style="width:116;height:512;left:7617;position:absolute;top:1782" filled="f" stroked="t" strokecolor="#b34745" strokeweight="0.75pt">
              <v:stroke dashstyle="solid"/>
            </v:rect>
            <v:line id="_x0000_s1258" style="position:absolute" from="7882,1705" to="7882,2294" stroked="t" strokecolor="#b34745" strokeweight="5.76pt">
              <v:stroke dashstyle="solid"/>
            </v:line>
            <v:rect id="_x0000_s1259" style="width:116;height:589;left:7824;position:absolute;top:1705" filled="f" stroked="t" strokecolor="#b34745" strokeweight="0.75pt">
              <v:stroke dashstyle="solid"/>
            </v:rect>
            <v:line id="_x0000_s1260" style="position:absolute" from="8088,1619" to="8088,2294" stroked="t" strokecolor="#b34745" strokeweight="5.76pt">
              <v:stroke dashstyle="solid"/>
            </v:line>
            <v:rect id="_x0000_s1261" style="width:116;height:675;left:8030;position:absolute;top:1619" filled="f" stroked="t" strokecolor="#b34745" strokeweight="0.75pt">
              <v:stroke dashstyle="solid"/>
            </v:rect>
            <v:line id="_x0000_s1262" style="position:absolute" from="8297,1537" to="8297,2294" stroked="t" strokecolor="#b34745" strokeweight="6pt">
              <v:stroke dashstyle="solid"/>
            </v:line>
            <v:rect id="_x0000_s1263" style="width:120;height:757;left:8236;position:absolute;top:1537" filled="f" stroked="t" strokecolor="#b34745" strokeweight="0.75pt">
              <v:stroke dashstyle="solid"/>
            </v:rect>
            <v:line id="_x0000_s1264" style="position:absolute" from="8503,1451" to="8503,2294" stroked="t" strokecolor="#b34745" strokeweight="6pt">
              <v:stroke dashstyle="solid"/>
            </v:line>
            <v:rect id="_x0000_s1265" style="width:120;height:843;left:8443;position:absolute;top:1451" filled="f" stroked="t" strokecolor="#b34745" strokeweight="0.75pt">
              <v:stroke dashstyle="solid"/>
            </v:rect>
            <v:line id="_x0000_s1266" style="position:absolute" from="8710,1345" to="8710,2294" stroked="t" strokecolor="#b34745" strokeweight="6pt">
              <v:stroke dashstyle="solid"/>
            </v:line>
            <v:rect id="_x0000_s1267" style="width:120;height:949;left:8649;position:absolute;top:1345" filled="f" stroked="t" strokecolor="#b34745" strokeweight="0.75pt">
              <v:stroke dashstyle="solid"/>
            </v:rect>
            <v:line id="_x0000_s1268" style="position:absolute" from="8916,1230" to="8916,2294" stroked="t" strokecolor="#b34745" strokeweight="6pt">
              <v:stroke dashstyle="solid"/>
            </v:line>
            <v:rect id="_x0000_s1269" style="width:120;height:1064;left:8856;position:absolute;top:1230" filled="f" stroked="t" strokecolor="#b34745" strokeweight="0.75pt">
              <v:stroke dashstyle="solid"/>
            </v:rect>
            <v:line id="_x0000_s1270" style="position:absolute" from="9122,1081" to="9122,2294" stroked="t" strokecolor="#b34745" strokeweight="6pt">
              <v:stroke dashstyle="solid"/>
            </v:line>
            <v:rect id="_x0000_s1271" style="width:120;height:1213;left:9062;position:absolute;top:1081" filled="f" stroked="t" strokecolor="#b34745" strokeweight="0.75pt">
              <v:stroke dashstyle="solid"/>
            </v:rect>
            <v:line id="_x0000_s1272" style="position:absolute" from="9329,918" to="9329,2294" stroked="t" strokecolor="#b34745" strokeweight="6pt">
              <v:stroke dashstyle="solid"/>
            </v:line>
            <v:rect id="_x0000_s1273" style="width:120;height:1376;left:9268;position:absolute;top:918" filled="f" stroked="t" strokecolor="#b34745" strokeweight="0.75pt">
              <v:stroke dashstyle="solid"/>
            </v:rect>
            <v:line id="_x0000_s1274" style="position:absolute" from="9535,745" to="9535,2294" stroked="t" strokecolor="#b34745" strokeweight="6pt">
              <v:stroke dashstyle="solid"/>
            </v:line>
            <v:rect id="_x0000_s1275" style="width:120;height:1549;left:9475;position:absolute;top:745" filled="f" stroked="t" strokecolor="#b34745" strokeweight="0.75pt">
              <v:stroke dashstyle="solid"/>
            </v:rect>
            <v:line id="_x0000_s1276" style="position:absolute" from="9742,534" to="9742,2294" stroked="t" strokecolor="#b34745" strokeweight="6pt">
              <v:stroke dashstyle="solid"/>
            </v:line>
            <v:rect id="_x0000_s1277" style="width:120;height:1760;left:9681;position:absolute;top:534" filled="f" stroked="t" strokecolor="#b34745" strokeweight="0.75pt">
              <v:stroke dashstyle="solid"/>
            </v:rect>
            <v:line id="_x0000_s1278" style="position:absolute" from="9948,285" to="9948,2294" stroked="t" strokecolor="#b34745" strokeweight="6pt">
              <v:stroke dashstyle="solid"/>
            </v:line>
            <v:rect id="_x0000_s1279" style="width:120;height:2010;left:9888;position:absolute;top:284" filled="f" stroked="t" strokecolor="#b34745" strokeweight="0.75pt">
              <v:stroke dashstyle="solid"/>
            </v:rect>
            <v:shape id="_x0000_s1280" style="width:54;height:2388;left:9998;position:absolute;top:-94" coordorigin="9999,-94" coordsize="54,2388" path="m10052,2294l10052,-94m9999,2294l10052,2294m9999,2027l10052,2027m9999,1763l10052,1763m9999,1499l10052,1499m9999,1235l10052,1235m9999,966l10052,966m9999,702l10052,702m9999,438l10052,438m9999,169l10052,169m9999,-94l10052,-94e" filled="f" stroked="t" strokecolor="#aeabab" strokeweight="0.75pt">
              <v:stroke dashstyle="solid"/>
              <v:path arrowok="t"/>
            </v:shape>
            <v:line id="_x0000_s1281" style="position:absolute" from="6539,2294" to="10052,2294" stroked="t" strokecolor="#d9d9d9" strokeweight="0.75pt">
              <v:stroke dashstyle="solid"/>
            </v:line>
            <v:shape id="_x0000_s1282" style="width:3100;height:531;left:6849;position:absolute;top:224" coordorigin="6849,225" coordsize="3100,531" path="m6849,357l7056,395,7262,225,7469,333,7675,477,7882,265,8088,304,8294,755,8501,731,8707,664,8914,635,9120,462,9326,544,9538,582,9744,505,9949,409e" filled="f" stroked="t" strokecolor="#d99d24" strokeweight="2.25pt">
              <v:stroke dashstyle="solid"/>
              <v:path arrowok="t"/>
            </v:shape>
            <v:shape id="_x0000_s1283" type="#_x0000_t202" style="width:1284;height:1078;left:8804;position:absolute;top:61" filled="f" stroked="f">
              <v:textbox inset="0,0,0,0">
                <w:txbxContent>
                  <w:p>
                    <w:pPr>
                      <w:spacing w:before="0" w:line="133" w:lineRule="exact"/>
                      <w:ind w:left="0" w:right="18" w:firstLine="0"/>
                      <w:jc w:val="right"/>
                      <w:rPr>
                        <w:rFonts w:ascii="Times New Roman"/>
                        <w:sz w:val="12"/>
                      </w:rPr>
                    </w:pPr>
                    <w:r>
                      <w:rPr>
                        <w:rFonts w:ascii="Times New Roman"/>
                        <w:sz w:val="12"/>
                      </w:rPr>
                      <w:t>3367</w:t>
                    </w:r>
                  </w:p>
                  <w:p>
                    <w:pPr>
                      <w:spacing w:before="8" w:line="240" w:lineRule="auto"/>
                      <w:rPr>
                        <w:rFonts w:ascii="Times New Roman"/>
                        <w:sz w:val="9"/>
                      </w:rPr>
                    </w:pPr>
                  </w:p>
                  <w:p>
                    <w:pPr>
                      <w:spacing w:before="0"/>
                      <w:ind w:left="826" w:right="0" w:firstLine="0"/>
                      <w:jc w:val="left"/>
                      <w:rPr>
                        <w:rFonts w:ascii="Times New Roman"/>
                        <w:sz w:val="12"/>
                      </w:rPr>
                    </w:pPr>
                    <w:r>
                      <w:rPr>
                        <w:rFonts w:ascii="Times New Roman"/>
                        <w:sz w:val="12"/>
                      </w:rPr>
                      <w:t>2948</w:t>
                    </w:r>
                  </w:p>
                  <w:p>
                    <w:pPr>
                      <w:spacing w:before="72"/>
                      <w:ind w:left="390" w:right="203" w:firstLine="0"/>
                      <w:jc w:val="center"/>
                      <w:rPr>
                        <w:rFonts w:ascii="Times New Roman"/>
                        <w:sz w:val="12"/>
                      </w:rPr>
                    </w:pPr>
                    <w:r>
                      <w:rPr>
                        <w:rFonts w:ascii="Times New Roman"/>
                        <w:sz w:val="12"/>
                      </w:rPr>
                      <w:t>2597</w:t>
                    </w:r>
                  </w:p>
                  <w:p>
                    <w:pPr>
                      <w:spacing w:before="39"/>
                      <w:ind w:left="184" w:right="408" w:firstLine="0"/>
                      <w:jc w:val="center"/>
                      <w:rPr>
                        <w:rFonts w:ascii="Times New Roman"/>
                        <w:sz w:val="12"/>
                      </w:rPr>
                    </w:pPr>
                    <w:r>
                      <w:rPr>
                        <w:rFonts w:ascii="Times New Roman"/>
                        <w:sz w:val="12"/>
                      </w:rPr>
                      <w:t>2301</w:t>
                    </w:r>
                  </w:p>
                  <w:p>
                    <w:pPr>
                      <w:spacing w:before="22"/>
                      <w:ind w:left="0" w:right="638" w:firstLine="0"/>
                      <w:jc w:val="center"/>
                      <w:rPr>
                        <w:rFonts w:ascii="Times New Roman"/>
                        <w:sz w:val="12"/>
                      </w:rPr>
                    </w:pPr>
                    <w:r>
                      <w:rPr>
                        <w:rFonts w:ascii="Times New Roman"/>
                        <w:sz w:val="12"/>
                      </w:rPr>
                      <w:t>2032</w:t>
                    </w:r>
                  </w:p>
                  <w:p>
                    <w:pPr>
                      <w:spacing w:before="9"/>
                      <w:ind w:left="0" w:right="1051" w:firstLine="0"/>
                      <w:jc w:val="center"/>
                      <w:rPr>
                        <w:rFonts w:ascii="Times New Roman"/>
                        <w:sz w:val="12"/>
                      </w:rPr>
                    </w:pPr>
                    <w:r>
                      <w:rPr>
                        <w:rFonts w:ascii="Times New Roman"/>
                        <w:spacing w:val="-3"/>
                        <w:sz w:val="12"/>
                      </w:rPr>
                      <w:t>1786</w:t>
                    </w:r>
                  </w:p>
                </w:txbxContent>
              </v:textbox>
            </v:shape>
            <v:shape id="_x0000_s1284" type="#_x0000_t202" style="width:251;height:133;left:8597;position:absolute;top:1123" filled="f" stroked="f">
              <v:textbox inset="0,0,0,0">
                <w:txbxContent>
                  <w:p>
                    <w:pPr>
                      <w:spacing w:before="0" w:line="133" w:lineRule="exact"/>
                      <w:ind w:left="0" w:right="0" w:firstLine="0"/>
                      <w:jc w:val="left"/>
                      <w:rPr>
                        <w:rFonts w:ascii="Times New Roman"/>
                        <w:sz w:val="12"/>
                      </w:rPr>
                    </w:pPr>
                    <w:r>
                      <w:rPr>
                        <w:rFonts w:ascii="Times New Roman"/>
                        <w:sz w:val="12"/>
                      </w:rPr>
                      <w:t>1588</w:t>
                    </w:r>
                  </w:p>
                </w:txbxContent>
              </v:textbox>
            </v:shape>
            <v:shape id="_x0000_s1285" type="#_x0000_t202" style="width:251;height:133;left:8184;position:absolute;top:1316" filled="f" stroked="f">
              <v:textbox inset="0,0,0,0">
                <w:txbxContent>
                  <w:p>
                    <w:pPr>
                      <w:spacing w:before="0" w:line="133" w:lineRule="exact"/>
                      <w:ind w:left="0" w:right="0" w:firstLine="0"/>
                      <w:jc w:val="left"/>
                      <w:rPr>
                        <w:rFonts w:ascii="Times New Roman"/>
                        <w:sz w:val="12"/>
                      </w:rPr>
                    </w:pPr>
                    <w:r>
                      <w:rPr>
                        <w:rFonts w:ascii="Times New Roman"/>
                        <w:sz w:val="12"/>
                      </w:rPr>
                      <w:t>1264</w:t>
                    </w:r>
                  </w:p>
                </w:txbxContent>
              </v:textbox>
            </v:shape>
            <v:shape id="_x0000_s1286" type="#_x0000_t202" style="width:251;height:134;left:8390;position:absolute;top:1226" filled="f" stroked="f">
              <v:textbox inset="0,0,0,0">
                <w:txbxContent>
                  <w:p>
                    <w:pPr>
                      <w:spacing w:before="0" w:line="133" w:lineRule="exact"/>
                      <w:ind w:left="0" w:right="0" w:firstLine="0"/>
                      <w:jc w:val="left"/>
                      <w:rPr>
                        <w:rFonts w:ascii="Times New Roman"/>
                        <w:sz w:val="12"/>
                      </w:rPr>
                    </w:pPr>
                    <w:r>
                      <w:rPr>
                        <w:rFonts w:ascii="Times New Roman"/>
                        <w:sz w:val="12"/>
                      </w:rPr>
                      <w:t>1414</w:t>
                    </w:r>
                  </w:p>
                </w:txbxContent>
              </v:textbox>
            </v:shape>
            <v:shape id="_x0000_s1287" type="#_x0000_t202" style="width:607;height:214;left:6559;position:absolute;top:1733" filled="f" stroked="f">
              <v:textbox inset="0,0,0,0">
                <w:txbxContent>
                  <w:p>
                    <w:pPr>
                      <w:spacing w:before="0" w:line="228" w:lineRule="auto"/>
                      <w:ind w:left="0" w:right="0" w:firstLine="0"/>
                      <w:jc w:val="left"/>
                      <w:rPr>
                        <w:rFonts w:ascii="Times New Roman"/>
                        <w:sz w:val="12"/>
                      </w:rPr>
                    </w:pPr>
                    <w:r>
                      <w:rPr>
                        <w:rFonts w:ascii="Times New Roman"/>
                        <w:position w:val="-7"/>
                        <w:sz w:val="12"/>
                      </w:rPr>
                      <w:t xml:space="preserve">432 </w:t>
                    </w:r>
                    <w:r>
                      <w:rPr>
                        <w:rFonts w:ascii="Times New Roman"/>
                        <w:position w:val="-3"/>
                        <w:sz w:val="12"/>
                      </w:rPr>
                      <w:t xml:space="preserve">495 </w:t>
                    </w:r>
                    <w:r>
                      <w:rPr>
                        <w:rFonts w:ascii="Times New Roman"/>
                        <w:sz w:val="12"/>
                      </w:rPr>
                      <w:t>566</w:t>
                    </w:r>
                  </w:p>
                </w:txbxContent>
              </v:textbox>
            </v:shape>
            <v:shape id="_x0000_s1288" type="#_x0000_t202" style="width:607;height:253;left:7179;position:absolute;top:1561" filled="f" stroked="f">
              <v:textbox inset="0,0,0,0">
                <w:txbxContent>
                  <w:p>
                    <w:pPr>
                      <w:spacing w:before="0" w:line="228" w:lineRule="auto"/>
                      <w:ind w:left="0" w:right="0" w:firstLine="0"/>
                      <w:jc w:val="left"/>
                      <w:rPr>
                        <w:rFonts w:ascii="Times New Roman"/>
                        <w:sz w:val="12"/>
                      </w:rPr>
                    </w:pPr>
                    <w:r>
                      <w:rPr>
                        <w:rFonts w:ascii="Times New Roman"/>
                        <w:position w:val="-11"/>
                        <w:sz w:val="12"/>
                      </w:rPr>
                      <w:t xml:space="preserve">654 </w:t>
                    </w:r>
                    <w:r>
                      <w:rPr>
                        <w:rFonts w:ascii="Times New Roman"/>
                        <w:position w:val="-5"/>
                        <w:sz w:val="12"/>
                      </w:rPr>
                      <w:t xml:space="preserve">751 </w:t>
                    </w:r>
                    <w:r>
                      <w:rPr>
                        <w:rFonts w:ascii="Times New Roman"/>
                        <w:sz w:val="12"/>
                      </w:rPr>
                      <w:t>854</w:t>
                    </w:r>
                  </w:p>
                </w:txbxContent>
              </v:textbox>
            </v:shape>
            <v:shape id="_x0000_s1289" type="#_x0000_t202" style="width:429;height:222;left:7799;position:absolute;top:1394" filled="f" stroked="f">
              <v:textbox inset="0,0,0,0">
                <w:txbxContent>
                  <w:p>
                    <w:pPr>
                      <w:spacing w:before="0" w:line="228" w:lineRule="auto"/>
                      <w:ind w:left="0" w:right="0" w:firstLine="0"/>
                      <w:jc w:val="left"/>
                      <w:rPr>
                        <w:rFonts w:ascii="Times New Roman"/>
                        <w:sz w:val="12"/>
                      </w:rPr>
                    </w:pPr>
                    <w:r>
                      <w:rPr>
                        <w:rFonts w:ascii="Times New Roman"/>
                        <w:position w:val="-8"/>
                        <w:sz w:val="12"/>
                      </w:rPr>
                      <w:t>985</w:t>
                    </w:r>
                    <w:r>
                      <w:rPr>
                        <w:rFonts w:ascii="Times New Roman"/>
                        <w:sz w:val="12"/>
                      </w:rPr>
                      <w:t>1133</w:t>
                    </w:r>
                  </w:p>
                </w:txbxContent>
              </v:textbox>
            </v:shape>
          </v:group>
        </w:pict>
      </w:r>
      <w:r>
        <w:rPr>
          <w:rFonts w:ascii="Times New Roman"/>
          <w:sz w:val="18"/>
        </w:rPr>
        <w:t>16%</w:t>
      </w:r>
    </w:p>
    <w:p>
      <w:pPr>
        <w:spacing w:before="58"/>
        <w:ind w:left="365" w:right="0" w:firstLine="0"/>
        <w:jc w:val="left"/>
        <w:rPr>
          <w:rFonts w:ascii="Times New Roman"/>
          <w:sz w:val="18"/>
        </w:rPr>
      </w:pPr>
      <w:r>
        <w:rPr>
          <w:rFonts w:ascii="Times New Roman"/>
          <w:sz w:val="18"/>
        </w:rPr>
        <w:t>14%</w:t>
      </w:r>
    </w:p>
    <w:p>
      <w:pPr>
        <w:spacing w:before="58"/>
        <w:ind w:left="365" w:right="0" w:firstLine="0"/>
        <w:jc w:val="left"/>
        <w:rPr>
          <w:rFonts w:ascii="Times New Roman"/>
          <w:sz w:val="18"/>
        </w:rPr>
      </w:pPr>
      <w:r>
        <w:rPr>
          <w:rFonts w:ascii="Times New Roman"/>
          <w:sz w:val="18"/>
        </w:rPr>
        <w:t>12%</w:t>
      </w:r>
    </w:p>
    <w:p>
      <w:pPr>
        <w:spacing w:before="58"/>
        <w:ind w:left="365" w:right="0" w:firstLine="0"/>
        <w:jc w:val="left"/>
        <w:rPr>
          <w:rFonts w:ascii="Times New Roman"/>
          <w:sz w:val="18"/>
        </w:rPr>
      </w:pPr>
      <w:r>
        <w:rPr>
          <w:rFonts w:ascii="Times New Roman"/>
          <w:sz w:val="18"/>
        </w:rPr>
        <w:t>10%</w:t>
      </w:r>
    </w:p>
    <w:p>
      <w:pPr>
        <w:spacing w:before="59"/>
        <w:ind w:left="365" w:right="0" w:firstLine="0"/>
        <w:jc w:val="left"/>
        <w:rPr>
          <w:rFonts w:ascii="Times New Roman"/>
          <w:sz w:val="18"/>
        </w:rPr>
      </w:pPr>
      <w:r>
        <w:rPr>
          <w:rFonts w:ascii="Times New Roman"/>
          <w:sz w:val="18"/>
        </w:rPr>
        <w:t>8%</w:t>
      </w:r>
    </w:p>
    <w:p>
      <w:pPr>
        <w:spacing w:before="58"/>
        <w:ind w:left="365" w:right="0" w:firstLine="0"/>
        <w:jc w:val="left"/>
        <w:rPr>
          <w:rFonts w:ascii="Times New Roman"/>
          <w:sz w:val="18"/>
        </w:rPr>
      </w:pPr>
      <w:r>
        <w:rPr>
          <w:rFonts w:ascii="Times New Roman"/>
          <w:sz w:val="18"/>
        </w:rPr>
        <w:t>6%</w:t>
      </w:r>
    </w:p>
    <w:p>
      <w:pPr>
        <w:spacing w:before="59"/>
        <w:ind w:left="365" w:right="0" w:firstLine="0"/>
        <w:jc w:val="left"/>
        <w:rPr>
          <w:rFonts w:ascii="Times New Roman"/>
          <w:sz w:val="18"/>
        </w:rPr>
      </w:pPr>
      <w:r>
        <w:rPr>
          <w:rFonts w:ascii="Times New Roman"/>
          <w:sz w:val="18"/>
        </w:rPr>
        <w:t>4%</w:t>
      </w:r>
    </w:p>
    <w:p>
      <w:pPr>
        <w:spacing w:before="58"/>
        <w:ind w:left="365" w:right="0" w:firstLine="0"/>
        <w:jc w:val="left"/>
        <w:rPr>
          <w:rFonts w:ascii="Times New Roman"/>
          <w:sz w:val="18"/>
        </w:rPr>
      </w:pPr>
      <w:r>
        <w:rPr>
          <w:rFonts w:ascii="Times New Roman"/>
          <w:sz w:val="18"/>
        </w:rPr>
        <w:t>2%</w:t>
      </w:r>
    </w:p>
    <w:p>
      <w:pPr>
        <w:spacing w:before="59"/>
        <w:ind w:left="365" w:right="0" w:firstLine="0"/>
        <w:jc w:val="left"/>
        <w:rPr>
          <w:rFonts w:ascii="Times New Roman"/>
          <w:sz w:val="18"/>
        </w:rPr>
      </w:pPr>
      <w:r>
        <w:pict>
          <v:shape id="_x0000_s1290" type="#_x0000_t202" style="width:177.5pt;height:25.6pt;margin-top:12.94pt;margin-left:326.05pt;mso-position-horizontal-relative:page;position:absolute;z-index:251681792" filled="f" stroked="f">
            <v:textbox style="layout-flow:vertical;mso-layout-flow-alt:bottom-to-top" inset="0,0,0,0">
              <w:txbxContent>
                <w:p>
                  <w:pPr>
                    <w:spacing w:before="14"/>
                    <w:ind w:left="0" w:right="18" w:firstLine="0"/>
                    <w:jc w:val="right"/>
                    <w:rPr>
                      <w:rFonts w:ascii="Times New Roman"/>
                      <w:sz w:val="18"/>
                    </w:rPr>
                  </w:pPr>
                  <w:r>
                    <w:rPr>
                      <w:rFonts w:ascii="Times New Roman"/>
                      <w:spacing w:val="-2"/>
                      <w:sz w:val="18"/>
                    </w:rPr>
                    <w:t>2011</w:t>
                  </w:r>
                </w:p>
                <w:p>
                  <w:pPr>
                    <w:spacing w:before="0"/>
                    <w:ind w:left="0" w:right="18" w:firstLine="0"/>
                    <w:jc w:val="right"/>
                    <w:rPr>
                      <w:rFonts w:ascii="Times New Roman"/>
                      <w:sz w:val="18"/>
                    </w:rPr>
                  </w:pPr>
                  <w:r>
                    <w:rPr>
                      <w:rFonts w:ascii="Times New Roman"/>
                      <w:spacing w:val="-2"/>
                      <w:sz w:val="18"/>
                    </w:rPr>
                    <w:t>2012</w:t>
                  </w:r>
                </w:p>
                <w:p>
                  <w:pPr>
                    <w:spacing w:before="0" w:line="207" w:lineRule="exact"/>
                    <w:ind w:left="0" w:right="18" w:firstLine="0"/>
                    <w:jc w:val="right"/>
                    <w:rPr>
                      <w:rFonts w:ascii="Times New Roman"/>
                      <w:sz w:val="18"/>
                    </w:rPr>
                  </w:pPr>
                  <w:r>
                    <w:rPr>
                      <w:rFonts w:ascii="Times New Roman"/>
                      <w:spacing w:val="-2"/>
                      <w:sz w:val="18"/>
                    </w:rPr>
                    <w:t>2013</w:t>
                  </w:r>
                </w:p>
                <w:p>
                  <w:pPr>
                    <w:spacing w:before="0" w:line="207" w:lineRule="exact"/>
                    <w:ind w:left="0" w:right="18" w:firstLine="0"/>
                    <w:jc w:val="right"/>
                    <w:rPr>
                      <w:rFonts w:ascii="Times New Roman"/>
                      <w:sz w:val="18"/>
                    </w:rPr>
                  </w:pPr>
                  <w:r>
                    <w:rPr>
                      <w:rFonts w:ascii="Times New Roman"/>
                      <w:spacing w:val="-2"/>
                      <w:sz w:val="18"/>
                    </w:rPr>
                    <w:t>2014</w:t>
                  </w:r>
                </w:p>
                <w:p>
                  <w:pPr>
                    <w:spacing w:before="0"/>
                    <w:ind w:left="0" w:right="18" w:firstLine="0"/>
                    <w:jc w:val="right"/>
                    <w:rPr>
                      <w:rFonts w:ascii="Times New Roman"/>
                      <w:sz w:val="18"/>
                    </w:rPr>
                  </w:pPr>
                  <w:r>
                    <w:rPr>
                      <w:rFonts w:ascii="Times New Roman"/>
                      <w:spacing w:val="-2"/>
                      <w:sz w:val="18"/>
                    </w:rPr>
                    <w:t>2015</w:t>
                  </w:r>
                </w:p>
                <w:p>
                  <w:pPr>
                    <w:spacing w:before="0" w:line="207" w:lineRule="exact"/>
                    <w:ind w:left="0" w:right="18" w:firstLine="0"/>
                    <w:jc w:val="right"/>
                    <w:rPr>
                      <w:rFonts w:ascii="Times New Roman"/>
                      <w:sz w:val="18"/>
                    </w:rPr>
                  </w:pPr>
                  <w:r>
                    <w:rPr>
                      <w:rFonts w:ascii="Times New Roman"/>
                      <w:spacing w:val="-2"/>
                      <w:sz w:val="18"/>
                    </w:rPr>
                    <w:t>2016</w:t>
                  </w:r>
                </w:p>
                <w:p>
                  <w:pPr>
                    <w:spacing w:before="0" w:line="207" w:lineRule="exact"/>
                    <w:ind w:left="0" w:right="18" w:firstLine="0"/>
                    <w:jc w:val="right"/>
                    <w:rPr>
                      <w:rFonts w:ascii="Times New Roman"/>
                      <w:sz w:val="18"/>
                    </w:rPr>
                  </w:pPr>
                  <w:r>
                    <w:rPr>
                      <w:rFonts w:ascii="Times New Roman"/>
                      <w:spacing w:val="-2"/>
                      <w:sz w:val="18"/>
                    </w:rPr>
                    <w:t>2017</w:t>
                  </w:r>
                </w:p>
                <w:p>
                  <w:pPr>
                    <w:spacing w:before="0"/>
                    <w:ind w:left="0" w:right="18" w:firstLine="0"/>
                    <w:jc w:val="right"/>
                    <w:rPr>
                      <w:rFonts w:ascii="Times New Roman"/>
                      <w:sz w:val="18"/>
                    </w:rPr>
                  </w:pPr>
                  <w:r>
                    <w:rPr>
                      <w:rFonts w:ascii="Times New Roman"/>
                      <w:spacing w:val="-2"/>
                      <w:sz w:val="18"/>
                    </w:rPr>
                    <w:t>2018</w:t>
                  </w:r>
                </w:p>
                <w:p>
                  <w:pPr>
                    <w:spacing w:before="0" w:line="207" w:lineRule="exact"/>
                    <w:ind w:left="0" w:right="18" w:firstLine="0"/>
                    <w:jc w:val="right"/>
                    <w:rPr>
                      <w:rFonts w:ascii="Times New Roman"/>
                      <w:sz w:val="18"/>
                    </w:rPr>
                  </w:pPr>
                  <w:r>
                    <w:rPr>
                      <w:rFonts w:ascii="Times New Roman"/>
                      <w:spacing w:val="-2"/>
                      <w:sz w:val="18"/>
                    </w:rPr>
                    <w:t>2019</w:t>
                  </w:r>
                </w:p>
                <w:p>
                  <w:pPr>
                    <w:spacing w:before="0" w:line="207" w:lineRule="exact"/>
                    <w:ind w:left="0" w:right="18" w:firstLine="0"/>
                    <w:jc w:val="right"/>
                    <w:rPr>
                      <w:rFonts w:ascii="Times New Roman"/>
                      <w:sz w:val="18"/>
                    </w:rPr>
                  </w:pPr>
                  <w:r>
                    <w:rPr>
                      <w:rFonts w:ascii="Times New Roman"/>
                      <w:spacing w:val="-2"/>
                      <w:sz w:val="18"/>
                    </w:rPr>
                    <w:t>2020</w:t>
                  </w:r>
                </w:p>
                <w:p>
                  <w:pPr>
                    <w:spacing w:before="0"/>
                    <w:ind w:left="0" w:right="18" w:firstLine="0"/>
                    <w:jc w:val="right"/>
                    <w:rPr>
                      <w:rFonts w:ascii="Times New Roman"/>
                      <w:sz w:val="18"/>
                    </w:rPr>
                  </w:pPr>
                  <w:r>
                    <w:rPr>
                      <w:rFonts w:ascii="Times New Roman"/>
                      <w:spacing w:val="-2"/>
                      <w:sz w:val="18"/>
                    </w:rPr>
                    <w:t>2021</w:t>
                  </w:r>
                </w:p>
                <w:p>
                  <w:pPr>
                    <w:spacing w:before="0" w:line="207" w:lineRule="exact"/>
                    <w:ind w:left="0" w:right="18" w:firstLine="0"/>
                    <w:jc w:val="right"/>
                    <w:rPr>
                      <w:rFonts w:ascii="Times New Roman"/>
                      <w:sz w:val="18"/>
                    </w:rPr>
                  </w:pPr>
                  <w:r>
                    <w:rPr>
                      <w:rFonts w:ascii="Times New Roman"/>
                      <w:spacing w:val="-2"/>
                      <w:sz w:val="18"/>
                    </w:rPr>
                    <w:t>2022</w:t>
                  </w:r>
                </w:p>
                <w:p>
                  <w:pPr>
                    <w:spacing w:before="0" w:line="207" w:lineRule="exact"/>
                    <w:ind w:left="0" w:right="18" w:firstLine="0"/>
                    <w:jc w:val="right"/>
                    <w:rPr>
                      <w:rFonts w:ascii="Times New Roman"/>
                      <w:sz w:val="18"/>
                    </w:rPr>
                  </w:pPr>
                  <w:r>
                    <w:rPr>
                      <w:rFonts w:ascii="Times New Roman"/>
                      <w:spacing w:val="-1"/>
                      <w:sz w:val="18"/>
                    </w:rPr>
                    <w:t>2023E</w:t>
                  </w:r>
                </w:p>
                <w:p>
                  <w:pPr>
                    <w:spacing w:before="0"/>
                    <w:ind w:left="0" w:right="18" w:firstLine="0"/>
                    <w:jc w:val="right"/>
                    <w:rPr>
                      <w:rFonts w:ascii="Times New Roman"/>
                      <w:sz w:val="18"/>
                    </w:rPr>
                  </w:pPr>
                  <w:r>
                    <w:rPr>
                      <w:rFonts w:ascii="Times New Roman"/>
                      <w:spacing w:val="-1"/>
                      <w:sz w:val="18"/>
                    </w:rPr>
                    <w:t>2024E</w:t>
                  </w:r>
                </w:p>
                <w:p>
                  <w:pPr>
                    <w:spacing w:before="0" w:line="207" w:lineRule="exact"/>
                    <w:ind w:left="20" w:right="0" w:firstLine="0"/>
                    <w:jc w:val="left"/>
                    <w:rPr>
                      <w:rFonts w:ascii="Times New Roman"/>
                      <w:sz w:val="18"/>
                    </w:rPr>
                  </w:pPr>
                  <w:r>
                    <w:rPr>
                      <w:rFonts w:ascii="Times New Roman"/>
                      <w:sz w:val="18"/>
                    </w:rPr>
                    <w:t>2025E</w:t>
                  </w:r>
                </w:p>
                <w:p>
                  <w:pPr>
                    <w:spacing w:before="0" w:line="207" w:lineRule="exact"/>
                    <w:ind w:left="20" w:right="0" w:firstLine="0"/>
                    <w:jc w:val="left"/>
                    <w:rPr>
                      <w:rFonts w:ascii="Times New Roman"/>
                      <w:sz w:val="18"/>
                    </w:rPr>
                  </w:pPr>
                  <w:r>
                    <w:rPr>
                      <w:rFonts w:ascii="Times New Roman"/>
                      <w:sz w:val="18"/>
                    </w:rPr>
                    <w:t>2026E</w:t>
                  </w:r>
                </w:p>
                <w:p>
                  <w:pPr>
                    <w:spacing w:before="0"/>
                    <w:ind w:left="20" w:right="0" w:firstLine="0"/>
                    <w:jc w:val="left"/>
                    <w:rPr>
                      <w:rFonts w:ascii="Times New Roman"/>
                      <w:sz w:val="18"/>
                    </w:rPr>
                  </w:pPr>
                  <w:r>
                    <w:rPr>
                      <w:rFonts w:ascii="Times New Roman"/>
                      <w:sz w:val="18"/>
                    </w:rPr>
                    <w:t>2027E</w:t>
                  </w:r>
                </w:p>
              </w:txbxContent>
            </v:textbox>
          </v:shape>
        </w:pict>
      </w:r>
      <w:r>
        <w:rPr>
          <w:rFonts w:ascii="Times New Roman"/>
          <w:sz w:val="18"/>
        </w:rPr>
        <w:t>0%</w:t>
      </w:r>
    </w:p>
    <w:p>
      <w:pPr>
        <w:spacing w:after="0"/>
        <w:jc w:val="left"/>
        <w:rPr>
          <w:rFonts w:ascii="Times New Roman"/>
          <w:sz w:val="18"/>
        </w:rPr>
        <w:sectPr>
          <w:headerReference w:type="default" r:id="rId49"/>
          <w:footerReference w:type="default" r:id="rId50"/>
          <w:type w:val="continuous"/>
          <w:pgSz w:w="11910" w:h="16840"/>
          <w:pgMar w:top="1700" w:right="0" w:bottom="1500" w:left="440" w:header="708" w:footer="708"/>
          <w:pgNumType w:start="15"/>
          <w:cols w:num="13" w:space="708" w:equalWidth="0">
            <w:col w:w="817" w:space="39"/>
            <w:col w:w="1084" w:space="40"/>
            <w:col w:w="450" w:space="40"/>
            <w:col w:w="205" w:space="40"/>
            <w:col w:w="205" w:space="39"/>
            <w:col w:w="205" w:space="40"/>
            <w:col w:w="205" w:space="39"/>
            <w:col w:w="205" w:space="40"/>
            <w:col w:w="205" w:space="39"/>
            <w:col w:w="479" w:space="40"/>
            <w:col w:w="466" w:space="301"/>
            <w:col w:w="770" w:space="3411"/>
            <w:col w:w="2066" w:space="0"/>
          </w:cols>
        </w:sectPr>
      </w:pPr>
    </w:p>
    <w:p>
      <w:pPr>
        <w:pStyle w:val="BodyText"/>
        <w:rPr>
          <w:rFonts w:ascii="Times New Roman"/>
          <w:sz w:val="20"/>
        </w:rPr>
      </w:pPr>
    </w:p>
    <w:p>
      <w:pPr>
        <w:pStyle w:val="BodyText"/>
        <w:spacing w:before="2"/>
        <w:rPr>
          <w:rFonts w:ascii="Times New Roman"/>
          <w:sz w:val="19"/>
        </w:rPr>
      </w:pPr>
    </w:p>
    <w:p>
      <w:pPr>
        <w:tabs>
          <w:tab w:val="left" w:pos="3404"/>
          <w:tab w:val="left" w:pos="6474"/>
          <w:tab w:val="left" w:pos="8627"/>
        </w:tabs>
        <w:spacing w:before="73"/>
        <w:ind w:left="1251" w:right="0" w:firstLine="0"/>
        <w:jc w:val="left"/>
        <w:rPr>
          <w:sz w:val="18"/>
        </w:rPr>
      </w:pPr>
      <w:r>
        <w:pict>
          <v:group id="_x0000_s1291" style="width:19.95pt;height:5.25pt;margin-top:7.88pt;margin-left:62.95pt;mso-position-horizontal-relative:page;position:absolute;z-index:251687936" coordorigin="1259,158" coordsize="399,105">
            <v:line id="_x0000_s1292" style="position:absolute" from="1267,210" to="1651,210" stroked="t" strokecolor="#b34745" strokeweight="4.48pt">
              <v:stroke dashstyle="solid"/>
            </v:line>
            <v:rect id="_x0000_s1293" style="width:384;height:90;left:1266;position:absolute;top:165" filled="f" stroked="t" strokecolor="#b34745" strokeweight="0.75pt">
              <v:stroke dashstyle="solid"/>
            </v:rect>
          </v:group>
        </w:pict>
      </w:r>
      <w:r>
        <w:pict>
          <v:line id="_x0000_s1294" style="mso-position-horizontal-relative:page;position:absolute;z-index:-251633664" from="170.9pt,10.5pt" to="190.1pt,10.5pt" stroked="t" strokecolor="#d99d24" strokeweight="2.25pt">
            <v:stroke dashstyle="solid"/>
          </v:line>
        </w:pict>
      </w:r>
      <w:r>
        <w:pict>
          <v:group id="_x0000_s1295" style="width:19.95pt;height:5.25pt;margin-top:7.08pt;margin-left:324.01pt;mso-position-horizontal-relative:page;position:absolute;z-index:-251632640" coordorigin="6480,142" coordsize="399,105">
            <v:line id="_x0000_s1296" style="position:absolute" from="6488,194" to="6872,194" stroked="t" strokecolor="#b34745" strokeweight="4.48pt">
              <v:stroke dashstyle="solid"/>
            </v:line>
            <v:rect id="_x0000_s1297" style="width:384;height:90;left:6487;position:absolute;top:149" filled="f" stroked="t" strokecolor="#b34745" strokeweight="0.75pt">
              <v:stroke dashstyle="solid"/>
            </v:rect>
          </v:group>
        </w:pict>
      </w:r>
      <w:r>
        <w:pict>
          <v:line id="_x0000_s1298" style="mso-position-horizontal-relative:page;position:absolute;z-index:-251631616" from="6in,9.7pt" to="451.2pt,9.7pt" stroked="t" strokecolor="#d99d24" strokeweight="2.25pt">
            <v:stroke dashstyle="solid"/>
          </v:line>
        </w:pict>
      </w:r>
      <w:r>
        <w:rPr>
          <w:sz w:val="18"/>
        </w:rPr>
        <w:t>市场</w:t>
      </w:r>
      <w:r>
        <w:rPr>
          <w:spacing w:val="-5"/>
          <w:sz w:val="18"/>
        </w:rPr>
        <w:t>规</w:t>
      </w:r>
      <w:r>
        <w:rPr>
          <w:sz w:val="18"/>
        </w:rPr>
        <w:t>模</w:t>
      </w:r>
      <w:r>
        <w:rPr>
          <w:spacing w:val="-5"/>
          <w:sz w:val="18"/>
        </w:rPr>
        <w:t>（</w:t>
      </w:r>
      <w:r>
        <w:rPr>
          <w:sz w:val="18"/>
        </w:rPr>
        <w:t>亿</w:t>
      </w:r>
      <w:r>
        <w:rPr>
          <w:spacing w:val="-5"/>
          <w:sz w:val="18"/>
        </w:rPr>
        <w:t>元</w:t>
      </w:r>
      <w:r>
        <w:rPr>
          <w:sz w:val="18"/>
        </w:rPr>
        <w:t>）</w:t>
        <w:tab/>
        <w:t>增速</w:t>
      </w:r>
      <w:r>
        <w:rPr>
          <w:spacing w:val="-5"/>
          <w:sz w:val="18"/>
        </w:rPr>
        <w:t>（</w:t>
      </w:r>
      <w:r>
        <w:rPr>
          <w:sz w:val="18"/>
        </w:rPr>
        <w:t>右</w:t>
      </w:r>
      <w:r>
        <w:rPr>
          <w:spacing w:val="-4"/>
          <w:sz w:val="18"/>
        </w:rPr>
        <w:t>轴</w:t>
      </w:r>
      <w:r>
        <w:rPr>
          <w:sz w:val="18"/>
        </w:rPr>
        <w:t>）</w:t>
        <w:tab/>
      </w:r>
      <w:r>
        <w:rPr>
          <w:position w:val="2"/>
          <w:sz w:val="18"/>
        </w:rPr>
        <w:t>市场</w:t>
      </w:r>
      <w:r>
        <w:rPr>
          <w:spacing w:val="-5"/>
          <w:position w:val="2"/>
          <w:sz w:val="18"/>
        </w:rPr>
        <w:t>规</w:t>
      </w:r>
      <w:r>
        <w:rPr>
          <w:position w:val="2"/>
          <w:sz w:val="18"/>
        </w:rPr>
        <w:t>模</w:t>
      </w:r>
      <w:r>
        <w:rPr>
          <w:spacing w:val="-5"/>
          <w:position w:val="2"/>
          <w:sz w:val="18"/>
        </w:rPr>
        <w:t>（</w:t>
      </w:r>
      <w:r>
        <w:rPr>
          <w:position w:val="2"/>
          <w:sz w:val="18"/>
        </w:rPr>
        <w:t>亿</w:t>
      </w:r>
      <w:r>
        <w:rPr>
          <w:spacing w:val="-5"/>
          <w:position w:val="2"/>
          <w:sz w:val="18"/>
        </w:rPr>
        <w:t>元</w:t>
      </w:r>
      <w:r>
        <w:rPr>
          <w:position w:val="2"/>
          <w:sz w:val="18"/>
        </w:rPr>
        <w:t>）</w:t>
        <w:tab/>
        <w:t>增速</w:t>
      </w:r>
      <w:r>
        <w:rPr>
          <w:spacing w:val="-5"/>
          <w:position w:val="2"/>
          <w:sz w:val="18"/>
        </w:rPr>
        <w:t>（</w:t>
      </w:r>
      <w:r>
        <w:rPr>
          <w:position w:val="2"/>
          <w:sz w:val="18"/>
        </w:rPr>
        <w:t>右</w:t>
      </w:r>
      <w:r>
        <w:rPr>
          <w:spacing w:val="-5"/>
          <w:position w:val="2"/>
          <w:sz w:val="18"/>
        </w:rPr>
        <w:t>轴</w:t>
      </w:r>
      <w:r>
        <w:rPr>
          <w:position w:val="2"/>
          <w:sz w:val="18"/>
        </w:rPr>
        <w:t>）</w:t>
      </w:r>
    </w:p>
    <w:p>
      <w:pPr>
        <w:pStyle w:val="BodyText"/>
        <w:spacing w:before="11"/>
        <w:rPr>
          <w:sz w:val="9"/>
        </w:rPr>
      </w:pPr>
      <w:r>
        <w:pict>
          <v:shape id="_x0000_s1299" style="width:249.5pt;height:0.1pt;margin-top:8.54pt;margin-left:28.32pt;mso-position-horizontal-relative:page;mso-wrap-distance-left:0;mso-wrap-distance-right:0;position:absolute;z-index:-251630592" coordorigin="566,171" coordsize="4990,0" path="m566,171l5556,171e" filled="f" stroked="t" strokecolor="#9c4a45" strokeweight="0.48pt">
            <v:stroke dashstyle="solid"/>
            <v:path arrowok="t"/>
            <w10:wrap type="topAndBottom"/>
          </v:shape>
        </w:pict>
      </w:r>
      <w:r>
        <w:pict>
          <v:shape id="_x0000_s1300" style="width:249.5pt;height:0.1pt;margin-top:8.54pt;margin-left:289.56pt;mso-position-horizontal-relative:page;mso-wrap-distance-left:0;mso-wrap-distance-right:0;position:absolute;z-index:-251629568" coordorigin="5791,171" coordsize="4990,0" path="m5791,171l10780,171e" filled="f" stroked="t" strokecolor="#9c4a45" strokeweight="0.48pt">
            <v:stroke dashstyle="solid"/>
            <v:path arrowok="t"/>
            <w10:wrap type="topAndBottom"/>
          </v:shape>
        </w:pict>
      </w:r>
    </w:p>
    <w:p>
      <w:pPr>
        <w:tabs>
          <w:tab w:val="left" w:pos="5351"/>
        </w:tabs>
        <w:spacing w:before="46"/>
        <w:ind w:left="126" w:right="0" w:firstLine="0"/>
        <w:jc w:val="left"/>
        <w:rPr>
          <w:sz w:val="15"/>
        </w:rPr>
      </w:pPr>
      <w:r>
        <w:t xml:space="preserve">数据来源：艾媒数据中心， </w:t>
        <w:tab/>
        <w:t xml:space="preserve">数据来源：艾媒数据中心， </w:t>
      </w:r>
    </w:p>
    <w:p>
      <w:pPr>
        <w:pStyle w:val="BodyText"/>
        <w:rPr>
          <w:sz w:val="20"/>
        </w:rPr>
      </w:pPr>
    </w:p>
    <w:p>
      <w:pPr>
        <w:pStyle w:val="BodyText"/>
        <w:spacing w:before="10"/>
        <w:rPr>
          <w:sz w:val="17"/>
        </w:rPr>
      </w:pPr>
    </w:p>
    <w:p>
      <w:pPr>
        <w:spacing w:before="74"/>
        <w:ind w:left="2964" w:right="0" w:firstLine="0"/>
        <w:jc w:val="left"/>
        <w:rPr>
          <w:b/>
          <w:sz w:val="24"/>
        </w:rPr>
      </w:pPr>
      <w:bookmarkStart w:id="2" w:name="_TOC_250019"/>
      <w:r>
        <w:rPr>
          <w:rFonts w:ascii="Times New Roman" w:eastAsia="Times New Roman"/>
          <w:b/>
          <w:color w:val="9C4A45"/>
          <w:sz w:val="24"/>
        </w:rPr>
        <w:t xml:space="preserve">1.2 </w:t>
      </w:r>
      <w:bookmarkEnd w:id="2"/>
      <w:r>
        <w:rPr>
          <w:b/>
          <w:color w:val="9C4A45"/>
          <w:sz w:val="24"/>
        </w:rPr>
        <w:t>头部企业修身聚能，积极调整内外双修</w:t>
      </w:r>
    </w:p>
    <w:p>
      <w:pPr>
        <w:pStyle w:val="BodyText"/>
        <w:spacing w:before="9"/>
        <w:rPr>
          <w:b/>
          <w:sz w:val="20"/>
        </w:rPr>
      </w:pPr>
    </w:p>
    <w:p>
      <w:pPr>
        <w:pStyle w:val="BodyText"/>
        <w:spacing w:line="328" w:lineRule="auto"/>
        <w:ind w:left="2964" w:right="1122"/>
        <w:jc w:val="both"/>
      </w:pPr>
      <w:r>
        <w:rPr>
          <w:b/>
          <w:spacing w:val="-12"/>
        </w:rPr>
        <w:t>行业震荡期间，头部企业修身聚能，积极应对。</w:t>
      </w:r>
      <w:r>
        <w:rPr>
          <w:spacing w:val="-10"/>
        </w:rPr>
        <w:t xml:space="preserve">随着行业崛起，企业间竞争加剧， </w:t>
      </w:r>
      <w:r>
        <w:rPr>
          <w:spacing w:val="-8"/>
        </w:rPr>
        <w:t xml:space="preserve">发展出现瓶颈，处于亟待调整的临界。行业历经 </w:t>
      </w:r>
      <w:r>
        <w:rPr>
          <w:rFonts w:ascii="Times New Roman" w:eastAsia="Times New Roman"/>
        </w:rPr>
        <w:t>2021</w:t>
      </w:r>
      <w:r>
        <w:rPr>
          <w:rFonts w:ascii="Times New Roman" w:eastAsia="Times New Roman"/>
          <w:spacing w:val="10"/>
        </w:rPr>
        <w:t xml:space="preserve"> </w:t>
      </w:r>
      <w:r>
        <w:rPr>
          <w:spacing w:val="-8"/>
        </w:rPr>
        <w:t>年的阵痛期，热度冷却，投</w:t>
      </w:r>
      <w:r>
        <w:rPr>
          <w:spacing w:val="-5"/>
        </w:rPr>
        <w:t>资回归理智，是头部企业的调整契机，各企业开始重新规划产能及目标，积极变</w:t>
      </w:r>
      <w:r>
        <w:rPr>
          <w:spacing w:val="-3"/>
        </w:rPr>
        <w:t>革，转移资源重心，进行自我修复。</w:t>
      </w:r>
    </w:p>
    <w:p>
      <w:pPr>
        <w:pStyle w:val="ListParagraph"/>
        <w:numPr>
          <w:ilvl w:val="0"/>
          <w:numId w:val="9"/>
        </w:numPr>
        <w:tabs>
          <w:tab w:val="left" w:pos="3387"/>
        </w:tabs>
        <w:spacing w:before="153" w:after="0" w:line="328" w:lineRule="auto"/>
        <w:ind w:left="3387" w:right="1117" w:hanging="423"/>
        <w:jc w:val="both"/>
        <w:rPr>
          <w:sz w:val="21"/>
        </w:rPr>
      </w:pPr>
      <w:r>
        <w:rPr>
          <w:b/>
          <w:spacing w:val="-1"/>
          <w:sz w:val="21"/>
        </w:rPr>
        <w:t>从外部看，渠道管理优化，消化库存整合经销商。</w:t>
      </w:r>
      <w:r>
        <w:rPr>
          <w:spacing w:val="-5"/>
          <w:sz w:val="21"/>
        </w:rPr>
        <w:t>一方面，经历行业快速崛</w:t>
      </w:r>
      <w:r>
        <w:rPr>
          <w:spacing w:val="-4"/>
          <w:sz w:val="21"/>
        </w:rPr>
        <w:t>起阶段，部分企业经销商数量快速扩张，但管理能力尚未随之升级。另一方面，</w:t>
      </w:r>
      <w:r>
        <w:rPr>
          <w:rFonts w:ascii="Times New Roman" w:eastAsia="Times New Roman" w:hAnsi="Times New Roman"/>
          <w:spacing w:val="-8"/>
          <w:sz w:val="21"/>
        </w:rPr>
        <w:t>20221</w:t>
      </w:r>
      <w:r>
        <w:rPr>
          <w:rFonts w:ascii="Times New Roman" w:eastAsia="Times New Roman" w:hAnsi="Times New Roman"/>
          <w:spacing w:val="30"/>
          <w:sz w:val="21"/>
        </w:rPr>
        <w:t xml:space="preserve"> </w:t>
      </w:r>
      <w:r>
        <w:rPr>
          <w:spacing w:val="-11"/>
          <w:sz w:val="21"/>
        </w:rPr>
        <w:t>年下游需求疲软，渠道库存难以消化，暴露出公司渠道管理方面的</w:t>
      </w:r>
      <w:r>
        <w:rPr>
          <w:spacing w:val="-12"/>
          <w:sz w:val="21"/>
        </w:rPr>
        <w:t>问题。因此头部企业着重调整渠道，并对经销商管理进行规范。例如天味食</w:t>
      </w:r>
      <w:r>
        <w:rPr>
          <w:spacing w:val="-4"/>
          <w:sz w:val="21"/>
        </w:rPr>
        <w:t>品通过大力促消化积压库存，对经销商进行分级管理，推出优商扶商的分级运营模式；颐海国际细化渠道划分，根据不同品类间的销售终端差异，将调味料与方便速食在经销商等方面做出区分。</w:t>
      </w:r>
    </w:p>
    <w:p>
      <w:pPr>
        <w:pStyle w:val="ListParagraph"/>
        <w:numPr>
          <w:ilvl w:val="0"/>
          <w:numId w:val="9"/>
        </w:numPr>
        <w:tabs>
          <w:tab w:val="left" w:pos="3387"/>
        </w:tabs>
        <w:spacing w:before="152" w:after="0" w:line="328" w:lineRule="auto"/>
        <w:ind w:left="3387" w:right="1117" w:hanging="423"/>
        <w:jc w:val="both"/>
        <w:rPr>
          <w:rFonts w:ascii="Times New Roman" w:eastAsia="Times New Roman" w:hAnsi="Times New Roman"/>
          <w:sz w:val="21"/>
        </w:rPr>
      </w:pPr>
      <w:r>
        <w:rPr>
          <w:b/>
          <w:sz w:val="21"/>
        </w:rPr>
        <w:t>从内部看，组织架构革新，内部激励持续推进。</w:t>
      </w:r>
      <w:r>
        <w:rPr>
          <w:spacing w:val="-5"/>
          <w:sz w:val="21"/>
        </w:rPr>
        <w:t xml:space="preserve">为匹配渠道管理调整，提高整体管理能力，部分企业进行部门组织架构革新。天味食品在调整前存在 </w:t>
      </w:r>
      <w:r>
        <w:rPr>
          <w:rFonts w:ascii="Times New Roman" w:eastAsia="Times New Roman" w:hAnsi="Times New Roman"/>
          <w:spacing w:val="-14"/>
          <w:sz w:val="21"/>
        </w:rPr>
        <w:t>B</w:t>
      </w:r>
    </w:p>
    <w:p>
      <w:pPr>
        <w:spacing w:after="0" w:line="328" w:lineRule="auto"/>
        <w:jc w:val="both"/>
        <w:rPr>
          <w:rFonts w:ascii="Times New Roman" w:eastAsia="Times New Roman" w:hAnsi="Times New Roman"/>
          <w:sz w:val="21"/>
        </w:rPr>
        <w:sectPr>
          <w:headerReference w:type="default" r:id="rId51"/>
          <w:footerReference w:type="default" r:id="rId52"/>
          <w:type w:val="continuous"/>
          <w:pgSz w:w="11910" w:h="16840"/>
          <w:pgMar w:top="1700" w:right="0" w:bottom="1500" w:left="440" w:header="708" w:footer="708"/>
          <w:pgNumType w:start="16"/>
          <w:cols w:space="708"/>
        </w:sectPr>
      </w:pPr>
    </w:p>
    <w:p>
      <w:pPr>
        <w:pStyle w:val="BodyText"/>
        <w:spacing w:before="161" w:line="328" w:lineRule="auto"/>
        <w:ind w:left="3387" w:right="1117"/>
        <w:jc w:val="both"/>
      </w:pPr>
      <w:r>
        <w:rPr>
          <w:spacing w:val="-23"/>
        </w:rPr>
        <w:t xml:space="preserve">端 </w:t>
      </w:r>
      <w:r>
        <w:rPr>
          <w:rFonts w:ascii="Times New Roman" w:eastAsia="Times New Roman"/>
        </w:rPr>
        <w:t xml:space="preserve">C </w:t>
      </w:r>
      <w:r>
        <w:rPr>
          <w:spacing w:val="-8"/>
        </w:rPr>
        <w:t xml:space="preserve">端渠道发展不均衡，难以实现 </w:t>
      </w:r>
      <w:r>
        <w:rPr>
          <w:rFonts w:ascii="Times New Roman" w:eastAsia="Times New Roman"/>
        </w:rPr>
        <w:t xml:space="preserve">C </w:t>
      </w:r>
      <w:r>
        <w:rPr>
          <w:spacing w:val="-7"/>
        </w:rPr>
        <w:t>端优势赋能的问题，调整后的组织架构</w:t>
      </w:r>
      <w:r>
        <w:rPr>
          <w:spacing w:val="-8"/>
        </w:rPr>
        <w:t>系统性和综合性提升，更好地服务于渠道精细化建设；颐海国际则在营销区</w:t>
      </w:r>
      <w:r>
        <w:rPr>
          <w:spacing w:val="-4"/>
        </w:rPr>
        <w:t xml:space="preserve">域制划分的基础上进一步放权，提高资源配置、运营管理等策略与公司发展现状的匹配程度。此外，为激发企业内部动力，提振调整阶段信心，部分企业持续推进内部激励政策，例如天味、日辰，从而深度绑定管理层及公司， </w:t>
      </w:r>
      <w:r>
        <w:rPr>
          <w:spacing w:val="-1"/>
        </w:rPr>
        <w:t>利好公司长期发展。</w:t>
      </w:r>
    </w:p>
    <w:p>
      <w:pPr>
        <w:pStyle w:val="BodyText"/>
        <w:tabs>
          <w:tab w:val="left" w:pos="10825"/>
        </w:tabs>
        <w:spacing w:line="261" w:lineRule="exact"/>
        <w:ind w:left="1831"/>
        <w:jc w:val="both"/>
      </w:pPr>
      <w:r>
        <w:drawing>
          <wp:anchor distT="0" distB="0" distL="0" distR="0" simplePos="0" relativeHeight="251688960" behindDoc="0" locked="0" layoutInCell="1" allowOverlap="1">
            <wp:simplePos x="0" y="0"/>
            <wp:positionH relativeFrom="page">
              <wp:posOffset>1441703</wp:posOffset>
            </wp:positionH>
            <wp:positionV relativeFrom="paragraph">
              <wp:posOffset>204791</wp:posOffset>
            </wp:positionV>
            <wp:extent cx="5705651" cy="2576512"/>
            <wp:effectExtent l="0" t="0" r="0" b="0"/>
            <wp:wrapTopAndBottom/>
            <wp:docPr id="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8.png"/>
                    <pic:cNvPicPr/>
                  </pic:nvPicPr>
                  <pic:blipFill>
                    <a:blip xmlns:r="http://schemas.openxmlformats.org/officeDocument/2006/relationships" r:embed="rId53" cstate="print"/>
                    <a:stretch>
                      <a:fillRect/>
                    </a:stretch>
                  </pic:blipFill>
                  <pic:spPr>
                    <a:xfrm>
                      <a:off x="0" y="0"/>
                      <a:ext cx="5705651" cy="2576512"/>
                    </a:xfrm>
                    <a:prstGeom prst="rect">
                      <a:avLst/>
                    </a:prstGeom>
                  </pic:spPr>
                </pic:pic>
              </a:graphicData>
            </a:graphic>
          </wp:anchor>
        </w:drawing>
      </w:r>
      <w:r>
        <w:rPr>
          <w:color w:val="FFFFFF"/>
          <w:spacing w:val="-1"/>
          <w:shd w:val="clear" w:color="auto" w:fill="9C4A45"/>
        </w:rPr>
        <w:t>图</w:t>
      </w:r>
      <w:r>
        <w:rPr>
          <w:rFonts w:ascii="Times New Roman" w:eastAsia="Times New Roman"/>
          <w:color w:val="FFFFFF"/>
          <w:spacing w:val="-1"/>
          <w:shd w:val="clear" w:color="auto" w:fill="9C4A45"/>
        </w:rPr>
        <w:t>11.</w:t>
      </w:r>
      <w:r>
        <w:rPr>
          <w:color w:val="FFFFFF"/>
          <w:spacing w:val="-1"/>
          <w:shd w:val="clear" w:color="auto" w:fill="9C4A45"/>
        </w:rPr>
        <w:t>部</w:t>
      </w:r>
      <w:r>
        <w:rPr>
          <w:color w:val="FFFFFF"/>
          <w:shd w:val="clear" w:color="auto" w:fill="9C4A45"/>
        </w:rPr>
        <w:t>分头部</w:t>
      </w:r>
      <w:r>
        <w:rPr>
          <w:color w:val="FFFFFF"/>
          <w:spacing w:val="-5"/>
          <w:shd w:val="clear" w:color="auto" w:fill="9C4A45"/>
        </w:rPr>
        <w:t>企</w:t>
      </w:r>
      <w:r>
        <w:rPr>
          <w:color w:val="FFFFFF"/>
          <w:shd w:val="clear" w:color="auto" w:fill="9C4A45"/>
        </w:rPr>
        <w:t>业自我</w:t>
      </w:r>
      <w:r>
        <w:rPr>
          <w:color w:val="FFFFFF"/>
          <w:spacing w:val="-5"/>
          <w:shd w:val="clear" w:color="auto" w:fill="9C4A45"/>
        </w:rPr>
        <w:t>调</w:t>
      </w:r>
      <w:r>
        <w:rPr>
          <w:color w:val="FFFFFF"/>
          <w:shd w:val="clear" w:color="auto" w:fill="9C4A45"/>
        </w:rPr>
        <w:t>整措施</w:t>
        <w:tab/>
      </w:r>
    </w:p>
    <w:p>
      <w:pPr>
        <w:spacing w:before="46"/>
        <w:ind w:left="1831" w:right="0" w:firstLine="0"/>
        <w:jc w:val="left"/>
        <w:rPr>
          <w:sz w:val="15"/>
        </w:rPr>
      </w:pPr>
      <w:r>
        <w:t xml:space="preserve">数据来源：各公司公告， </w:t>
      </w:r>
    </w:p>
    <w:p>
      <w:pPr>
        <w:pStyle w:val="BodyText"/>
        <w:rPr>
          <w:sz w:val="20"/>
        </w:rPr>
      </w:pPr>
    </w:p>
    <w:p>
      <w:pPr>
        <w:pStyle w:val="BodyText"/>
        <w:spacing w:before="1"/>
        <w:rPr>
          <w:sz w:val="18"/>
        </w:rPr>
      </w:pPr>
    </w:p>
    <w:p>
      <w:pPr>
        <w:pStyle w:val="Heading1"/>
        <w:numPr>
          <w:ilvl w:val="0"/>
          <w:numId w:val="14"/>
        </w:numPr>
        <w:tabs>
          <w:tab w:val="left" w:pos="3391"/>
          <w:tab w:val="left" w:pos="3392"/>
        </w:tabs>
        <w:spacing w:before="67" w:after="0" w:line="240" w:lineRule="auto"/>
        <w:ind w:left="3391" w:right="0" w:hanging="428"/>
        <w:jc w:val="left"/>
      </w:pPr>
      <w:bookmarkStart w:id="3" w:name="_TOC_250018"/>
      <w:r>
        <w:rPr>
          <w:rFonts w:ascii="Times New Roman" w:eastAsia="Times New Roman"/>
          <w:color w:val="9C4A45"/>
        </w:rPr>
        <w:t>BC</w:t>
      </w:r>
      <w:r>
        <w:rPr>
          <w:rFonts w:ascii="Times New Roman" w:eastAsia="Times New Roman"/>
          <w:color w:val="9C4A45"/>
          <w:spacing w:val="-5"/>
        </w:rPr>
        <w:t xml:space="preserve"> </w:t>
      </w:r>
      <w:bookmarkEnd w:id="3"/>
      <w:r>
        <w:rPr>
          <w:color w:val="9C4A45"/>
          <w:spacing w:val="-1"/>
        </w:rPr>
        <w:t>双轮驱动，行业空间广阔，发展潜力可持续</w:t>
      </w:r>
    </w:p>
    <w:p>
      <w:pPr>
        <w:pStyle w:val="ListParagraph"/>
        <w:numPr>
          <w:ilvl w:val="1"/>
          <w:numId w:val="14"/>
        </w:numPr>
        <w:tabs>
          <w:tab w:val="left" w:pos="3392"/>
        </w:tabs>
        <w:spacing w:before="304" w:after="0" w:line="240" w:lineRule="auto"/>
        <w:ind w:left="3391" w:right="0" w:hanging="428"/>
        <w:jc w:val="left"/>
        <w:rPr>
          <w:b/>
          <w:sz w:val="24"/>
        </w:rPr>
      </w:pPr>
      <w:bookmarkStart w:id="4" w:name="_TOC_250017"/>
      <w:bookmarkEnd w:id="4"/>
      <w:r>
        <w:rPr>
          <w:b/>
          <w:color w:val="9C4A45"/>
          <w:sz w:val="24"/>
        </w:rPr>
        <w:t>他山之石：从日本复调行业经验看国内复调发展新机遇</w:t>
      </w:r>
    </w:p>
    <w:p>
      <w:pPr>
        <w:pStyle w:val="ListParagraph"/>
        <w:numPr>
          <w:ilvl w:val="2"/>
          <w:numId w:val="14"/>
        </w:numPr>
        <w:tabs>
          <w:tab w:val="left" w:pos="3804"/>
          <w:tab w:val="left" w:pos="3805"/>
        </w:tabs>
        <w:spacing w:before="111" w:after="0" w:line="240" w:lineRule="auto"/>
        <w:ind w:left="3804" w:right="0" w:hanging="841"/>
        <w:jc w:val="left"/>
        <w:rPr>
          <w:b/>
          <w:sz w:val="21"/>
        </w:rPr>
      </w:pPr>
      <w:bookmarkStart w:id="5" w:name="_TOC_250016"/>
      <w:bookmarkEnd w:id="5"/>
      <w:r>
        <w:rPr>
          <w:b/>
          <w:color w:val="9C4A45"/>
          <w:spacing w:val="-2"/>
          <w:sz w:val="21"/>
        </w:rPr>
        <w:t>日本复调行业：横向扩张是企业发展趋势，行业渗透率和集中度高</w:t>
      </w:r>
    </w:p>
    <w:p>
      <w:pPr>
        <w:pStyle w:val="BodyText"/>
        <w:spacing w:before="10"/>
        <w:rPr>
          <w:b/>
          <w:sz w:val="19"/>
        </w:rPr>
      </w:pPr>
    </w:p>
    <w:p>
      <w:pPr>
        <w:spacing w:before="1" w:line="328" w:lineRule="auto"/>
        <w:ind w:left="2964" w:right="1117" w:firstLine="0"/>
        <w:jc w:val="both"/>
        <w:rPr>
          <w:sz w:val="21"/>
        </w:rPr>
      </w:pPr>
      <w:r>
        <w:rPr>
          <w:b/>
          <w:sz w:val="21"/>
        </w:rPr>
        <w:t>日本复调已进入成熟发展期，社会经济推动渗透率提升，头部效应更显。</w:t>
      </w:r>
      <w:r>
        <w:rPr>
          <w:sz w:val="21"/>
        </w:rPr>
        <w:t>复盘日本调味品的发展历程，基本呈现大单品起家、调料复合化、品类多元化拓展三大阶段。</w:t>
      </w:r>
    </w:p>
    <w:p>
      <w:pPr>
        <w:pStyle w:val="ListParagraph"/>
        <w:numPr>
          <w:ilvl w:val="0"/>
          <w:numId w:val="9"/>
        </w:numPr>
        <w:tabs>
          <w:tab w:val="left" w:pos="3386"/>
          <w:tab w:val="left" w:pos="3387"/>
        </w:tabs>
        <w:spacing w:before="152" w:after="0" w:line="328" w:lineRule="auto"/>
        <w:ind w:left="3387" w:right="1013" w:hanging="423"/>
        <w:jc w:val="left"/>
        <w:rPr>
          <w:sz w:val="21"/>
        </w:rPr>
      </w:pPr>
      <w:r>
        <w:rPr>
          <w:sz w:val="21"/>
          <w:u w:val="single"/>
        </w:rPr>
        <w:t>大单品起家（初期）：</w:t>
      </w:r>
      <w:r>
        <w:rPr>
          <w:rFonts w:ascii="Times New Roman" w:eastAsia="Times New Roman" w:hAnsi="Times New Roman"/>
          <w:sz w:val="21"/>
        </w:rPr>
        <w:t>1909</w:t>
      </w:r>
      <w:r>
        <w:rPr>
          <w:rFonts w:ascii="Times New Roman" w:eastAsia="Times New Roman" w:hAnsi="Times New Roman"/>
          <w:spacing w:val="29"/>
          <w:sz w:val="21"/>
        </w:rPr>
        <w:t xml:space="preserve"> </w:t>
      </w:r>
      <w:r>
        <w:rPr>
          <w:spacing w:val="-3"/>
          <w:sz w:val="21"/>
        </w:rPr>
        <w:t>年龟甲万建立日本第一座全自动酱油酿造工厂， 拉开了日本调味料工业化生产的帷幕，此后，凭借大单品的规模化和标准化</w:t>
      </w:r>
      <w:r>
        <w:rPr>
          <w:spacing w:val="-5"/>
          <w:sz w:val="21"/>
        </w:rPr>
        <w:t>生产，生产效率提高，价格降低，并成功建立国民品牌的心智。</w:t>
      </w:r>
    </w:p>
    <w:p>
      <w:pPr>
        <w:pStyle w:val="ListParagraph"/>
        <w:numPr>
          <w:ilvl w:val="0"/>
          <w:numId w:val="9"/>
        </w:numPr>
        <w:tabs>
          <w:tab w:val="left" w:pos="3387"/>
        </w:tabs>
        <w:spacing w:before="157" w:after="0" w:line="328" w:lineRule="auto"/>
        <w:ind w:left="3387" w:right="1119" w:hanging="423"/>
        <w:jc w:val="both"/>
        <w:rPr>
          <w:sz w:val="21"/>
        </w:rPr>
      </w:pPr>
      <w:r>
        <w:rPr>
          <w:spacing w:val="-2"/>
          <w:sz w:val="21"/>
          <w:u w:val="single"/>
        </w:rPr>
        <w:t>调料复合化</w:t>
      </w:r>
      <w:r>
        <w:rPr>
          <w:sz w:val="21"/>
          <w:u w:val="single"/>
        </w:rPr>
        <w:t>（</w:t>
      </w:r>
      <w:r>
        <w:rPr>
          <w:spacing w:val="-2"/>
          <w:sz w:val="21"/>
          <w:u w:val="single"/>
        </w:rPr>
        <w:t>成长期</w:t>
      </w:r>
      <w:r>
        <w:rPr>
          <w:spacing w:val="-3"/>
          <w:sz w:val="21"/>
          <w:u w:val="single"/>
        </w:rPr>
        <w:t>）：</w:t>
      </w:r>
      <w:r>
        <w:rPr>
          <w:rFonts w:ascii="Times New Roman" w:eastAsia="Times New Roman" w:hAnsi="Times New Roman"/>
          <w:spacing w:val="-3"/>
          <w:sz w:val="21"/>
        </w:rPr>
        <w:t>1950</w:t>
      </w:r>
      <w:r>
        <w:rPr>
          <w:rFonts w:ascii="Times New Roman" w:eastAsia="Times New Roman" w:hAnsi="Times New Roman"/>
          <w:spacing w:val="23"/>
          <w:sz w:val="21"/>
        </w:rPr>
        <w:t xml:space="preserve"> </w:t>
      </w:r>
      <w:r>
        <w:rPr>
          <w:spacing w:val="-6"/>
          <w:sz w:val="21"/>
        </w:rPr>
        <w:t>年代开始，日本复合调味品市场快速增长。首</w:t>
      </w:r>
      <w:r>
        <w:rPr>
          <w:spacing w:val="-4"/>
          <w:sz w:val="21"/>
        </w:rPr>
        <w:t>先，宏观经济快速发展，外食率和餐饮连锁化率提高，消费者对餐饮服务便捷化和多元化的需求应运而生；其次，社会结构改变，家庭规模缩小、人口老龄化、女性参工比例提升均促使家庭端增加快速食材烹饪的需求；最后，</w:t>
      </w:r>
    </w:p>
    <w:p>
      <w:pPr>
        <w:spacing w:after="0" w:line="328" w:lineRule="auto"/>
        <w:jc w:val="both"/>
        <w:rPr>
          <w:sz w:val="21"/>
        </w:rPr>
        <w:sectPr>
          <w:headerReference w:type="default" r:id="rId54"/>
          <w:footerReference w:type="default" r:id="rId55"/>
          <w:pgSz w:w="11910" w:h="16840"/>
          <w:pgMar w:top="1700" w:right="0" w:bottom="1500" w:left="440" w:header="708" w:footer="708"/>
          <w:pgNumType w:start="17"/>
          <w:cols w:space="708"/>
        </w:sectPr>
      </w:pPr>
    </w:p>
    <w:p>
      <w:pPr>
        <w:pStyle w:val="BodyText"/>
        <w:spacing w:before="161" w:line="328" w:lineRule="auto"/>
        <w:ind w:left="3387" w:right="1119"/>
      </w:pPr>
      <w:r>
        <w:t>国际化浪潮提高消费者对异国料理的接受度。由此，日本调味品行业经历调料复合化的快速增长时期。</w:t>
      </w:r>
    </w:p>
    <w:p>
      <w:pPr>
        <w:pStyle w:val="ListParagraph"/>
        <w:numPr>
          <w:ilvl w:val="0"/>
          <w:numId w:val="9"/>
        </w:numPr>
        <w:tabs>
          <w:tab w:val="left" w:pos="3387"/>
        </w:tabs>
        <w:spacing w:before="152" w:after="0" w:line="328" w:lineRule="auto"/>
        <w:ind w:left="3387" w:right="1117" w:hanging="423"/>
        <w:jc w:val="both"/>
        <w:rPr>
          <w:sz w:val="21"/>
        </w:rPr>
      </w:pPr>
      <w:r>
        <w:rPr>
          <w:spacing w:val="-2"/>
          <w:sz w:val="21"/>
          <w:u w:val="single"/>
        </w:rPr>
        <w:t>品类多元化</w:t>
      </w:r>
      <w:r>
        <w:rPr>
          <w:sz w:val="21"/>
          <w:u w:val="single"/>
        </w:rPr>
        <w:t>（</w:t>
      </w:r>
      <w:r>
        <w:rPr>
          <w:spacing w:val="-2"/>
          <w:sz w:val="21"/>
          <w:u w:val="single"/>
        </w:rPr>
        <w:t>成熟期</w:t>
      </w:r>
      <w:r>
        <w:rPr>
          <w:spacing w:val="-5"/>
          <w:sz w:val="21"/>
          <w:u w:val="single"/>
        </w:rPr>
        <w:t>）：</w:t>
      </w:r>
      <w:r>
        <w:rPr>
          <w:rFonts w:ascii="Times New Roman" w:eastAsia="Times New Roman" w:hAnsi="Times New Roman"/>
          <w:spacing w:val="-5"/>
          <w:sz w:val="21"/>
        </w:rPr>
        <w:t>70</w:t>
      </w:r>
      <w:r>
        <w:rPr>
          <w:rFonts w:ascii="Times New Roman" w:eastAsia="Times New Roman" w:hAnsi="Times New Roman"/>
          <w:spacing w:val="30"/>
          <w:sz w:val="21"/>
        </w:rPr>
        <w:t xml:space="preserve"> </w:t>
      </w:r>
      <w:r>
        <w:rPr>
          <w:spacing w:val="-5"/>
          <w:sz w:val="21"/>
        </w:rPr>
        <w:t>年代后，日本消费者对饮食便捷化和场景多样化</w:t>
      </w:r>
      <w:r>
        <w:rPr>
          <w:spacing w:val="-16"/>
          <w:sz w:val="21"/>
        </w:rPr>
        <w:t xml:space="preserve">的需求持续扩大，各调味品企业开始多元化布局复调赛道，品类逐渐细分化， </w:t>
      </w:r>
      <w:r>
        <w:rPr>
          <w:spacing w:val="-9"/>
          <w:sz w:val="21"/>
        </w:rPr>
        <w:t>复调行业渗透率不断提升，</w:t>
      </w:r>
      <w:r>
        <w:rPr>
          <w:rFonts w:ascii="Times New Roman" w:eastAsia="Times New Roman" w:hAnsi="Times New Roman"/>
          <w:spacing w:val="-3"/>
          <w:sz w:val="21"/>
        </w:rPr>
        <w:t>2020</w:t>
      </w:r>
      <w:r>
        <w:rPr>
          <w:rFonts w:ascii="Times New Roman" w:eastAsia="Times New Roman" w:hAnsi="Times New Roman"/>
          <w:spacing w:val="16"/>
          <w:sz w:val="21"/>
        </w:rPr>
        <w:t xml:space="preserve"> </w:t>
      </w:r>
      <w:r>
        <w:rPr>
          <w:spacing w:val="-9"/>
          <w:sz w:val="21"/>
        </w:rPr>
        <w:t xml:space="preserve">年已接近 </w:t>
      </w:r>
      <w:r>
        <w:rPr>
          <w:rFonts w:ascii="Times New Roman" w:eastAsia="Times New Roman" w:hAnsi="Times New Roman"/>
          <w:spacing w:val="-3"/>
          <w:sz w:val="21"/>
        </w:rPr>
        <w:t>70%</w:t>
      </w:r>
      <w:r>
        <w:rPr>
          <w:spacing w:val="-8"/>
          <w:sz w:val="21"/>
        </w:rPr>
        <w:t>。目前，日本复调行业成熟期</w:t>
      </w:r>
      <w:r>
        <w:rPr>
          <w:spacing w:val="-4"/>
          <w:sz w:val="21"/>
        </w:rPr>
        <w:t>特征更为明显，各龙头企业凭借自身规模和资金优势，不断提高在细分赛道</w:t>
      </w:r>
      <w:r>
        <w:rPr>
          <w:spacing w:val="-10"/>
          <w:sz w:val="21"/>
        </w:rPr>
        <w:t xml:space="preserve">的市占率，比如沙拉酱巨头丘比，截至 </w:t>
      </w:r>
      <w:r>
        <w:rPr>
          <w:rFonts w:ascii="Times New Roman" w:eastAsia="Times New Roman" w:hAnsi="Times New Roman"/>
          <w:sz w:val="21"/>
        </w:rPr>
        <w:t>2022</w:t>
      </w:r>
      <w:r>
        <w:rPr>
          <w:rFonts w:ascii="Times New Roman" w:eastAsia="Times New Roman" w:hAnsi="Times New Roman"/>
          <w:spacing w:val="14"/>
          <w:sz w:val="21"/>
        </w:rPr>
        <w:t xml:space="preserve"> </w:t>
      </w:r>
      <w:r>
        <w:rPr>
          <w:spacing w:val="-7"/>
          <w:sz w:val="21"/>
        </w:rPr>
        <w:t>年，其沙拉酱在日本市场的占有</w:t>
      </w:r>
      <w:r>
        <w:rPr>
          <w:spacing w:val="-15"/>
          <w:sz w:val="21"/>
        </w:rPr>
        <w:t xml:space="preserve">率已经达到 </w:t>
      </w:r>
      <w:r>
        <w:rPr>
          <w:rFonts w:ascii="Times New Roman" w:eastAsia="Times New Roman" w:hAnsi="Times New Roman"/>
          <w:sz w:val="21"/>
        </w:rPr>
        <w:t>70%</w:t>
      </w:r>
      <w:r>
        <w:rPr>
          <w:sz w:val="21"/>
        </w:rPr>
        <w:t>。</w:t>
      </w:r>
    </w:p>
    <w:p>
      <w:pPr>
        <w:pStyle w:val="BodyText"/>
        <w:tabs>
          <w:tab w:val="left" w:pos="5115"/>
          <w:tab w:val="left" w:pos="10335"/>
        </w:tabs>
        <w:spacing w:line="266" w:lineRule="exact"/>
        <w:ind w:left="126"/>
        <w:jc w:val="both"/>
      </w:pPr>
      <w:r>
        <w:rPr>
          <w:color w:val="FFFFFF"/>
          <w:shd w:val="clear" w:color="auto" w:fill="9C4A45"/>
        </w:rPr>
        <w:t>图</w:t>
      </w:r>
      <w:r>
        <w:rPr>
          <w:rFonts w:ascii="Times New Roman" w:eastAsia="Times New Roman"/>
          <w:color w:val="FFFFFF"/>
          <w:shd w:val="clear" w:color="auto" w:fill="9C4A45"/>
        </w:rPr>
        <w:t>12.</w:t>
      </w:r>
      <w:r>
        <w:rPr>
          <w:color w:val="FFFFFF"/>
          <w:shd w:val="clear" w:color="auto" w:fill="9C4A45"/>
        </w:rPr>
        <w:t>日本外食</w:t>
      </w:r>
      <w:r>
        <w:rPr>
          <w:color w:val="FFFFFF"/>
          <w:spacing w:val="-5"/>
          <w:shd w:val="clear" w:color="auto" w:fill="9C4A45"/>
        </w:rPr>
        <w:t>率</w:t>
      </w:r>
      <w:r>
        <w:rPr>
          <w:color w:val="FFFFFF"/>
          <w:shd w:val="clear" w:color="auto" w:fill="9C4A45"/>
        </w:rPr>
        <w:t>变化</w:t>
        <w:tab/>
      </w:r>
      <w:r>
        <w:rPr>
          <w:color w:val="FFFFFF"/>
          <w:spacing w:val="-1"/>
          <w:shd w:val="clear" w:color="auto" w:fill="9C4A45"/>
        </w:rPr>
        <w:t>图</w:t>
      </w:r>
      <w:r>
        <w:rPr>
          <w:rFonts w:ascii="Times New Roman" w:eastAsia="Times New Roman"/>
          <w:color w:val="FFFFFF"/>
          <w:spacing w:val="-1"/>
          <w:shd w:val="clear" w:color="auto" w:fill="9C4A45"/>
        </w:rPr>
        <w:t>13.</w:t>
      </w:r>
      <w:r>
        <w:rPr>
          <w:color w:val="FFFFFF"/>
          <w:spacing w:val="-1"/>
          <w:shd w:val="clear" w:color="auto" w:fill="9C4A45"/>
        </w:rPr>
        <w:t>日</w:t>
      </w:r>
      <w:r>
        <w:rPr>
          <w:color w:val="FFFFFF"/>
          <w:shd w:val="clear" w:color="auto" w:fill="9C4A45"/>
        </w:rPr>
        <w:t>本家庭</w:t>
      </w:r>
      <w:r>
        <w:rPr>
          <w:color w:val="FFFFFF"/>
          <w:spacing w:val="-5"/>
          <w:shd w:val="clear" w:color="auto" w:fill="9C4A45"/>
        </w:rPr>
        <w:t>规</w:t>
      </w:r>
      <w:r>
        <w:rPr>
          <w:color w:val="FFFFFF"/>
          <w:shd w:val="clear" w:color="auto" w:fill="9C4A45"/>
        </w:rPr>
        <w:t>模变化</w:t>
        <w:tab/>
      </w:r>
    </w:p>
    <w:p>
      <w:pPr>
        <w:spacing w:after="0" w:line="266" w:lineRule="exact"/>
        <w:jc w:val="both"/>
        <w:sectPr>
          <w:headerReference w:type="default" r:id="rId56"/>
          <w:footerReference w:type="default" r:id="rId57"/>
          <w:pgSz w:w="11910" w:h="16840"/>
          <w:pgMar w:top="1700" w:right="0" w:bottom="1500" w:left="440" w:header="708" w:footer="708"/>
          <w:pgNumType w:start="18"/>
          <w:cols w:space="708"/>
        </w:sectPr>
      </w:pPr>
    </w:p>
    <w:p>
      <w:pPr>
        <w:spacing w:before="124"/>
        <w:ind w:left="365" w:right="0" w:firstLine="0"/>
        <w:jc w:val="left"/>
        <w:rPr>
          <w:rFonts w:ascii="Times New Roman"/>
          <w:sz w:val="18"/>
        </w:rPr>
      </w:pPr>
      <w:r>
        <w:rPr>
          <w:rFonts w:ascii="Times New Roman"/>
          <w:spacing w:val="-1"/>
          <w:sz w:val="18"/>
        </w:rPr>
        <w:t>40.0%</w:t>
      </w:r>
    </w:p>
    <w:p>
      <w:pPr>
        <w:spacing w:before="33"/>
        <w:ind w:left="365" w:right="0" w:firstLine="0"/>
        <w:jc w:val="left"/>
        <w:rPr>
          <w:rFonts w:ascii="Times New Roman"/>
          <w:sz w:val="18"/>
        </w:rPr>
      </w:pPr>
      <w:r>
        <w:rPr>
          <w:rFonts w:ascii="Times New Roman"/>
          <w:spacing w:val="-1"/>
          <w:sz w:val="18"/>
        </w:rPr>
        <w:t>38.0%</w:t>
      </w:r>
    </w:p>
    <w:p>
      <w:pPr>
        <w:spacing w:before="33"/>
        <w:ind w:left="365" w:right="0" w:firstLine="0"/>
        <w:jc w:val="left"/>
        <w:rPr>
          <w:rFonts w:ascii="Times New Roman"/>
          <w:sz w:val="18"/>
        </w:rPr>
      </w:pPr>
      <w:r>
        <w:rPr>
          <w:rFonts w:ascii="Times New Roman"/>
          <w:spacing w:val="-1"/>
          <w:sz w:val="18"/>
        </w:rPr>
        <w:t>36.0%</w:t>
      </w:r>
    </w:p>
    <w:p>
      <w:pPr>
        <w:spacing w:before="34"/>
        <w:ind w:left="365" w:right="0" w:firstLine="0"/>
        <w:jc w:val="left"/>
        <w:rPr>
          <w:rFonts w:ascii="Times New Roman"/>
          <w:sz w:val="18"/>
        </w:rPr>
      </w:pPr>
      <w:r>
        <w:rPr>
          <w:rFonts w:ascii="Times New Roman"/>
          <w:spacing w:val="-1"/>
          <w:sz w:val="18"/>
        </w:rPr>
        <w:t>34.0%</w:t>
      </w:r>
    </w:p>
    <w:p>
      <w:pPr>
        <w:spacing w:before="33"/>
        <w:ind w:left="365" w:right="0" w:firstLine="0"/>
        <w:jc w:val="left"/>
        <w:rPr>
          <w:rFonts w:ascii="Times New Roman"/>
          <w:sz w:val="18"/>
        </w:rPr>
      </w:pPr>
      <w:r>
        <w:rPr>
          <w:rFonts w:ascii="Times New Roman"/>
          <w:spacing w:val="-1"/>
          <w:sz w:val="18"/>
        </w:rPr>
        <w:t>32.0%</w:t>
      </w:r>
    </w:p>
    <w:p>
      <w:pPr>
        <w:spacing w:before="33"/>
        <w:ind w:left="365" w:right="0" w:firstLine="0"/>
        <w:jc w:val="left"/>
        <w:rPr>
          <w:rFonts w:ascii="Times New Roman"/>
          <w:sz w:val="18"/>
        </w:rPr>
      </w:pPr>
      <w:r>
        <w:rPr>
          <w:rFonts w:ascii="Times New Roman"/>
          <w:spacing w:val="-1"/>
          <w:sz w:val="18"/>
        </w:rPr>
        <w:t>30.0%</w:t>
      </w:r>
    </w:p>
    <w:p>
      <w:pPr>
        <w:spacing w:before="34"/>
        <w:ind w:left="365" w:right="0" w:firstLine="0"/>
        <w:jc w:val="left"/>
        <w:rPr>
          <w:rFonts w:ascii="Times New Roman"/>
          <w:sz w:val="18"/>
        </w:rPr>
      </w:pPr>
      <w:r>
        <w:rPr>
          <w:rFonts w:ascii="Times New Roman"/>
          <w:spacing w:val="-1"/>
          <w:sz w:val="18"/>
        </w:rPr>
        <w:t>28.0%</w:t>
      </w:r>
    </w:p>
    <w:p>
      <w:pPr>
        <w:spacing w:before="33"/>
        <w:ind w:left="365" w:right="0" w:firstLine="0"/>
        <w:jc w:val="left"/>
        <w:rPr>
          <w:rFonts w:ascii="Times New Roman"/>
          <w:sz w:val="18"/>
        </w:rPr>
      </w:pPr>
      <w:r>
        <w:rPr>
          <w:rFonts w:ascii="Times New Roman"/>
          <w:spacing w:val="-1"/>
          <w:sz w:val="18"/>
        </w:rPr>
        <w:t>26.0%</w:t>
      </w:r>
    </w:p>
    <w:p>
      <w:pPr>
        <w:spacing w:before="33"/>
        <w:ind w:left="365" w:right="0" w:firstLine="0"/>
        <w:jc w:val="left"/>
        <w:rPr>
          <w:rFonts w:ascii="Times New Roman"/>
          <w:sz w:val="18"/>
        </w:rPr>
      </w:pPr>
      <w:r>
        <w:rPr>
          <w:rFonts w:ascii="Times New Roman"/>
          <w:spacing w:val="-1"/>
          <w:sz w:val="18"/>
        </w:rPr>
        <w:t>24.0%</w:t>
      </w:r>
    </w:p>
    <w:p>
      <w:pPr>
        <w:spacing w:before="34"/>
        <w:ind w:left="365" w:right="0" w:firstLine="0"/>
        <w:jc w:val="left"/>
        <w:rPr>
          <w:rFonts w:ascii="Times New Roman"/>
          <w:sz w:val="18"/>
        </w:rPr>
      </w:pPr>
      <w:r>
        <w:rPr>
          <w:rFonts w:ascii="Times New Roman"/>
          <w:spacing w:val="-1"/>
          <w:sz w:val="18"/>
        </w:rPr>
        <w:t>22.0%</w:t>
      </w:r>
    </w:p>
    <w:p>
      <w:pPr>
        <w:spacing w:before="33"/>
        <w:ind w:left="365" w:right="0" w:firstLine="0"/>
        <w:jc w:val="left"/>
        <w:rPr>
          <w:rFonts w:ascii="Times New Roman"/>
          <w:sz w:val="18"/>
        </w:rPr>
      </w:pPr>
      <w:r>
        <w:drawing>
          <wp:anchor distT="0" distB="0" distL="0" distR="0" simplePos="0" relativeHeight="251691008" behindDoc="0" locked="0" layoutInCell="1" allowOverlap="1">
            <wp:simplePos x="0" y="0"/>
            <wp:positionH relativeFrom="page">
              <wp:posOffset>783361</wp:posOffset>
            </wp:positionH>
            <wp:positionV relativeFrom="paragraph">
              <wp:posOffset>179988</wp:posOffset>
            </wp:positionV>
            <wp:extent cx="2359898" cy="211074"/>
            <wp:effectExtent l="0" t="0" r="0" b="0"/>
            <wp:wrapNone/>
            <wp:docPr id="1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9.png"/>
                    <pic:cNvPicPr/>
                  </pic:nvPicPr>
                  <pic:blipFill>
                    <a:blip xmlns:r="http://schemas.openxmlformats.org/officeDocument/2006/relationships" r:embed="rId58" cstate="print"/>
                    <a:stretch>
                      <a:fillRect/>
                    </a:stretch>
                  </pic:blipFill>
                  <pic:spPr>
                    <a:xfrm>
                      <a:off x="0" y="0"/>
                      <a:ext cx="2359898" cy="211074"/>
                    </a:xfrm>
                    <a:prstGeom prst="rect">
                      <a:avLst/>
                    </a:prstGeom>
                  </pic:spPr>
                </pic:pic>
              </a:graphicData>
            </a:graphic>
          </wp:anchor>
        </w:drawing>
      </w:r>
      <w:r>
        <w:rPr>
          <w:rFonts w:ascii="Times New Roman"/>
          <w:spacing w:val="-1"/>
          <w:sz w:val="18"/>
        </w:rPr>
        <w:t>20.0%</w:t>
      </w:r>
    </w:p>
    <w:p>
      <w:pPr>
        <w:spacing w:before="167"/>
        <w:ind w:left="468" w:right="0" w:firstLine="0"/>
        <w:jc w:val="left"/>
        <w:rPr>
          <w:rFonts w:ascii="Times New Roman"/>
          <w:sz w:val="18"/>
        </w:rPr>
      </w:pPr>
      <w:r>
        <w:br w:type="column"/>
      </w:r>
      <w:r>
        <w:rPr>
          <w:rFonts w:ascii="Times New Roman"/>
          <w:sz w:val="18"/>
        </w:rPr>
        <w:t>37.7%</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sz w:val="23"/>
        </w:rPr>
      </w:pPr>
    </w:p>
    <w:p>
      <w:pPr>
        <w:spacing w:before="0"/>
        <w:ind w:left="75" w:right="0" w:firstLine="0"/>
        <w:jc w:val="left"/>
        <w:rPr>
          <w:rFonts w:ascii="Times New Roman"/>
          <w:sz w:val="18"/>
        </w:rPr>
      </w:pPr>
      <w:r>
        <w:pict>
          <v:group id="_x0000_s1301" style="width:188.6pt;height:120.9pt;margin-top:-78.38pt;margin-left:70.78pt;mso-position-horizontal-relative:page;position:absolute;z-index:-251626496" coordorigin="1416,-1568" coordsize="3772,2418">
            <v:shape id="_x0000_s1302" style="width:54;height:2403;left:1423;position:absolute;top:-1561" coordorigin="1423,-1560" coordsize="54,2403" path="m1423,842l1423,-1560m1423,842l1476,842m1423,600l1476,600m1423,360l1476,360m1423,120l1476,120m1423,-120l1476,-120m1423,-360l1476,-360m1423,-600l1476,-600m1423,-840l1476,-840m1423,-1080l1476,-1080m1423,-1320l1476,-1320m1423,-1560l1476,-1560e" filled="f" stroked="t" strokecolor="#aeabab" strokeweight="0.75pt">
              <v:stroke dashstyle="solid"/>
              <v:path arrowok="t"/>
            </v:shape>
            <v:line id="_x0000_s1303" style="position:absolute" from="1423,842" to="5187,842" stroked="t" strokecolor="#d9d9d9" strokeweight="0.75pt">
              <v:stroke dashstyle="solid"/>
            </v:line>
            <v:shape id="_x0000_s1304" type="#_x0000_t75" style="width:3701;height:1623;left:1452;position:absolute;top:-1339" stroked="f">
              <v:imagedata r:id="rId59" o:title=""/>
            </v:shape>
          </v:group>
        </w:pict>
      </w:r>
      <w:r>
        <w:rPr>
          <w:rFonts w:ascii="Times New Roman"/>
          <w:sz w:val="18"/>
        </w:rPr>
        <w:t>27.8%</w:t>
      </w:r>
    </w:p>
    <w:p>
      <w:pPr>
        <w:pStyle w:val="BodyText"/>
        <w:rPr>
          <w:rFonts w:ascii="Times New Roman"/>
          <w:sz w:val="18"/>
        </w:rPr>
      </w:pPr>
      <w:r>
        <w:br w:type="column"/>
      </w: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spacing w:before="1"/>
        <w:rPr>
          <w:rFonts w:ascii="Times New Roman"/>
          <w:sz w:val="18"/>
        </w:rPr>
      </w:pPr>
    </w:p>
    <w:p>
      <w:pPr>
        <w:spacing w:before="0"/>
        <w:ind w:left="741" w:right="0" w:firstLine="0"/>
        <w:jc w:val="left"/>
        <w:rPr>
          <w:sz w:val="18"/>
        </w:rPr>
      </w:pPr>
      <w:r>
        <w:drawing>
          <wp:anchor distT="0" distB="0" distL="0" distR="0" simplePos="0" relativeHeight="251692032" behindDoc="0" locked="0" layoutInCell="1" allowOverlap="1">
            <wp:simplePos x="0" y="0"/>
            <wp:positionH relativeFrom="page">
              <wp:posOffset>1658873</wp:posOffset>
            </wp:positionH>
            <wp:positionV relativeFrom="paragraph">
              <wp:posOffset>40068</wp:posOffset>
            </wp:positionV>
            <wp:extent cx="243839" cy="70485"/>
            <wp:effectExtent l="0" t="0" r="0" b="0"/>
            <wp:wrapNone/>
            <wp:docPr id="1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1.png"/>
                    <pic:cNvPicPr/>
                  </pic:nvPicPr>
                  <pic:blipFill>
                    <a:blip xmlns:r="http://schemas.openxmlformats.org/officeDocument/2006/relationships" r:embed="rId60" cstate="print"/>
                    <a:stretch>
                      <a:fillRect/>
                    </a:stretch>
                  </pic:blipFill>
                  <pic:spPr>
                    <a:xfrm>
                      <a:off x="0" y="0"/>
                      <a:ext cx="243839" cy="70485"/>
                    </a:xfrm>
                    <a:prstGeom prst="rect">
                      <a:avLst/>
                    </a:prstGeom>
                  </pic:spPr>
                </pic:pic>
              </a:graphicData>
            </a:graphic>
          </wp:anchor>
        </w:drawing>
      </w:r>
      <w:r>
        <w:rPr>
          <w:sz w:val="18"/>
        </w:rPr>
        <w:t>外食率</w:t>
      </w:r>
    </w:p>
    <w:p>
      <w:pPr>
        <w:pStyle w:val="BodyText"/>
        <w:rPr>
          <w:sz w:val="20"/>
        </w:rPr>
      </w:pPr>
      <w:r>
        <w:br w:type="column"/>
      </w:r>
    </w:p>
    <w:p>
      <w:pPr>
        <w:pStyle w:val="BodyText"/>
        <w:spacing w:before="9"/>
        <w:rPr>
          <w:sz w:val="27"/>
        </w:rPr>
      </w:pPr>
    </w:p>
    <w:p>
      <w:pPr>
        <w:spacing w:before="0"/>
        <w:ind w:left="365" w:right="0" w:firstLine="0"/>
        <w:jc w:val="left"/>
        <w:rPr>
          <w:rFonts w:ascii="Times New Roman"/>
          <w:sz w:val="18"/>
        </w:rPr>
      </w:pPr>
      <w:r>
        <w:rPr>
          <w:rFonts w:ascii="Times New Roman"/>
          <w:sz w:val="18"/>
        </w:rPr>
        <w:t>34.0%</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before="173"/>
        <w:ind w:left="647" w:right="0" w:firstLine="0"/>
        <w:jc w:val="left"/>
        <w:rPr>
          <w:rFonts w:ascii="Times New Roman"/>
          <w:sz w:val="18"/>
        </w:rPr>
      </w:pPr>
      <w:r>
        <w:rPr>
          <w:rFonts w:ascii="Times New Roman"/>
          <w:sz w:val="18"/>
        </w:rPr>
        <w:t>25.1%</w:t>
      </w:r>
    </w:p>
    <w:p>
      <w:pPr>
        <w:spacing w:before="110"/>
        <w:ind w:left="365" w:right="0" w:firstLine="0"/>
        <w:jc w:val="left"/>
        <w:rPr>
          <w:rFonts w:ascii="Times New Roman"/>
          <w:sz w:val="18"/>
        </w:rPr>
      </w:pPr>
      <w:r>
        <w:br w:type="column"/>
      </w:r>
      <w:r>
        <w:rPr>
          <w:rFonts w:ascii="Times New Roman"/>
          <w:spacing w:val="-1"/>
          <w:sz w:val="18"/>
        </w:rPr>
        <w:t>4.0</w:t>
      </w:r>
    </w:p>
    <w:p>
      <w:pPr>
        <w:pStyle w:val="BodyText"/>
        <w:spacing w:before="1"/>
        <w:rPr>
          <w:rFonts w:ascii="Times New Roman"/>
          <w:sz w:val="28"/>
        </w:rPr>
      </w:pPr>
    </w:p>
    <w:p>
      <w:pPr>
        <w:spacing w:before="0"/>
        <w:ind w:left="365" w:right="0" w:firstLine="0"/>
        <w:jc w:val="left"/>
        <w:rPr>
          <w:rFonts w:ascii="Times New Roman"/>
          <w:sz w:val="18"/>
        </w:rPr>
      </w:pPr>
      <w:r>
        <w:rPr>
          <w:rFonts w:ascii="Times New Roman"/>
          <w:spacing w:val="-1"/>
          <w:sz w:val="18"/>
        </w:rPr>
        <w:t>3.5</w:t>
      </w:r>
    </w:p>
    <w:p>
      <w:pPr>
        <w:pStyle w:val="BodyText"/>
        <w:spacing w:before="2"/>
        <w:rPr>
          <w:rFonts w:ascii="Times New Roman"/>
          <w:sz w:val="28"/>
        </w:rPr>
      </w:pPr>
    </w:p>
    <w:p>
      <w:pPr>
        <w:spacing w:before="0"/>
        <w:ind w:left="365" w:right="0" w:firstLine="0"/>
        <w:jc w:val="left"/>
        <w:rPr>
          <w:rFonts w:ascii="Times New Roman"/>
          <w:sz w:val="18"/>
        </w:rPr>
      </w:pPr>
      <w:r>
        <w:rPr>
          <w:rFonts w:ascii="Times New Roman"/>
          <w:spacing w:val="-1"/>
          <w:sz w:val="18"/>
        </w:rPr>
        <w:t>3.0</w:t>
      </w:r>
    </w:p>
    <w:p>
      <w:pPr>
        <w:pStyle w:val="BodyText"/>
        <w:spacing w:before="1"/>
        <w:rPr>
          <w:rFonts w:ascii="Times New Roman"/>
          <w:sz w:val="28"/>
        </w:rPr>
      </w:pPr>
    </w:p>
    <w:p>
      <w:pPr>
        <w:spacing w:before="0"/>
        <w:ind w:left="365" w:right="0" w:firstLine="0"/>
        <w:jc w:val="left"/>
        <w:rPr>
          <w:rFonts w:ascii="Times New Roman"/>
          <w:sz w:val="18"/>
        </w:rPr>
      </w:pPr>
      <w:r>
        <w:rPr>
          <w:rFonts w:ascii="Times New Roman"/>
          <w:spacing w:val="-1"/>
          <w:sz w:val="18"/>
        </w:rPr>
        <w:t>2.5</w:t>
      </w:r>
    </w:p>
    <w:p>
      <w:pPr>
        <w:pStyle w:val="BodyText"/>
        <w:spacing w:before="2"/>
        <w:rPr>
          <w:rFonts w:ascii="Times New Roman"/>
          <w:sz w:val="28"/>
        </w:rPr>
      </w:pPr>
    </w:p>
    <w:p>
      <w:pPr>
        <w:spacing w:before="0"/>
        <w:ind w:left="365" w:right="0" w:firstLine="0"/>
        <w:jc w:val="left"/>
        <w:rPr>
          <w:rFonts w:ascii="Times New Roman"/>
          <w:sz w:val="18"/>
        </w:rPr>
      </w:pPr>
      <w:r>
        <w:rPr>
          <w:rFonts w:ascii="Times New Roman"/>
          <w:spacing w:val="-1"/>
          <w:sz w:val="18"/>
        </w:rPr>
        <w:t>2.0</w:t>
      </w:r>
    </w:p>
    <w:p>
      <w:pPr>
        <w:pStyle w:val="BodyText"/>
        <w:spacing w:before="2"/>
        <w:rPr>
          <w:rFonts w:ascii="Times New Roman"/>
          <w:sz w:val="28"/>
        </w:rPr>
      </w:pPr>
    </w:p>
    <w:p>
      <w:pPr>
        <w:spacing w:before="0"/>
        <w:ind w:left="365" w:right="0" w:firstLine="0"/>
        <w:jc w:val="left"/>
        <w:rPr>
          <w:rFonts w:ascii="Times New Roman"/>
          <w:sz w:val="18"/>
        </w:rPr>
      </w:pPr>
      <w:r>
        <w:rPr>
          <w:rFonts w:ascii="Times New Roman"/>
          <w:spacing w:val="-1"/>
          <w:sz w:val="18"/>
        </w:rPr>
        <w:t>1.5</w:t>
      </w:r>
    </w:p>
    <w:p>
      <w:pPr>
        <w:pStyle w:val="BodyText"/>
        <w:spacing w:before="3" w:after="39"/>
        <w:rPr>
          <w:rFonts w:ascii="Times New Roman"/>
          <w:sz w:val="15"/>
        </w:rPr>
      </w:pPr>
      <w:r>
        <w:br w:type="column"/>
      </w:r>
    </w:p>
    <w:p>
      <w:pPr>
        <w:pStyle w:val="BodyText"/>
        <w:ind w:left="147"/>
        <w:rPr>
          <w:rFonts w:ascii="Times New Roman"/>
          <w:sz w:val="20"/>
        </w:rPr>
      </w:pPr>
      <w:r>
        <w:rPr>
          <w:rFonts w:ascii="Times New Roman"/>
          <w:sz w:val="20"/>
        </w:rPr>
        <w:pict>
          <v:group id="_x0000_i1305" style="width:206.05pt;height:133.4pt;mso-position-horizontal-relative:char;mso-position-vertical-relative:line" coordorigin="0,0" coordsize="4121,2668">
            <v:line id="_x0000_s1306" style="position:absolute" from="8,2660" to="8,8" stroked="t" strokecolor="#aeabab" strokeweight="0.75pt">
              <v:stroke dashstyle="solid"/>
            </v:line>
            <v:line id="_x0000_s1307" style="position:absolute" from="8,2660" to="61,2660" stroked="t" strokecolor="#aeabab" strokeweight="0.75pt">
              <v:stroke dashstyle="solid"/>
            </v:line>
            <v:line id="_x0000_s1308" style="position:absolute" from="8,2129" to="61,2129" stroked="t" strokecolor="#aeabab" strokeweight="0.75pt">
              <v:stroke dashstyle="solid"/>
            </v:line>
            <v:line id="_x0000_s1309" style="position:absolute" from="8,1596" to="61,1596" stroked="t" strokecolor="#aeabab" strokeweight="0.75pt">
              <v:stroke dashstyle="solid"/>
            </v:line>
            <v:line id="_x0000_s1310" style="position:absolute" from="8,1068" to="61,1068" stroked="t" strokecolor="#aeabab" strokeweight="0.75pt">
              <v:stroke dashstyle="solid"/>
            </v:line>
            <v:line id="_x0000_s1311" style="position:absolute" from="8,536" to="61,536" stroked="t" strokecolor="#aeabab" strokeweight="0.75pt">
              <v:stroke dashstyle="solid"/>
            </v:line>
            <v:line id="_x0000_s1312" style="position:absolute" from="8,8" to="61,8" stroked="t" strokecolor="#aeabab" strokeweight="0.75pt">
              <v:stroke dashstyle="solid"/>
            </v:line>
            <v:line id="_x0000_s1313" style="position:absolute" from="8,2660" to="4120,2660" stroked="t" strokecolor="#d9d9d9" strokeweight="0.75pt">
              <v:stroke dashstyle="solid"/>
            </v:line>
            <v:shape id="_x0000_s1314" style="width:3739;height:1252;left:194;position:absolute;top:590" coordorigin="194,591" coordsize="3739,1252" path="m194,591l566,728,941,805,1315,886,1690,1059,2064,1227,2438,1385,2813,1515,3187,1640,3562,1726,3933,1843e" filled="f" stroked="t" strokecolor="#b34745" strokeweight="2.25pt">
              <v:stroke dashstyle="solid"/>
              <v:path arrowok="t"/>
            </v:shape>
            <v:shape id="_x0000_s1315" type="#_x0000_t202" style="width:343;height:202;left:36;position:absolute;top:251" filled="f" stroked="f">
              <v:textbox inset="0,0,0,0">
                <w:txbxContent>
                  <w:p>
                    <w:pPr>
                      <w:spacing w:before="0" w:line="201" w:lineRule="exact"/>
                      <w:ind w:left="0" w:right="0" w:firstLine="0"/>
                      <w:jc w:val="left"/>
                      <w:rPr>
                        <w:rFonts w:ascii="Times New Roman"/>
                        <w:sz w:val="18"/>
                      </w:rPr>
                    </w:pPr>
                    <w:r>
                      <w:rPr>
                        <w:rFonts w:ascii="Times New Roman"/>
                        <w:sz w:val="18"/>
                      </w:rPr>
                      <w:t>3.45</w:t>
                    </w:r>
                  </w:p>
                </w:txbxContent>
              </v:textbox>
            </v:shape>
            <v:shape id="_x0000_s1316" type="#_x0000_t202" style="width:1090;height:362;left:411;position:absolute;top:388" filled="f" stroked="f">
              <v:textbox inset="0,0,0,0">
                <w:txbxContent>
                  <w:p>
                    <w:pPr>
                      <w:spacing w:before="0" w:line="230" w:lineRule="auto"/>
                      <w:ind w:left="0" w:right="0" w:firstLine="0"/>
                      <w:jc w:val="left"/>
                      <w:rPr>
                        <w:rFonts w:ascii="Times New Roman"/>
                        <w:sz w:val="18"/>
                      </w:rPr>
                    </w:pPr>
                    <w:r>
                      <w:rPr>
                        <w:rFonts w:ascii="Times New Roman"/>
                        <w:sz w:val="18"/>
                      </w:rPr>
                      <w:t xml:space="preserve">3.32 </w:t>
                    </w:r>
                    <w:r>
                      <w:rPr>
                        <w:rFonts w:ascii="Times New Roman"/>
                        <w:position w:val="-6"/>
                        <w:sz w:val="18"/>
                      </w:rPr>
                      <w:t xml:space="preserve">3.25 </w:t>
                    </w:r>
                    <w:r>
                      <w:rPr>
                        <w:rFonts w:ascii="Times New Roman"/>
                        <w:position w:val="-15"/>
                        <w:sz w:val="18"/>
                      </w:rPr>
                      <w:t>3.17</w:t>
                    </w:r>
                  </w:p>
                </w:txbxContent>
              </v:textbox>
            </v:shape>
            <v:shape id="_x0000_s1317" type="#_x0000_t202" style="width:342;height:202;left:1533;position:absolute;top:718" filled="f" stroked="f">
              <v:textbox inset="0,0,0,0">
                <w:txbxContent>
                  <w:p>
                    <w:pPr>
                      <w:spacing w:before="0" w:line="201" w:lineRule="exact"/>
                      <w:ind w:left="0" w:right="0" w:firstLine="0"/>
                      <w:jc w:val="left"/>
                      <w:rPr>
                        <w:rFonts w:ascii="Times New Roman"/>
                        <w:sz w:val="18"/>
                      </w:rPr>
                    </w:pPr>
                    <w:r>
                      <w:rPr>
                        <w:rFonts w:ascii="Times New Roman"/>
                        <w:sz w:val="18"/>
                      </w:rPr>
                      <w:t>3.01</w:t>
                    </w:r>
                  </w:p>
                </w:txbxContent>
              </v:textbox>
            </v:shape>
            <v:shape id="_x0000_s1318" type="#_x0000_t202" style="width:342;height:202;left:1907;position:absolute;top:887" filled="f" stroked="f">
              <v:textbox inset="0,0,0,0">
                <w:txbxContent>
                  <w:p>
                    <w:pPr>
                      <w:spacing w:before="0" w:line="201" w:lineRule="exact"/>
                      <w:ind w:left="0" w:right="0" w:firstLine="0"/>
                      <w:jc w:val="left"/>
                      <w:rPr>
                        <w:rFonts w:ascii="Times New Roman"/>
                        <w:sz w:val="18"/>
                      </w:rPr>
                    </w:pPr>
                    <w:r>
                      <w:rPr>
                        <w:rFonts w:ascii="Times New Roman"/>
                        <w:sz w:val="18"/>
                      </w:rPr>
                      <w:t>2.85</w:t>
                    </w:r>
                  </w:p>
                </w:txbxContent>
              </v:textbox>
            </v:shape>
            <v:shape id="_x0000_s1319" type="#_x0000_t202" style="width:716;height:330;left:2281;position:absolute;top:1047" filled="f" stroked="f">
              <v:textbox inset="0,0,0,0">
                <w:txbxContent>
                  <w:p>
                    <w:pPr>
                      <w:spacing w:before="0" w:line="230" w:lineRule="auto"/>
                      <w:ind w:left="0" w:right="0" w:firstLine="0"/>
                      <w:jc w:val="left"/>
                      <w:rPr>
                        <w:rFonts w:ascii="Times New Roman"/>
                        <w:sz w:val="18"/>
                      </w:rPr>
                    </w:pPr>
                    <w:r>
                      <w:rPr>
                        <w:rFonts w:ascii="Times New Roman"/>
                        <w:sz w:val="18"/>
                      </w:rPr>
                      <w:t xml:space="preserve">2.70 </w:t>
                    </w:r>
                    <w:r>
                      <w:rPr>
                        <w:rFonts w:ascii="Times New Roman"/>
                        <w:position w:val="-12"/>
                        <w:sz w:val="18"/>
                      </w:rPr>
                      <w:t>2.58</w:t>
                    </w:r>
                  </w:p>
                </w:txbxContent>
              </v:textbox>
            </v:shape>
            <v:shape id="_x0000_s1320" type="#_x0000_t202" style="width:716;height:287;left:3029;position:absolute;top:1301" filled="f" stroked="f">
              <v:textbox inset="0,0,0,0">
                <w:txbxContent>
                  <w:p>
                    <w:pPr>
                      <w:spacing w:before="0" w:line="230" w:lineRule="auto"/>
                      <w:ind w:left="0" w:right="0" w:firstLine="0"/>
                      <w:jc w:val="left"/>
                      <w:rPr>
                        <w:rFonts w:ascii="Times New Roman"/>
                        <w:sz w:val="18"/>
                      </w:rPr>
                    </w:pPr>
                    <w:r>
                      <w:rPr>
                        <w:rFonts w:ascii="Times New Roman"/>
                        <w:sz w:val="18"/>
                      </w:rPr>
                      <w:t xml:space="preserve">2.46 </w:t>
                    </w:r>
                    <w:r>
                      <w:rPr>
                        <w:rFonts w:ascii="Times New Roman"/>
                        <w:position w:val="-7"/>
                        <w:sz w:val="18"/>
                      </w:rPr>
                      <w:t>2.38</w:t>
                    </w:r>
                  </w:p>
                </w:txbxContent>
              </v:textbox>
            </v:shape>
            <v:shape id="_x0000_s1321" type="#_x0000_t202" style="width:342;height:202;left:3777;position:absolute;top:1503" filled="f" stroked="f">
              <v:textbox inset="0,0,0,0">
                <w:txbxContent>
                  <w:p>
                    <w:pPr>
                      <w:spacing w:before="0" w:line="201" w:lineRule="exact"/>
                      <w:ind w:left="0" w:right="0" w:firstLine="0"/>
                      <w:jc w:val="left"/>
                      <w:rPr>
                        <w:rFonts w:ascii="Times New Roman"/>
                        <w:sz w:val="18"/>
                      </w:rPr>
                    </w:pPr>
                    <w:r>
                      <w:rPr>
                        <w:rFonts w:ascii="Times New Roman"/>
                        <w:sz w:val="18"/>
                      </w:rPr>
                      <w:t>2.27</w:t>
                    </w:r>
                  </w:p>
                </w:txbxContent>
              </v:textbox>
            </v:shape>
            <w10:wrap type="none"/>
          </v:group>
        </w:pict>
      </w:r>
    </w:p>
    <w:p>
      <w:pPr>
        <w:spacing w:before="62"/>
        <w:ind w:left="184" w:right="0" w:firstLine="0"/>
        <w:jc w:val="left"/>
        <w:rPr>
          <w:rFonts w:ascii="Times New Roman"/>
          <w:sz w:val="16"/>
        </w:rPr>
      </w:pPr>
      <w:r>
        <w:rPr>
          <w:rFonts w:ascii="Times New Roman"/>
          <w:sz w:val="16"/>
        </w:rPr>
        <w:t>1970 1957 1980 1985 1990 1995 2000 2005 2010 2015 2020</w:t>
      </w:r>
    </w:p>
    <w:p>
      <w:pPr>
        <w:pStyle w:val="BodyText"/>
        <w:spacing w:before="7"/>
        <w:rPr>
          <w:rFonts w:ascii="Times New Roman"/>
          <w:sz w:val="14"/>
        </w:rPr>
      </w:pPr>
    </w:p>
    <w:p>
      <w:pPr>
        <w:spacing w:before="0"/>
        <w:ind w:left="1665" w:right="0" w:firstLine="0"/>
        <w:jc w:val="left"/>
        <w:rPr>
          <w:sz w:val="18"/>
        </w:rPr>
      </w:pPr>
      <w:r>
        <w:pict>
          <v:line id="_x0000_s1322" style="mso-position-horizontal-relative:page;position:absolute;z-index:251693056" from="376.6pt,5.85pt" to="395.8pt,5.85pt" stroked="t" strokecolor="#b34745" strokeweight="2.25pt">
            <v:stroke dashstyle="solid"/>
          </v:line>
        </w:pict>
      </w:r>
      <w:r>
        <w:rPr>
          <w:sz w:val="18"/>
        </w:rPr>
        <w:t>每户人数（人）</w:t>
      </w:r>
    </w:p>
    <w:p>
      <w:pPr>
        <w:spacing w:after="0"/>
        <w:jc w:val="left"/>
        <w:rPr>
          <w:sz w:val="18"/>
        </w:rPr>
        <w:sectPr>
          <w:headerReference w:type="default" r:id="rId61"/>
          <w:footerReference w:type="default" r:id="rId62"/>
          <w:type w:val="continuous"/>
          <w:pgSz w:w="11910" w:h="16840"/>
          <w:pgMar w:top="1700" w:right="0" w:bottom="1500" w:left="440" w:header="708" w:footer="708"/>
          <w:pgNumType w:start="19"/>
          <w:cols w:num="6" w:space="708" w:equalWidth="0">
            <w:col w:w="835" w:space="40"/>
            <w:col w:w="942" w:space="39"/>
            <w:col w:w="1330" w:space="531"/>
            <w:col w:w="1161" w:space="345"/>
            <w:col w:w="592" w:space="39"/>
            <w:col w:w="5616" w:space="0"/>
          </w:cols>
        </w:sectPr>
      </w:pPr>
    </w:p>
    <w:p>
      <w:pPr>
        <w:pStyle w:val="BodyText"/>
        <w:spacing w:before="8"/>
        <w:rPr>
          <w:sz w:val="13"/>
        </w:rPr>
      </w:pPr>
    </w:p>
    <w:p>
      <w:pPr>
        <w:tabs>
          <w:tab w:val="left" w:pos="5346"/>
        </w:tabs>
        <w:spacing w:line="20" w:lineRule="exact"/>
        <w:ind w:left="121" w:right="0" w:firstLine="0"/>
        <w:rPr>
          <w:sz w:val="2"/>
        </w:rPr>
      </w:pPr>
      <w:r>
        <w:rPr>
          <w:sz w:val="2"/>
        </w:rPr>
        <w:pict>
          <v:group id="_x0000_i1323" style="width:249.5pt;height:0.5pt;mso-position-horizontal-relative:char;mso-position-vertical-relative:line" coordorigin="0,0" coordsize="4990,10">
            <v:line id="_x0000_s1324" style="position:absolute" from="0,5" to="4990,5" stroked="t" strokecolor="#9c4a45" strokeweight="0.48pt">
              <v:stroke dashstyle="solid"/>
            </v:line>
            <w10:wrap type="none"/>
          </v:group>
        </w:pict>
      </w:r>
      <w:r>
        <w:rPr>
          <w:sz w:val="2"/>
        </w:rPr>
        <w:tab/>
      </w:r>
      <w:r>
        <w:rPr>
          <w:sz w:val="2"/>
        </w:rPr>
        <w:pict>
          <v:group id="_x0000_i1325" style="width:249.5pt;height:0.5pt;mso-position-horizontal-relative:char;mso-position-vertical-relative:line" coordorigin="0,0" coordsize="4990,10">
            <v:line id="_x0000_s1326" style="position:absolute" from="0,5" to="4989,5" stroked="t" strokecolor="#9c4a45" strokeweight="0.48pt">
              <v:stroke dashstyle="solid"/>
            </v:line>
            <w10:wrap type="none"/>
          </v:group>
        </w:pict>
      </w:r>
    </w:p>
    <w:p>
      <w:pPr>
        <w:tabs>
          <w:tab w:val="left" w:pos="5351"/>
        </w:tabs>
        <w:spacing w:before="65"/>
        <w:ind w:left="126" w:right="0" w:firstLine="0"/>
        <w:jc w:val="left"/>
        <w:rPr>
          <w:sz w:val="15"/>
        </w:rPr>
      </w:pPr>
      <w:r>
        <w:t xml:space="preserve">数据来源：日本农林水产省， </w:t>
        <w:tab/>
        <w:t xml:space="preserve">数据来源：日本总务省统计局， </w:t>
      </w:r>
    </w:p>
    <w:p>
      <w:pPr>
        <w:pStyle w:val="BodyText"/>
        <w:spacing w:before="2"/>
        <w:rPr>
          <w:sz w:val="12"/>
        </w:rPr>
      </w:pPr>
    </w:p>
    <w:p>
      <w:pPr>
        <w:spacing w:before="72" w:line="328" w:lineRule="auto"/>
        <w:ind w:left="2964" w:right="1122" w:firstLine="0"/>
        <w:jc w:val="both"/>
        <w:rPr>
          <w:sz w:val="21"/>
        </w:rPr>
      </w:pPr>
      <w:r>
        <w:rPr>
          <w:b/>
          <w:spacing w:val="-5"/>
          <w:sz w:val="21"/>
        </w:rPr>
        <w:t>观察日本市场，我们发现基础调味品向定制复合调味品横向扩张是日本调味品企</w:t>
      </w:r>
      <w:r>
        <w:rPr>
          <w:b/>
          <w:sz w:val="21"/>
        </w:rPr>
        <w:t>业发展的主要趋势。</w:t>
      </w:r>
      <w:r>
        <w:rPr>
          <w:spacing w:val="-6"/>
          <w:sz w:val="21"/>
        </w:rPr>
        <w:t>龟甲万作为日本酱油市场绝对龙头企业，在日本酱油需求量</w:t>
      </w:r>
      <w:r>
        <w:rPr>
          <w:spacing w:val="-4"/>
          <w:sz w:val="21"/>
        </w:rPr>
        <w:t>开始回落的时候，开始发力复合调味品市场。</w:t>
      </w:r>
      <w:r>
        <w:rPr>
          <w:rFonts w:ascii="Times New Roman" w:eastAsia="Times New Roman"/>
          <w:sz w:val="21"/>
        </w:rPr>
        <w:t xml:space="preserve">20 </w:t>
      </w:r>
      <w:r>
        <w:rPr>
          <w:spacing w:val="-7"/>
          <w:sz w:val="21"/>
        </w:rPr>
        <w:t xml:space="preserve">世纪 </w:t>
      </w:r>
      <w:r>
        <w:rPr>
          <w:rFonts w:ascii="Times New Roman" w:eastAsia="Times New Roman"/>
          <w:sz w:val="21"/>
        </w:rPr>
        <w:t xml:space="preserve">70 </w:t>
      </w:r>
      <w:r>
        <w:rPr>
          <w:spacing w:val="-4"/>
          <w:sz w:val="21"/>
        </w:rPr>
        <w:t>年代，日本人均酱油购</w:t>
      </w:r>
      <w:r>
        <w:rPr>
          <w:spacing w:val="-1"/>
          <w:sz w:val="21"/>
        </w:rPr>
        <w:t xml:space="preserve">买量开始持续下降， </w:t>
      </w:r>
      <w:r>
        <w:rPr>
          <w:rFonts w:ascii="Times New Roman" w:eastAsia="Times New Roman"/>
          <w:sz w:val="21"/>
        </w:rPr>
        <w:t xml:space="preserve">1972 </w:t>
      </w:r>
      <w:r>
        <w:rPr>
          <w:spacing w:val="-8"/>
          <w:sz w:val="21"/>
        </w:rPr>
        <w:t xml:space="preserve">年人均酱油购买量为 </w:t>
      </w:r>
      <w:r>
        <w:rPr>
          <w:rFonts w:ascii="Times New Roman" w:eastAsia="Times New Roman"/>
          <w:sz w:val="21"/>
        </w:rPr>
        <w:t xml:space="preserve">5.649 </w:t>
      </w:r>
      <w:r>
        <w:rPr>
          <w:spacing w:val="-11"/>
          <w:sz w:val="21"/>
        </w:rPr>
        <w:t xml:space="preserve">升，截至 </w:t>
      </w:r>
      <w:r>
        <w:rPr>
          <w:rFonts w:ascii="Times New Roman" w:eastAsia="Times New Roman"/>
          <w:sz w:val="21"/>
        </w:rPr>
        <w:t xml:space="preserve">21 </w:t>
      </w:r>
      <w:r>
        <w:rPr>
          <w:spacing w:val="-5"/>
          <w:sz w:val="21"/>
        </w:rPr>
        <w:t>世纪初，该数</w:t>
      </w:r>
    </w:p>
    <w:p>
      <w:pPr>
        <w:pStyle w:val="BodyText"/>
        <w:spacing w:line="328" w:lineRule="auto"/>
        <w:ind w:left="2964" w:right="1122"/>
        <w:jc w:val="both"/>
      </w:pPr>
      <w:r>
        <w:rPr>
          <w:spacing w:val="-8"/>
        </w:rPr>
        <w:t xml:space="preserve">值已降至 </w:t>
      </w:r>
      <w:r>
        <w:rPr>
          <w:rFonts w:ascii="Times New Roman" w:eastAsia="Times New Roman"/>
        </w:rPr>
        <w:t xml:space="preserve">2.826 </w:t>
      </w:r>
      <w:r>
        <w:rPr>
          <w:spacing w:val="-7"/>
        </w:rPr>
        <w:t xml:space="preserve">升。而龟甲万顺势而为，于 </w:t>
      </w:r>
      <w:r>
        <w:rPr>
          <w:rFonts w:ascii="Times New Roman" w:eastAsia="Times New Roman"/>
        </w:rPr>
        <w:t xml:space="preserve">20 </w:t>
      </w:r>
      <w:r>
        <w:rPr>
          <w:spacing w:val="-12"/>
        </w:rPr>
        <w:t xml:space="preserve">世纪 </w:t>
      </w:r>
      <w:r>
        <w:rPr>
          <w:rFonts w:ascii="Times New Roman" w:eastAsia="Times New Roman"/>
        </w:rPr>
        <w:t xml:space="preserve">60 </w:t>
      </w:r>
      <w:r>
        <w:rPr>
          <w:spacing w:val="-3"/>
        </w:rPr>
        <w:t>年代开始陆续推出照烧腌</w:t>
      </w:r>
      <w:r>
        <w:rPr>
          <w:spacing w:val="-5"/>
        </w:rPr>
        <w:t>料、番茄酱、味增、烤肉酱等产品，拓展产品种类，布局复合调味品。目前，龟甲万已从酱油生产龙头成长为海内外综合食品集团。另一头部企业味之素最早以</w:t>
      </w:r>
      <w:r>
        <w:rPr>
          <w:spacing w:val="-6"/>
        </w:rPr>
        <w:t>味精起家，逐渐完成向复合调味品的转型。</w:t>
      </w:r>
      <w:r>
        <w:rPr>
          <w:rFonts w:ascii="Times New Roman" w:eastAsia="Times New Roman"/>
        </w:rPr>
        <w:t xml:space="preserve">1978 </w:t>
      </w:r>
      <w:r>
        <w:rPr>
          <w:spacing w:val="-6"/>
        </w:rPr>
        <w:t>年，味之素捕捉到家庭消费者在</w:t>
      </w:r>
      <w:r>
        <w:rPr>
          <w:spacing w:val="-7"/>
        </w:rPr>
        <w:t xml:space="preserve">家做中餐所面临的配料和调味困难，推出 </w:t>
      </w:r>
      <w:r>
        <w:rPr>
          <w:rFonts w:ascii="Times New Roman" w:eastAsia="Times New Roman"/>
        </w:rPr>
        <w:t xml:space="preserve">Cook Do </w:t>
      </w:r>
      <w:r>
        <w:rPr>
          <w:spacing w:val="-2"/>
        </w:rPr>
        <w:t>调味品恰好解决了痛点。</w:t>
      </w:r>
    </w:p>
    <w:p>
      <w:pPr>
        <w:spacing w:after="0" w:line="328" w:lineRule="auto"/>
        <w:jc w:val="both"/>
        <w:sectPr>
          <w:headerReference w:type="default" r:id="rId63"/>
          <w:footerReference w:type="default" r:id="rId64"/>
          <w:type w:val="continuous"/>
          <w:pgSz w:w="11910" w:h="16840"/>
          <w:pgMar w:top="1700" w:right="0" w:bottom="1500" w:left="440" w:header="708" w:footer="708"/>
          <w:pgNumType w:start="20"/>
          <w:cols w:space="708"/>
        </w:sectPr>
      </w:pPr>
    </w:p>
    <w:p>
      <w:pPr>
        <w:pStyle w:val="BodyText"/>
        <w:tabs>
          <w:tab w:val="left" w:pos="5115"/>
          <w:tab w:val="left" w:pos="5351"/>
          <w:tab w:val="left" w:pos="10335"/>
        </w:tabs>
        <w:spacing w:before="161"/>
        <w:ind w:left="126"/>
      </w:pPr>
      <w:r>
        <w:rPr>
          <w:color w:val="FFFFFF"/>
          <w:shd w:val="clear" w:color="auto" w:fill="9C4A45"/>
        </w:rPr>
        <w:t>图</w:t>
      </w:r>
      <w:r>
        <w:rPr>
          <w:rFonts w:ascii="Times New Roman" w:eastAsia="Times New Roman"/>
          <w:color w:val="FFFFFF"/>
          <w:shd w:val="clear" w:color="auto" w:fill="9C4A45"/>
        </w:rPr>
        <w:t>14.</w:t>
      </w:r>
      <w:r>
        <w:rPr>
          <w:color w:val="FFFFFF"/>
          <w:shd w:val="clear" w:color="auto" w:fill="9C4A45"/>
        </w:rPr>
        <w:t>日本人均</w:t>
      </w:r>
      <w:r>
        <w:rPr>
          <w:color w:val="FFFFFF"/>
          <w:spacing w:val="-5"/>
          <w:shd w:val="clear" w:color="auto" w:fill="9C4A45"/>
        </w:rPr>
        <w:t>酱</w:t>
      </w:r>
      <w:r>
        <w:rPr>
          <w:color w:val="FFFFFF"/>
          <w:shd w:val="clear" w:color="auto" w:fill="9C4A45"/>
        </w:rPr>
        <w:t>油消费</w:t>
      </w:r>
      <w:r>
        <w:rPr>
          <w:color w:val="FFFFFF"/>
          <w:spacing w:val="-5"/>
          <w:shd w:val="clear" w:color="auto" w:fill="9C4A45"/>
        </w:rPr>
        <w:t>量</w:t>
      </w:r>
      <w:r>
        <w:rPr>
          <w:color w:val="FFFFFF"/>
          <w:shd w:val="clear" w:color="auto" w:fill="9C4A45"/>
        </w:rPr>
        <w:t>持续下降</w:t>
        <w:tab/>
      </w:r>
      <w:r>
        <w:rPr>
          <w:color w:val="FFFFFF"/>
        </w:rPr>
        <w:tab/>
      </w:r>
      <w:r>
        <w:rPr>
          <w:color w:val="FFFFFF"/>
          <w:spacing w:val="-1"/>
          <w:shd w:val="clear" w:color="auto" w:fill="9C4A45"/>
        </w:rPr>
        <w:t>图</w:t>
      </w:r>
      <w:r>
        <w:rPr>
          <w:rFonts w:ascii="Times New Roman" w:eastAsia="Times New Roman"/>
          <w:color w:val="FFFFFF"/>
          <w:spacing w:val="-1"/>
          <w:shd w:val="clear" w:color="auto" w:fill="9C4A45"/>
        </w:rPr>
        <w:t>15.</w:t>
      </w:r>
      <w:r>
        <w:rPr>
          <w:color w:val="FFFFFF"/>
          <w:spacing w:val="-1"/>
          <w:shd w:val="clear" w:color="auto" w:fill="9C4A45"/>
        </w:rPr>
        <w:t>龟</w:t>
      </w:r>
      <w:r>
        <w:rPr>
          <w:color w:val="FFFFFF"/>
          <w:shd w:val="clear" w:color="auto" w:fill="9C4A45"/>
        </w:rPr>
        <w:t>甲万发</w:t>
      </w:r>
      <w:r>
        <w:rPr>
          <w:color w:val="FFFFFF"/>
          <w:spacing w:val="-5"/>
          <w:shd w:val="clear" w:color="auto" w:fill="9C4A45"/>
        </w:rPr>
        <w:t>力</w:t>
      </w:r>
      <w:r>
        <w:rPr>
          <w:color w:val="FFFFFF"/>
          <w:shd w:val="clear" w:color="auto" w:fill="9C4A45"/>
        </w:rPr>
        <w:t>复合调</w:t>
      </w:r>
      <w:r>
        <w:rPr>
          <w:color w:val="FFFFFF"/>
          <w:spacing w:val="-5"/>
          <w:shd w:val="clear" w:color="auto" w:fill="9C4A45"/>
        </w:rPr>
        <w:t>味</w:t>
      </w:r>
      <w:r>
        <w:rPr>
          <w:color w:val="FFFFFF"/>
          <w:shd w:val="clear" w:color="auto" w:fill="9C4A45"/>
        </w:rPr>
        <w:t>品市场</w:t>
        <w:tab/>
      </w:r>
    </w:p>
    <w:p>
      <w:pPr>
        <w:spacing w:before="109"/>
        <w:ind w:left="375" w:right="0" w:firstLine="0"/>
        <w:jc w:val="left"/>
        <w:rPr>
          <w:rFonts w:ascii="Times New Roman"/>
          <w:sz w:val="18"/>
        </w:rPr>
      </w:pPr>
      <w:r>
        <w:pict>
          <v:group id="_x0000_s1327" style="width:219.95pt;height:113.15pt;margin-top:10.76pt;margin-left:40.78pt;mso-position-horizontal-relative:page;position:absolute;z-index:-251622400" coordorigin="816,215" coordsize="4399,2263">
            <v:shape id="_x0000_s1328" style="width:54;height:2161;left:1103;position:absolute;top:222" coordorigin="1103,223" coordsize="54,2161" path="m1103,2383l1103,223m1103,2383l1157,2383m1103,2072l1157,2072m1103,1765l1157,1765m1103,1458l1157,1458m1103,1151l1157,1151m1103,839l1157,839m1103,531l1157,531m1103,223l1157,223e" filled="f" stroked="t" strokecolor="#aeabab" strokeweight="0.75pt">
              <v:stroke dashstyle="solid"/>
              <v:path arrowok="t"/>
            </v:shape>
            <v:line id="_x0000_s1329" style="position:absolute" from="1103,2383" to="5214,2383" stroked="t" strokecolor="#d9d9d9" strokeweight="0.75pt">
              <v:stroke dashstyle="solid"/>
            </v:line>
            <v:shape id="_x0000_s1330" style="width:4029;height:1343;left:1144;position:absolute;top:613" coordorigin="1144,613" coordsize="4029,1343" path="m1144,699l1229,613,1310,800,1392,901,1474,872,1555,887,1637,959,1718,997,1800,1050,1886,1117,1968,1136,2050,1184,2131,1160,2213,1247,2294,1237,2376,1295,2458,1347,2544,1395,2626,1419,2707,1419,2789,1381,2870,1415,2952,1477,3034,1463,3115,1448,3202,1472,3283,1539,3365,1549,3446,1573,3528,1583,3610,1602,3691,1631,3773,1611,3859,1650,3941,1650,4022,1664,4104,1693,4186,1741,4267,1751,4349,1755,4435,1784,4517,1847,4598,1832,4680,1856,4762,1866,4843,1899,4925,1928,5006,1956,5093,1938,5173,1923e" filled="f" stroked="t" strokecolor="#b34745" strokeweight="2.25pt">
              <v:stroke dashstyle="solid"/>
              <v:path arrowok="t"/>
            </v:shape>
            <v:line id="_x0000_s1331" style="position:absolute" from="1144,858" to="5173,2030" stroked="t" strokecolor="#ec7c30" strokeweight="1.5pt">
              <v:stroke dashstyle="dot"/>
            </v:line>
            <v:shape id="_x0000_s1332" type="#_x0000_t202" style="width:554;height:2118;left:815;position:absolute;top:360" filled="f" stroked="f">
              <v:textbox inset="0,0,0,0">
                <w:txbxContent>
                  <w:p>
                    <w:pPr>
                      <w:spacing w:before="0" w:line="230" w:lineRule="auto"/>
                      <w:ind w:left="0" w:right="0" w:firstLine="0"/>
                      <w:jc w:val="left"/>
                      <w:rPr>
                        <w:rFonts w:ascii="Times New Roman"/>
                        <w:sz w:val="18"/>
                      </w:rPr>
                    </w:pPr>
                    <w:r>
                      <w:rPr>
                        <w:rFonts w:ascii="Times New Roman"/>
                        <w:position w:val="-5"/>
                        <w:sz w:val="18"/>
                      </w:rPr>
                      <w:t xml:space="preserve">6 </w:t>
                    </w:r>
                    <w:r>
                      <w:rPr>
                        <w:rFonts w:ascii="Times New Roman"/>
                        <w:sz w:val="18"/>
                      </w:rPr>
                      <w:t>5.649</w:t>
                    </w:r>
                  </w:p>
                  <w:p>
                    <w:pPr>
                      <w:spacing w:before="105"/>
                      <w:ind w:left="0" w:right="0" w:firstLine="0"/>
                      <w:jc w:val="left"/>
                      <w:rPr>
                        <w:rFonts w:ascii="Times New Roman"/>
                        <w:sz w:val="18"/>
                      </w:rPr>
                    </w:pPr>
                    <w:r>
                      <w:rPr>
                        <w:rFonts w:ascii="Times New Roman"/>
                        <w:w w:val="101"/>
                        <w:sz w:val="18"/>
                      </w:rPr>
                      <w:t>5</w:t>
                    </w:r>
                  </w:p>
                  <w:p>
                    <w:pPr>
                      <w:spacing w:before="102"/>
                      <w:ind w:left="0" w:right="0" w:firstLine="0"/>
                      <w:jc w:val="left"/>
                      <w:rPr>
                        <w:rFonts w:ascii="Times New Roman"/>
                        <w:sz w:val="18"/>
                      </w:rPr>
                    </w:pPr>
                    <w:r>
                      <w:rPr>
                        <w:rFonts w:ascii="Times New Roman"/>
                        <w:w w:val="101"/>
                        <w:sz w:val="18"/>
                      </w:rPr>
                      <w:t>4</w:t>
                    </w:r>
                  </w:p>
                  <w:p>
                    <w:pPr>
                      <w:spacing w:before="101"/>
                      <w:ind w:left="0" w:right="0" w:firstLine="0"/>
                      <w:jc w:val="left"/>
                      <w:rPr>
                        <w:rFonts w:ascii="Times New Roman"/>
                        <w:sz w:val="18"/>
                      </w:rPr>
                    </w:pPr>
                    <w:r>
                      <w:rPr>
                        <w:rFonts w:ascii="Times New Roman"/>
                        <w:w w:val="101"/>
                        <w:sz w:val="18"/>
                      </w:rPr>
                      <w:t>3</w:t>
                    </w:r>
                  </w:p>
                  <w:p>
                    <w:pPr>
                      <w:spacing w:before="102"/>
                      <w:ind w:left="0" w:right="0" w:firstLine="0"/>
                      <w:jc w:val="left"/>
                      <w:rPr>
                        <w:rFonts w:ascii="Times New Roman"/>
                        <w:sz w:val="18"/>
                      </w:rPr>
                    </w:pPr>
                    <w:r>
                      <w:rPr>
                        <w:rFonts w:ascii="Times New Roman"/>
                        <w:w w:val="101"/>
                        <w:sz w:val="18"/>
                      </w:rPr>
                      <w:t>2</w:t>
                    </w:r>
                  </w:p>
                  <w:p>
                    <w:pPr>
                      <w:spacing w:before="102"/>
                      <w:ind w:left="0" w:right="0" w:firstLine="0"/>
                      <w:jc w:val="left"/>
                      <w:rPr>
                        <w:rFonts w:ascii="Times New Roman"/>
                        <w:sz w:val="18"/>
                      </w:rPr>
                    </w:pPr>
                    <w:r>
                      <w:rPr>
                        <w:rFonts w:ascii="Times New Roman"/>
                        <w:w w:val="101"/>
                        <w:sz w:val="18"/>
                      </w:rPr>
                      <w:t>1</w:t>
                    </w:r>
                  </w:p>
                  <w:p>
                    <w:pPr>
                      <w:spacing w:before="102"/>
                      <w:ind w:left="0" w:right="0" w:firstLine="0"/>
                      <w:jc w:val="left"/>
                      <w:rPr>
                        <w:rFonts w:ascii="Times New Roman"/>
                        <w:sz w:val="18"/>
                      </w:rPr>
                    </w:pPr>
                    <w:r>
                      <w:rPr>
                        <w:rFonts w:ascii="Times New Roman"/>
                        <w:w w:val="101"/>
                        <w:sz w:val="18"/>
                      </w:rPr>
                      <w:t>0</w:t>
                    </w:r>
                  </w:p>
                </w:txbxContent>
              </v:textbox>
            </v:shape>
            <v:shape id="_x0000_s1333" type="#_x0000_t202" style="width:434;height:203;left:3239;position:absolute;top:1231" filled="f" stroked="f">
              <v:textbox inset="0,0,0,0">
                <w:txbxContent>
                  <w:p>
                    <w:pPr>
                      <w:spacing w:before="0" w:line="202" w:lineRule="exact"/>
                      <w:ind w:left="0" w:right="0" w:firstLine="0"/>
                      <w:jc w:val="left"/>
                      <w:rPr>
                        <w:rFonts w:ascii="Times New Roman"/>
                        <w:sz w:val="18"/>
                      </w:rPr>
                    </w:pPr>
                    <w:r>
                      <w:rPr>
                        <w:rFonts w:ascii="Times New Roman"/>
                        <w:sz w:val="18"/>
                      </w:rPr>
                      <w:t>2.826</w:t>
                    </w:r>
                  </w:p>
                </w:txbxContent>
              </v:textbox>
            </v:shape>
          </v:group>
        </w:pict>
      </w:r>
      <w:r>
        <w:drawing>
          <wp:anchor distT="0" distB="0" distL="0" distR="0" simplePos="0" relativeHeight="251704320" behindDoc="0" locked="0" layoutInCell="1" allowOverlap="1">
            <wp:simplePos x="0" y="0"/>
            <wp:positionH relativeFrom="page">
              <wp:posOffset>3743959</wp:posOffset>
            </wp:positionH>
            <wp:positionV relativeFrom="paragraph">
              <wp:posOffset>62260</wp:posOffset>
            </wp:positionV>
            <wp:extent cx="3028315" cy="2015490"/>
            <wp:effectExtent l="0" t="0" r="0" b="0"/>
            <wp:wrapNone/>
            <wp:docPr id="15"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2.jpeg"/>
                    <pic:cNvPicPr/>
                  </pic:nvPicPr>
                  <pic:blipFill>
                    <a:blip xmlns:r="http://schemas.openxmlformats.org/officeDocument/2006/relationships" r:embed="rId65" cstate="print"/>
                    <a:stretch>
                      <a:fillRect/>
                    </a:stretch>
                  </pic:blipFill>
                  <pic:spPr>
                    <a:xfrm>
                      <a:off x="0" y="0"/>
                      <a:ext cx="3028315" cy="2015490"/>
                    </a:xfrm>
                    <a:prstGeom prst="rect">
                      <a:avLst/>
                    </a:prstGeom>
                  </pic:spPr>
                </pic:pic>
              </a:graphicData>
            </a:graphic>
          </wp:anchor>
        </w:drawing>
      </w:r>
      <w:r>
        <w:rPr>
          <w:rFonts w:ascii="Times New Roman"/>
          <w:w w:val="101"/>
          <w:sz w:val="18"/>
        </w:rPr>
        <w:t>7</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tabs>
          <w:tab w:val="left" w:pos="3041"/>
        </w:tabs>
        <w:spacing w:before="177"/>
        <w:ind w:left="1149" w:right="0" w:firstLine="0"/>
        <w:jc w:val="left"/>
        <w:rPr>
          <w:rFonts w:ascii="Times New Roman" w:eastAsia="Times New Roman"/>
          <w:sz w:val="14"/>
        </w:rPr>
      </w:pPr>
      <w:r>
        <w:pict>
          <v:line id="_x0000_s1334" style="mso-position-horizontal-relative:page;position:absolute;z-index:251703296" from="51.45pt,13.55pt" to="76.65pt,13.55pt" stroked="t" strokecolor="#b34745" strokeweight="2.25pt">
            <v:stroke dashstyle="solid"/>
          </v:line>
        </w:pict>
      </w:r>
      <w:r>
        <w:pict>
          <v:shape id="_x0000_s1335" type="#_x0000_t202" style="width:209.55pt;height:20.05pt;margin-top:-18.74pt;margin-left:51.04pt;mso-position-horizontal-relative:page;position:absolute;z-index:251706368" filled="f" stroked="f">
            <v:textbox style="layout-flow:vertical;mso-layout-flow-alt:bottom-to-top" inset="0,0,0,0">
              <w:txbxContent>
                <w:p>
                  <w:pPr>
                    <w:spacing w:before="14"/>
                    <w:ind w:left="20" w:right="0" w:firstLine="0"/>
                    <w:jc w:val="left"/>
                    <w:rPr>
                      <w:rFonts w:ascii="Times New Roman"/>
                      <w:sz w:val="18"/>
                    </w:rPr>
                  </w:pPr>
                  <w:r>
                    <w:rPr>
                      <w:rFonts w:ascii="Times New Roman"/>
                      <w:sz w:val="18"/>
                    </w:rPr>
                    <w:t>1972</w:t>
                  </w:r>
                </w:p>
                <w:p>
                  <w:pPr>
                    <w:spacing w:before="40"/>
                    <w:ind w:left="20" w:right="0" w:firstLine="0"/>
                    <w:jc w:val="left"/>
                    <w:rPr>
                      <w:rFonts w:ascii="Times New Roman"/>
                      <w:sz w:val="18"/>
                    </w:rPr>
                  </w:pPr>
                  <w:r>
                    <w:rPr>
                      <w:rFonts w:ascii="Times New Roman"/>
                      <w:sz w:val="18"/>
                    </w:rPr>
                    <w:t>1975</w:t>
                  </w:r>
                </w:p>
                <w:p>
                  <w:pPr>
                    <w:spacing w:before="40"/>
                    <w:ind w:left="20" w:right="0" w:firstLine="0"/>
                    <w:jc w:val="left"/>
                    <w:rPr>
                      <w:rFonts w:ascii="Times New Roman"/>
                      <w:sz w:val="18"/>
                    </w:rPr>
                  </w:pPr>
                  <w:r>
                    <w:rPr>
                      <w:rFonts w:ascii="Times New Roman"/>
                      <w:sz w:val="18"/>
                    </w:rPr>
                    <w:t>1978</w:t>
                  </w:r>
                </w:p>
                <w:p>
                  <w:pPr>
                    <w:spacing w:before="39"/>
                    <w:ind w:left="20" w:right="0" w:firstLine="0"/>
                    <w:jc w:val="left"/>
                    <w:rPr>
                      <w:rFonts w:ascii="Times New Roman"/>
                      <w:sz w:val="18"/>
                    </w:rPr>
                  </w:pPr>
                  <w:r>
                    <w:rPr>
                      <w:rFonts w:ascii="Times New Roman"/>
                      <w:sz w:val="18"/>
                    </w:rPr>
                    <w:t>1981</w:t>
                  </w:r>
                </w:p>
                <w:p>
                  <w:pPr>
                    <w:spacing w:before="40"/>
                    <w:ind w:left="20" w:right="0" w:firstLine="0"/>
                    <w:jc w:val="left"/>
                    <w:rPr>
                      <w:rFonts w:ascii="Times New Roman"/>
                      <w:sz w:val="18"/>
                    </w:rPr>
                  </w:pPr>
                  <w:r>
                    <w:rPr>
                      <w:rFonts w:ascii="Times New Roman"/>
                      <w:sz w:val="18"/>
                    </w:rPr>
                    <w:t>1984</w:t>
                  </w:r>
                </w:p>
                <w:p>
                  <w:pPr>
                    <w:spacing w:before="40"/>
                    <w:ind w:left="20" w:right="0" w:firstLine="0"/>
                    <w:jc w:val="left"/>
                    <w:rPr>
                      <w:rFonts w:ascii="Times New Roman"/>
                      <w:sz w:val="18"/>
                    </w:rPr>
                  </w:pPr>
                  <w:r>
                    <w:rPr>
                      <w:rFonts w:ascii="Times New Roman"/>
                      <w:sz w:val="18"/>
                    </w:rPr>
                    <w:t>1987</w:t>
                  </w:r>
                </w:p>
                <w:p>
                  <w:pPr>
                    <w:spacing w:before="40"/>
                    <w:ind w:left="20" w:right="0" w:firstLine="0"/>
                    <w:jc w:val="left"/>
                    <w:rPr>
                      <w:rFonts w:ascii="Times New Roman"/>
                      <w:sz w:val="18"/>
                    </w:rPr>
                  </w:pPr>
                  <w:r>
                    <w:rPr>
                      <w:rFonts w:ascii="Times New Roman"/>
                      <w:sz w:val="18"/>
                    </w:rPr>
                    <w:t>1990</w:t>
                  </w:r>
                </w:p>
                <w:p>
                  <w:pPr>
                    <w:spacing w:before="40"/>
                    <w:ind w:left="20" w:right="0" w:firstLine="0"/>
                    <w:jc w:val="left"/>
                    <w:rPr>
                      <w:rFonts w:ascii="Times New Roman"/>
                      <w:sz w:val="18"/>
                    </w:rPr>
                  </w:pPr>
                  <w:r>
                    <w:rPr>
                      <w:rFonts w:ascii="Times New Roman"/>
                      <w:sz w:val="18"/>
                    </w:rPr>
                    <w:t>1993</w:t>
                  </w:r>
                </w:p>
                <w:p>
                  <w:pPr>
                    <w:spacing w:before="40"/>
                    <w:ind w:left="20" w:right="0" w:firstLine="0"/>
                    <w:jc w:val="left"/>
                    <w:rPr>
                      <w:rFonts w:ascii="Times New Roman"/>
                      <w:sz w:val="18"/>
                    </w:rPr>
                  </w:pPr>
                  <w:r>
                    <w:rPr>
                      <w:rFonts w:ascii="Times New Roman"/>
                      <w:sz w:val="18"/>
                    </w:rPr>
                    <w:t>1996</w:t>
                  </w:r>
                </w:p>
                <w:p>
                  <w:pPr>
                    <w:spacing w:before="39"/>
                    <w:ind w:left="20" w:right="0" w:firstLine="0"/>
                    <w:jc w:val="left"/>
                    <w:rPr>
                      <w:rFonts w:ascii="Times New Roman"/>
                      <w:sz w:val="18"/>
                    </w:rPr>
                  </w:pPr>
                  <w:r>
                    <w:rPr>
                      <w:rFonts w:ascii="Times New Roman"/>
                      <w:sz w:val="18"/>
                    </w:rPr>
                    <w:t>1999</w:t>
                  </w:r>
                </w:p>
                <w:p>
                  <w:pPr>
                    <w:spacing w:before="40"/>
                    <w:ind w:left="20" w:right="0" w:firstLine="0"/>
                    <w:jc w:val="left"/>
                    <w:rPr>
                      <w:rFonts w:ascii="Times New Roman"/>
                      <w:sz w:val="18"/>
                    </w:rPr>
                  </w:pPr>
                  <w:r>
                    <w:rPr>
                      <w:rFonts w:ascii="Times New Roman"/>
                      <w:sz w:val="18"/>
                    </w:rPr>
                    <w:t>2002</w:t>
                  </w:r>
                </w:p>
                <w:p>
                  <w:pPr>
                    <w:spacing w:before="40"/>
                    <w:ind w:left="20" w:right="0" w:firstLine="0"/>
                    <w:jc w:val="left"/>
                    <w:rPr>
                      <w:rFonts w:ascii="Times New Roman"/>
                      <w:sz w:val="18"/>
                    </w:rPr>
                  </w:pPr>
                  <w:r>
                    <w:rPr>
                      <w:rFonts w:ascii="Times New Roman"/>
                      <w:sz w:val="18"/>
                    </w:rPr>
                    <w:t>2005</w:t>
                  </w:r>
                </w:p>
                <w:p>
                  <w:pPr>
                    <w:spacing w:before="39"/>
                    <w:ind w:left="20" w:right="0" w:firstLine="0"/>
                    <w:jc w:val="left"/>
                    <w:rPr>
                      <w:rFonts w:ascii="Times New Roman"/>
                      <w:sz w:val="18"/>
                    </w:rPr>
                  </w:pPr>
                  <w:r>
                    <w:rPr>
                      <w:rFonts w:ascii="Times New Roman"/>
                      <w:sz w:val="18"/>
                    </w:rPr>
                    <w:t>2008</w:t>
                  </w:r>
                </w:p>
                <w:p>
                  <w:pPr>
                    <w:spacing w:before="40"/>
                    <w:ind w:left="20" w:right="0" w:firstLine="0"/>
                    <w:jc w:val="left"/>
                    <w:rPr>
                      <w:rFonts w:ascii="Times New Roman"/>
                      <w:sz w:val="18"/>
                    </w:rPr>
                  </w:pPr>
                  <w:r>
                    <w:rPr>
                      <w:rFonts w:ascii="Times New Roman"/>
                      <w:sz w:val="18"/>
                    </w:rPr>
                    <w:t>2011</w:t>
                  </w:r>
                </w:p>
                <w:p>
                  <w:pPr>
                    <w:spacing w:before="40"/>
                    <w:ind w:left="20" w:right="0" w:firstLine="0"/>
                    <w:jc w:val="left"/>
                    <w:rPr>
                      <w:rFonts w:ascii="Times New Roman"/>
                      <w:sz w:val="18"/>
                    </w:rPr>
                  </w:pPr>
                  <w:r>
                    <w:rPr>
                      <w:rFonts w:ascii="Times New Roman"/>
                      <w:sz w:val="18"/>
                    </w:rPr>
                    <w:t>2014</w:t>
                  </w:r>
                </w:p>
                <w:p>
                  <w:pPr>
                    <w:spacing w:before="40"/>
                    <w:ind w:left="20" w:right="0" w:firstLine="0"/>
                    <w:jc w:val="left"/>
                    <w:rPr>
                      <w:rFonts w:ascii="Times New Roman"/>
                      <w:sz w:val="18"/>
                    </w:rPr>
                  </w:pPr>
                  <w:r>
                    <w:rPr>
                      <w:rFonts w:ascii="Times New Roman"/>
                      <w:sz w:val="18"/>
                    </w:rPr>
                    <w:t>2017</w:t>
                  </w:r>
                </w:p>
                <w:p>
                  <w:pPr>
                    <w:spacing w:before="40"/>
                    <w:ind w:left="20" w:right="0" w:firstLine="0"/>
                    <w:jc w:val="left"/>
                    <w:rPr>
                      <w:rFonts w:ascii="Times New Roman"/>
                      <w:sz w:val="18"/>
                    </w:rPr>
                  </w:pPr>
                  <w:r>
                    <w:rPr>
                      <w:rFonts w:ascii="Times New Roman"/>
                      <w:sz w:val="18"/>
                    </w:rPr>
                    <w:t>2020</w:t>
                  </w:r>
                </w:p>
              </w:txbxContent>
            </v:textbox>
          </v:shape>
        </w:pict>
      </w:r>
      <w:r>
        <w:rPr>
          <w:sz w:val="14"/>
        </w:rPr>
        <w:t>人</w:t>
      </w:r>
      <w:r>
        <w:rPr>
          <w:spacing w:val="4"/>
          <w:sz w:val="14"/>
        </w:rPr>
        <w:t>均</w:t>
      </w:r>
      <w:r>
        <w:rPr>
          <w:sz w:val="14"/>
        </w:rPr>
        <w:t>购入数量（</w:t>
      </w:r>
      <w:r>
        <w:rPr>
          <w:spacing w:val="4"/>
          <w:sz w:val="14"/>
        </w:rPr>
        <w:t>升</w:t>
      </w:r>
      <w:r>
        <w:rPr>
          <w:sz w:val="14"/>
        </w:rPr>
        <w:t>）</w:t>
      </w:r>
      <w:r>
        <w:rPr>
          <w:sz w:val="14"/>
          <w:u w:val="thick" w:color="EC7C30"/>
        </w:rPr>
        <w:t xml:space="preserve"> </w:t>
        <w:tab/>
      </w:r>
      <w:r>
        <w:rPr>
          <w:spacing w:val="4"/>
          <w:sz w:val="14"/>
        </w:rPr>
        <w:t>线</w:t>
      </w:r>
      <w:r>
        <w:rPr>
          <w:spacing w:val="33"/>
          <w:sz w:val="14"/>
        </w:rPr>
        <w:t>性</w:t>
      </w:r>
      <w:r>
        <w:rPr>
          <w:rFonts w:ascii="Times New Roman" w:eastAsia="Times New Roman"/>
          <w:sz w:val="14"/>
        </w:rPr>
        <w:t>(</w:t>
      </w:r>
      <w:r>
        <w:rPr>
          <w:spacing w:val="4"/>
          <w:sz w:val="14"/>
        </w:rPr>
        <w:t>人均购</w:t>
      </w:r>
      <w:r>
        <w:rPr>
          <w:sz w:val="14"/>
        </w:rPr>
        <w:t>入数量</w:t>
      </w:r>
      <w:r>
        <w:rPr>
          <w:spacing w:val="4"/>
          <w:sz w:val="14"/>
        </w:rPr>
        <w:t>（</w:t>
      </w:r>
      <w:r>
        <w:rPr>
          <w:sz w:val="14"/>
        </w:rPr>
        <w:t>升）</w:t>
      </w:r>
      <w:r>
        <w:rPr>
          <w:rFonts w:ascii="Times New Roman" w:eastAsia="Times New Roman"/>
          <w:sz w:val="14"/>
        </w:rPr>
        <w:t>)</w:t>
      </w:r>
    </w:p>
    <w:p>
      <w:pPr>
        <w:pStyle w:val="BodyText"/>
        <w:spacing w:before="6"/>
        <w:rPr>
          <w:rFonts w:ascii="Times New Roman"/>
          <w:sz w:val="11"/>
        </w:rPr>
      </w:pPr>
      <w:r>
        <w:pict>
          <v:shape id="_x0000_s1336" style="width:249.5pt;height:0.1pt;margin-top:8.86pt;margin-left:28.32pt;mso-position-horizontal-relative:page;mso-wrap-distance-left:0;mso-wrap-distance-right:0;position:absolute;z-index:-251617280" coordorigin="566,177" coordsize="4990,0" path="m566,177l5556,177e" filled="f" stroked="t" strokecolor="#9c4a45" strokeweight="0.48pt">
            <v:stroke dashstyle="solid"/>
            <v:path arrowok="t"/>
            <w10:wrap type="topAndBottom"/>
          </v:shape>
        </w:pict>
      </w:r>
      <w:r>
        <w:pict>
          <v:shape id="_x0000_s1337" style="width:249.5pt;height:0.1pt;margin-top:8.86pt;margin-left:289.56pt;mso-position-horizontal-relative:page;mso-wrap-distance-left:0;mso-wrap-distance-right:0;position:absolute;z-index:-251616256" coordorigin="5791,177" coordsize="4990,0" path="m5791,177l10780,177e" filled="f" stroked="t" strokecolor="#9c4a45" strokeweight="0.48pt">
            <v:stroke dashstyle="solid"/>
            <v:path arrowok="t"/>
            <w10:wrap type="topAndBottom"/>
          </v:shape>
        </w:pict>
      </w:r>
    </w:p>
    <w:p>
      <w:pPr>
        <w:tabs>
          <w:tab w:val="left" w:pos="5351"/>
        </w:tabs>
        <w:spacing w:before="46"/>
        <w:ind w:left="126" w:right="0" w:firstLine="0"/>
        <w:jc w:val="left"/>
        <w:rPr>
          <w:sz w:val="15"/>
        </w:rPr>
      </w:pPr>
      <w:r>
        <w:t xml:space="preserve">数据来源：日本酱油协会， </w:t>
        <w:tab/>
        <w:t xml:space="preserve">数据来源：龟甲万官网， </w:t>
      </w:r>
    </w:p>
    <w:p>
      <w:pPr>
        <w:pStyle w:val="BodyText"/>
        <w:spacing w:before="3"/>
        <w:rPr>
          <w:sz w:val="12"/>
        </w:rPr>
      </w:pPr>
    </w:p>
    <w:p>
      <w:pPr>
        <w:pStyle w:val="BodyText"/>
        <w:spacing w:before="72" w:line="328" w:lineRule="auto"/>
        <w:ind w:left="2964" w:right="1122"/>
        <w:jc w:val="both"/>
      </w:pPr>
      <w:r>
        <w:rPr>
          <w:b/>
          <w:spacing w:val="-3"/>
        </w:rPr>
        <w:t>另外，日本复合调味品行业具有渗透率高、集中度高等成熟期行业特点。</w:t>
      </w:r>
      <w:r>
        <w:rPr>
          <w:spacing w:val="-8"/>
        </w:rPr>
        <w:t>行业渗</w:t>
      </w:r>
      <w:r>
        <w:rPr>
          <w:spacing w:val="-5"/>
        </w:rPr>
        <w:t>透率方面，据华经产业研究院，</w:t>
      </w:r>
      <w:r>
        <w:rPr>
          <w:rFonts w:ascii="Times New Roman" w:eastAsia="Times New Roman"/>
          <w:spacing w:val="-3"/>
        </w:rPr>
        <w:t xml:space="preserve">2020 </w:t>
      </w:r>
      <w:r>
        <w:rPr>
          <w:spacing w:val="-7"/>
        </w:rPr>
        <w:t xml:space="preserve">年日本复合调味品行业渗透率达 </w:t>
      </w:r>
      <w:r>
        <w:rPr>
          <w:rFonts w:ascii="Times New Roman" w:eastAsia="Times New Roman"/>
          <w:spacing w:val="-6"/>
        </w:rPr>
        <w:t>66%</w:t>
      </w:r>
      <w:r>
        <w:rPr>
          <w:spacing w:val="-7"/>
        </w:rPr>
        <w:t>，复合</w:t>
      </w:r>
      <w:r>
        <w:rPr>
          <w:spacing w:val="-5"/>
        </w:rPr>
        <w:t xml:space="preserve">调味料的人均年度消费额可达 </w:t>
      </w:r>
      <w:r>
        <w:rPr>
          <w:rFonts w:ascii="Times New Roman" w:eastAsia="Times New Roman"/>
        </w:rPr>
        <w:t xml:space="preserve">89 </w:t>
      </w:r>
      <w:r>
        <w:rPr>
          <w:spacing w:val="-12"/>
        </w:rPr>
        <w:t>美元。行业竞争格局方面，日本复合调味品行业</w:t>
      </w:r>
      <w:r>
        <w:rPr>
          <w:spacing w:val="-7"/>
        </w:rPr>
        <w:t>集中度高，寡头竞争格局显著，</w:t>
      </w:r>
      <w:r>
        <w:rPr>
          <w:rFonts w:ascii="Times New Roman" w:eastAsia="Times New Roman"/>
          <w:spacing w:val="-7"/>
        </w:rPr>
        <w:t xml:space="preserve">2016 </w:t>
      </w:r>
      <w:r>
        <w:rPr>
          <w:spacing w:val="-10"/>
        </w:rPr>
        <w:t xml:space="preserve">年，日本复合调味品行业 </w:t>
      </w:r>
      <w:r>
        <w:rPr>
          <w:rFonts w:ascii="Times New Roman" w:eastAsia="Times New Roman"/>
        </w:rPr>
        <w:t xml:space="preserve">CR3 </w:t>
      </w:r>
      <w:r>
        <w:rPr>
          <w:spacing w:val="-17"/>
        </w:rPr>
        <w:t xml:space="preserve">已达 </w:t>
      </w:r>
      <w:r>
        <w:rPr>
          <w:rFonts w:ascii="Times New Roman" w:eastAsia="Times New Roman"/>
          <w:spacing w:val="-9"/>
        </w:rPr>
        <w:t>63%</w:t>
      </w:r>
      <w:r>
        <w:rPr>
          <w:spacing w:val="-19"/>
        </w:rPr>
        <w:t>，好</w:t>
      </w:r>
      <w:r>
        <w:rPr>
          <w:spacing w:val="-2"/>
        </w:rPr>
        <w:t>侍、味之素、丘比位居前列。</w:t>
      </w:r>
    </w:p>
    <w:p>
      <w:pPr>
        <w:pStyle w:val="BodyText"/>
        <w:tabs>
          <w:tab w:val="left" w:pos="10335"/>
        </w:tabs>
        <w:spacing w:line="265" w:lineRule="exact"/>
        <w:ind w:left="2964"/>
        <w:jc w:val="both"/>
        <w:rPr>
          <w:rFonts w:ascii="Times New Roman" w:eastAsia="Times New Roman"/>
        </w:rPr>
      </w:pPr>
      <w:r>
        <w:rPr>
          <w:color w:val="FFFFFF"/>
          <w:shd w:val="clear" w:color="auto" w:fill="9C4A45"/>
        </w:rPr>
        <w:t>图</w:t>
      </w:r>
      <w:r>
        <w:rPr>
          <w:rFonts w:ascii="Times New Roman" w:eastAsia="Times New Roman"/>
          <w:color w:val="FFFFFF"/>
          <w:shd w:val="clear" w:color="auto" w:fill="9C4A45"/>
        </w:rPr>
        <w:t xml:space="preserve">16. </w:t>
      </w:r>
      <w:r>
        <w:rPr>
          <w:rFonts w:ascii="Times New Roman" w:eastAsia="Times New Roman"/>
          <w:color w:val="FFFFFF"/>
          <w:spacing w:val="2"/>
          <w:shd w:val="clear" w:color="auto" w:fill="9C4A45"/>
        </w:rPr>
        <w:t xml:space="preserve"> </w:t>
      </w:r>
      <w:r>
        <w:rPr>
          <w:rFonts w:ascii="Times New Roman" w:eastAsia="Times New Roman"/>
          <w:color w:val="FFFFFF"/>
          <w:shd w:val="clear" w:color="auto" w:fill="9C4A45"/>
        </w:rPr>
        <w:t>2016</w:t>
      </w:r>
      <w:r>
        <w:rPr>
          <w:rFonts w:ascii="Times New Roman" w:eastAsia="Times New Roman"/>
          <w:color w:val="FFFFFF"/>
          <w:spacing w:val="4"/>
          <w:shd w:val="clear" w:color="auto" w:fill="9C4A45"/>
        </w:rPr>
        <w:t xml:space="preserve"> </w:t>
      </w:r>
      <w:r>
        <w:rPr>
          <w:color w:val="FFFFFF"/>
          <w:shd w:val="clear" w:color="auto" w:fill="9C4A45"/>
        </w:rPr>
        <w:t>年日</w:t>
      </w:r>
      <w:r>
        <w:rPr>
          <w:color w:val="FFFFFF"/>
          <w:spacing w:val="-5"/>
          <w:shd w:val="clear" w:color="auto" w:fill="9C4A45"/>
        </w:rPr>
        <w:t>本</w:t>
      </w:r>
      <w:r>
        <w:rPr>
          <w:color w:val="FFFFFF"/>
          <w:shd w:val="clear" w:color="auto" w:fill="9C4A45"/>
        </w:rPr>
        <w:t>复合</w:t>
      </w:r>
      <w:r>
        <w:rPr>
          <w:color w:val="FFFFFF"/>
          <w:spacing w:val="-5"/>
          <w:shd w:val="clear" w:color="auto" w:fill="9C4A45"/>
        </w:rPr>
        <w:t>调</w:t>
      </w:r>
      <w:r>
        <w:rPr>
          <w:color w:val="FFFFFF"/>
          <w:shd w:val="clear" w:color="auto" w:fill="9C4A45"/>
        </w:rPr>
        <w:t>味品行业</w:t>
      </w:r>
      <w:r>
        <w:rPr>
          <w:color w:val="FFFFFF"/>
          <w:spacing w:val="-48"/>
          <w:shd w:val="clear" w:color="auto" w:fill="9C4A45"/>
        </w:rPr>
        <w:t xml:space="preserve"> </w:t>
      </w:r>
      <w:r>
        <w:rPr>
          <w:rFonts w:ascii="Times New Roman" w:eastAsia="Times New Roman"/>
          <w:color w:val="FFFFFF"/>
          <w:shd w:val="clear" w:color="auto" w:fill="9C4A45"/>
        </w:rPr>
        <w:t>CR4</w:t>
        <w:tab/>
      </w:r>
    </w:p>
    <w:p>
      <w:pPr>
        <w:pStyle w:val="BodyText"/>
        <w:spacing w:before="11"/>
        <w:rPr>
          <w:rFonts w:ascii="Times New Roman"/>
          <w:sz w:val="29"/>
        </w:rPr>
      </w:pPr>
      <w:r>
        <w:pict>
          <v:group id="_x0000_s1338" style="width:118.65pt;height:118.6pt;margin-top:19.19pt;margin-left:295.27pt;mso-position-horizontal-relative:page;mso-wrap-distance-left:0;mso-wrap-distance-right:0;position:absolute;z-index:-251615232" coordorigin="5905,384" coordsize="2373,2372">
            <v:shape id="_x0000_s1339" style="width:1186;height:1461;left:7091;position:absolute;top:383" coordorigin="7092,384" coordsize="1186,1461" path="m7092,384l7092,1570,8246,1844,8260,1776,8270,1708,8276,1639,8278,1570,8275,1495,8269,1421,8257,1349,8242,1278,8222,1209,8198,1141,8170,1076,8139,1012,8104,951,8065,892,8023,836,7978,782,7930,731,7879,683,7826,638,7769,596,7711,558,7649,523,7586,491,7520,464,7453,440,7384,420,7313,404,7241,393,7167,386,7092,384xe" filled="t" fillcolor="#853431" stroked="f">
              <v:fill type="solid"/>
              <v:path arrowok="t"/>
            </v:shape>
            <v:shape id="_x0000_s1340" style="width:1154;height:1172;left:7091;position:absolute;top:1569" coordorigin="7092,1570" coordsize="1154,1172" path="m7092,1570l7275,2742,7350,2728,7422,2709,7493,2686,7562,2659,7628,2628,7693,2592,7755,2554,7814,2511,7870,2465,7924,2415,7974,2363,8021,2307,8065,2249,8105,2187,8141,2123,8173,2057,8202,1988,8226,1917,8246,1844,7092,1570xe" filled="t" fillcolor="#c08a1f" stroked="f">
              <v:fill type="solid"/>
              <v:path arrowok="t"/>
            </v:shape>
            <v:shape id="_x0000_s1341" style="width:1016;height:1186;left:6259;position:absolute;top:1569" coordorigin="6260,1570" coordsize="1016,1186" path="m7092,1570l6260,2415,6319,2469,6381,2519,6446,2565,6513,2605,6583,2641,6655,2673,6729,2699,6804,2721,6881,2737,6959,2748,7037,2755,7116,2756,7196,2751,7275,2742,7092,1570xe" filled="t" fillcolor="#5a5f94" stroked="f">
              <v:fill type="solid"/>
              <v:path arrowok="t"/>
            </v:shape>
            <v:shape id="_x0000_s1342" style="width:1084;height:846;left:6008;position:absolute;top:1569" coordorigin="6009,1570" coordsize="1084,846" path="m7092,1570l6009,2053,6041,2120,6077,2184,6117,2246,6161,2305,6209,2362,6260,2415,7092,1570xe" filled="t" fillcolor="#9db5c1" stroked="f">
              <v:fill type="solid"/>
              <v:path arrowok="t"/>
            </v:shape>
            <v:shape id="_x0000_s1343" style="width:1187;height:1670;left:5905;position:absolute;top:383" coordorigin="5905,384" coordsize="1187,1670" path="m7092,384l7009,387,6926,395,6845,410,6764,430,6685,456,6608,487,6541,520,6476,556,6415,596,6356,639,6301,685,6249,734,6201,786,6156,841,6114,898,6076,957,6042,1018,6011,1081,5984,1146,5961,1212,5942,1279,5926,1348,5915,1417,5908,1488,5905,1558,5907,1629,5913,1701,5923,1772,5937,1843,5956,1914,5980,1984,6009,2053,7092,1570,7092,384xe" filled="t" fillcolor="#d1c2bd" stroked="f">
              <v:fill type="solid"/>
              <v:path arrowok="t"/>
            </v:shape>
            <v:shape id="_x0000_s1344" type="#_x0000_t202" style="width:355;height:202;left:6152;position:absolute;top:982" filled="f" stroked="f">
              <v:textbox inset="0,0,0,0">
                <w:txbxContent>
                  <w:p>
                    <w:pPr>
                      <w:spacing w:before="0" w:line="201" w:lineRule="exact"/>
                      <w:ind w:left="0" w:right="0" w:firstLine="0"/>
                      <w:jc w:val="left"/>
                      <w:rPr>
                        <w:rFonts w:ascii="Times New Roman"/>
                        <w:sz w:val="18"/>
                      </w:rPr>
                    </w:pPr>
                    <w:r>
                      <w:rPr>
                        <w:rFonts w:ascii="Times New Roman"/>
                        <w:sz w:val="18"/>
                      </w:rPr>
                      <w:t>32%</w:t>
                    </w:r>
                  </w:p>
                </w:txbxContent>
              </v:textbox>
            </v:shape>
            <v:shape id="_x0000_s1345" type="#_x0000_t202" style="width:355;height:202;left:7652;position:absolute;top:937" filled="f" stroked="f">
              <v:textbox inset="0,0,0,0">
                <w:txbxContent>
                  <w:p>
                    <w:pPr>
                      <w:spacing w:before="0" w:line="201" w:lineRule="exact"/>
                      <w:ind w:left="0" w:right="0" w:firstLine="0"/>
                      <w:jc w:val="left"/>
                      <w:rPr>
                        <w:rFonts w:ascii="Times New Roman"/>
                        <w:sz w:val="18"/>
                      </w:rPr>
                    </w:pPr>
                    <w:r>
                      <w:rPr>
                        <w:rFonts w:ascii="Times New Roman"/>
                        <w:sz w:val="18"/>
                      </w:rPr>
                      <w:t>29%</w:t>
                    </w:r>
                  </w:p>
                </w:txbxContent>
              </v:textbox>
            </v:shape>
            <v:shape id="_x0000_s1346" type="#_x0000_t202" style="width:264;height:202;left:6165;position:absolute;top:2017" filled="f" stroked="f">
              <v:textbox inset="0,0,0,0">
                <w:txbxContent>
                  <w:p>
                    <w:pPr>
                      <w:spacing w:before="0" w:line="201" w:lineRule="exact"/>
                      <w:ind w:left="0" w:right="0" w:firstLine="0"/>
                      <w:jc w:val="left"/>
                      <w:rPr>
                        <w:rFonts w:ascii="Times New Roman"/>
                        <w:sz w:val="18"/>
                      </w:rPr>
                    </w:pPr>
                    <w:r>
                      <w:rPr>
                        <w:rFonts w:ascii="Times New Roman"/>
                        <w:sz w:val="18"/>
                      </w:rPr>
                      <w:t>6%</w:t>
                    </w:r>
                  </w:p>
                </w:txbxContent>
              </v:textbox>
            </v:shape>
            <v:shape id="_x0000_s1347" type="#_x0000_t202" style="width:355;height:202;left:7562;position:absolute;top:2137" filled="f" stroked="f">
              <v:textbox inset="0,0,0,0">
                <w:txbxContent>
                  <w:p>
                    <w:pPr>
                      <w:spacing w:before="0" w:line="201" w:lineRule="exact"/>
                      <w:ind w:left="0" w:right="0" w:firstLine="0"/>
                      <w:jc w:val="left"/>
                      <w:rPr>
                        <w:rFonts w:ascii="Times New Roman"/>
                        <w:sz w:val="18"/>
                      </w:rPr>
                    </w:pPr>
                    <w:r>
                      <w:rPr>
                        <w:rFonts w:ascii="Times New Roman"/>
                        <w:sz w:val="18"/>
                      </w:rPr>
                      <w:t>19%</w:t>
                    </w:r>
                  </w:p>
                </w:txbxContent>
              </v:textbox>
            </v:shape>
            <v:shape id="_x0000_s1348" type="#_x0000_t202" style="width:356;height:202;left:6632;position:absolute;top:2392" filled="f" stroked="f">
              <v:textbox inset="0,0,0,0">
                <w:txbxContent>
                  <w:p>
                    <w:pPr>
                      <w:spacing w:before="0" w:line="201" w:lineRule="exact"/>
                      <w:ind w:left="0" w:right="0" w:firstLine="0"/>
                      <w:jc w:val="left"/>
                      <w:rPr>
                        <w:rFonts w:ascii="Times New Roman"/>
                        <w:sz w:val="18"/>
                      </w:rPr>
                    </w:pPr>
                    <w:r>
                      <w:rPr>
                        <w:rFonts w:ascii="Times New Roman"/>
                        <w:sz w:val="18"/>
                      </w:rPr>
                      <w:t>15%</w:t>
                    </w:r>
                  </w:p>
                </w:txbxContent>
              </v:textbox>
            </v:shape>
            <w10:wrap type="topAndBottom"/>
          </v:group>
        </w:pict>
      </w:r>
    </w:p>
    <w:p>
      <w:pPr>
        <w:pStyle w:val="BodyText"/>
        <w:spacing w:before="4"/>
        <w:rPr>
          <w:rFonts w:ascii="Times New Roman"/>
          <w:sz w:val="9"/>
        </w:rPr>
      </w:pPr>
    </w:p>
    <w:p>
      <w:pPr>
        <w:tabs>
          <w:tab w:val="left" w:pos="5738"/>
          <w:tab w:val="left" w:pos="6559"/>
          <w:tab w:val="left" w:pos="7201"/>
          <w:tab w:val="left" w:pos="8022"/>
        </w:tabs>
        <w:spacing w:before="77"/>
        <w:ind w:left="5096" w:right="0" w:firstLine="0"/>
        <w:jc w:val="left"/>
        <w:rPr>
          <w:sz w:val="18"/>
        </w:rPr>
      </w:pPr>
      <w:r>
        <w:pict>
          <v:rect id="_x0000_s1349" style="width:4.48pt;height:4.48pt;margin-top:7.42pt;margin-left:270.38pt;mso-position-horizontal-relative:page;position:absolute;z-index:251705344" filled="t" fillcolor="#853431" stroked="f">
            <v:fill type="solid"/>
          </v:rect>
        </w:pict>
      </w:r>
      <w:r>
        <w:pict>
          <v:rect id="_x0000_s1350" style="width:4.48pt;height:4.48pt;margin-top:7.42pt;margin-left:302.44pt;mso-position-horizontal-relative:page;position:absolute;z-index:-251621376" filled="t" fillcolor="#c08a1f" stroked="f">
            <v:fill type="solid"/>
          </v:rect>
        </w:pict>
      </w:r>
      <w:r>
        <w:pict>
          <v:rect id="_x0000_s1351" style="width:4.48pt;height:4.48pt;margin-top:7.42pt;margin-left:343.51pt;mso-position-horizontal-relative:page;position:absolute;z-index:-251620352" filled="t" fillcolor="#5a5f94" stroked="f">
            <v:fill type="solid"/>
          </v:rect>
        </w:pict>
      </w:r>
      <w:r>
        <w:pict>
          <v:rect id="_x0000_s1352" style="width:4.48pt;height:4.48pt;margin-top:7.42pt;margin-left:375.57pt;mso-position-horizontal-relative:page;position:absolute;z-index:-251619328" filled="t" fillcolor="#9db5c1" stroked="f">
            <v:fill type="solid"/>
          </v:rect>
        </w:pict>
      </w:r>
      <w:r>
        <w:pict>
          <v:rect id="_x0000_s1353" style="width:4.48pt;height:4.48pt;margin-top:7.42pt;margin-left:416.63pt;mso-position-horizontal-relative:page;position:absolute;z-index:-251618304" filled="t" fillcolor="#d1c2bd" stroked="f">
            <v:fill type="solid"/>
          </v:rect>
        </w:pict>
      </w:r>
      <w:r>
        <w:rPr>
          <w:sz w:val="18"/>
        </w:rPr>
        <w:t>好侍</w:t>
        <w:tab/>
        <w:t>味之素</w:t>
        <w:tab/>
        <w:t>丘比</w:t>
        <w:tab/>
        <w:t>龟甲万</w:t>
        <w:tab/>
        <w:t>其他</w:t>
      </w:r>
    </w:p>
    <w:p>
      <w:pPr>
        <w:pStyle w:val="BodyText"/>
        <w:spacing w:before="10"/>
        <w:rPr>
          <w:sz w:val="15"/>
        </w:rPr>
      </w:pPr>
      <w:r>
        <w:pict>
          <v:shape id="_x0000_s1354" style="width:368.8pt;height:0.1pt;margin-top:12.31pt;margin-left:170.23pt;mso-position-horizontal-relative:page;mso-wrap-distance-left:0;mso-wrap-distance-right:0;position:absolute;z-index:-251614208" coordorigin="3405,246" coordsize="7376,0" path="m3405,246l10780,246e" filled="f" stroked="t" strokecolor="#9c4a45" strokeweight="0.48pt">
            <v:stroke dashstyle="solid"/>
            <v:path arrowok="t"/>
            <w10:wrap type="topAndBottom"/>
          </v:shape>
        </w:pict>
      </w:r>
    </w:p>
    <w:p>
      <w:pPr>
        <w:spacing w:before="41"/>
        <w:ind w:left="2964" w:right="0" w:firstLine="0"/>
        <w:jc w:val="left"/>
        <w:rPr>
          <w:sz w:val="15"/>
        </w:rPr>
      </w:pPr>
      <w:r>
        <w:t xml:space="preserve">数据来源：华经产业研究院， </w:t>
      </w:r>
    </w:p>
    <w:p>
      <w:pPr>
        <w:pStyle w:val="BodyText"/>
        <w:rPr>
          <w:sz w:val="20"/>
        </w:rPr>
      </w:pPr>
    </w:p>
    <w:p>
      <w:pPr>
        <w:pStyle w:val="BodyText"/>
        <w:spacing w:before="7"/>
        <w:rPr>
          <w:sz w:val="17"/>
        </w:rPr>
      </w:pPr>
    </w:p>
    <w:p>
      <w:pPr>
        <w:tabs>
          <w:tab w:val="left" w:pos="3804"/>
        </w:tabs>
        <w:spacing w:before="78"/>
        <w:ind w:left="2964" w:right="0" w:firstLine="0"/>
        <w:jc w:val="left"/>
        <w:rPr>
          <w:b/>
          <w:sz w:val="21"/>
        </w:rPr>
      </w:pPr>
      <w:bookmarkStart w:id="6" w:name="_TOC_250015"/>
      <w:r>
        <w:rPr>
          <w:rFonts w:ascii="Times New Roman" w:eastAsia="Times New Roman"/>
          <w:b/>
          <w:color w:val="9C4A45"/>
          <w:sz w:val="21"/>
        </w:rPr>
        <w:t>2.1.2</w:t>
        <w:tab/>
      </w:r>
      <w:bookmarkEnd w:id="6"/>
      <w:r>
        <w:rPr>
          <w:b/>
          <w:color w:val="9C4A45"/>
          <w:spacing w:val="-2"/>
          <w:sz w:val="21"/>
        </w:rPr>
        <w:t>我国复调行业：行业格局优化空间大，集中度提升是趋势</w:t>
      </w:r>
    </w:p>
    <w:p>
      <w:pPr>
        <w:pStyle w:val="BodyText"/>
        <w:spacing w:before="11"/>
        <w:rPr>
          <w:b/>
          <w:sz w:val="19"/>
        </w:rPr>
      </w:pPr>
    </w:p>
    <w:p>
      <w:pPr>
        <w:pStyle w:val="BodyText"/>
        <w:spacing w:line="328" w:lineRule="auto"/>
        <w:ind w:left="2964" w:right="1122"/>
        <w:jc w:val="both"/>
      </w:pPr>
      <w:r>
        <w:rPr>
          <w:b/>
          <w:spacing w:val="-2"/>
        </w:rPr>
        <w:t>对标海外成熟市场，我国复调行业仍具巨大发展空间。</w:t>
      </w:r>
      <w:r>
        <w:rPr>
          <w:spacing w:val="-5"/>
        </w:rPr>
        <w:t>虽然中国复合调味品行业发展迅速，但仍处于类似日本复调的成长阶段，暂未出现一超多强的局势，且渗透率相对较低。据华经产业研究院，</w:t>
      </w:r>
      <w:r>
        <w:rPr>
          <w:rFonts w:ascii="Times New Roman" w:eastAsia="Times New Roman"/>
          <w:spacing w:val="-4"/>
        </w:rPr>
        <w:t xml:space="preserve">2020 </w:t>
      </w:r>
      <w:r>
        <w:rPr>
          <w:spacing w:val="-6"/>
        </w:rPr>
        <w:t xml:space="preserve">年中国复调渗透率仅为 </w:t>
      </w:r>
      <w:r>
        <w:rPr>
          <w:rFonts w:ascii="Times New Roman" w:eastAsia="Times New Roman"/>
          <w:spacing w:val="-6"/>
        </w:rPr>
        <w:t>26%</w:t>
      </w:r>
      <w:r>
        <w:rPr>
          <w:spacing w:val="-5"/>
        </w:rPr>
        <w:t>，预计中国复合调味品市场至少存在一倍以上的发展空间。我国复合调味品的品类渗透及消费培育仍有较大空间，同时中国较大的人口基数和不同的饮食习惯也提供了很多细分领域机会，不同阶段的品牌仍有较大机会脱颖而出。</w:t>
      </w:r>
    </w:p>
    <w:p>
      <w:pPr>
        <w:spacing w:after="0" w:line="328" w:lineRule="auto"/>
        <w:jc w:val="both"/>
        <w:sectPr>
          <w:headerReference w:type="default" r:id="rId66"/>
          <w:footerReference w:type="default" r:id="rId67"/>
          <w:pgSz w:w="11910" w:h="16840"/>
          <w:pgMar w:top="1700" w:right="0" w:bottom="1500" w:left="440" w:header="708" w:footer="708"/>
          <w:pgNumType w:start="21"/>
          <w:cols w:space="708"/>
        </w:sectPr>
      </w:pPr>
    </w:p>
    <w:p>
      <w:pPr>
        <w:pStyle w:val="BodyText"/>
        <w:tabs>
          <w:tab w:val="left" w:pos="10335"/>
        </w:tabs>
        <w:spacing w:before="161"/>
        <w:ind w:left="2964"/>
      </w:pPr>
      <w:r>
        <w:rPr>
          <w:color w:val="FFFFFF"/>
          <w:spacing w:val="-1"/>
          <w:shd w:val="clear" w:color="auto" w:fill="9C4A45"/>
        </w:rPr>
        <w:t>图</w:t>
      </w:r>
      <w:r>
        <w:rPr>
          <w:rFonts w:ascii="Times New Roman" w:eastAsia="Times New Roman"/>
          <w:color w:val="FFFFFF"/>
          <w:spacing w:val="-1"/>
          <w:shd w:val="clear" w:color="auto" w:fill="9C4A45"/>
        </w:rPr>
        <w:t>17.</w:t>
      </w:r>
      <w:r>
        <w:rPr>
          <w:color w:val="FFFFFF"/>
          <w:spacing w:val="-1"/>
          <w:shd w:val="clear" w:color="auto" w:fill="9C4A45"/>
        </w:rPr>
        <w:t>中</w:t>
      </w:r>
      <w:r>
        <w:rPr>
          <w:color w:val="FFFFFF"/>
          <w:shd w:val="clear" w:color="auto" w:fill="9C4A45"/>
        </w:rPr>
        <w:t>、日、</w:t>
      </w:r>
      <w:r>
        <w:rPr>
          <w:color w:val="FFFFFF"/>
          <w:spacing w:val="-5"/>
          <w:shd w:val="clear" w:color="auto" w:fill="9C4A45"/>
        </w:rPr>
        <w:t>美</w:t>
      </w:r>
      <w:r>
        <w:rPr>
          <w:color w:val="FFFFFF"/>
          <w:shd w:val="clear" w:color="auto" w:fill="9C4A45"/>
        </w:rPr>
        <w:t>、韩复</w:t>
      </w:r>
      <w:r>
        <w:rPr>
          <w:color w:val="FFFFFF"/>
          <w:spacing w:val="-4"/>
          <w:shd w:val="clear" w:color="auto" w:fill="9C4A45"/>
        </w:rPr>
        <w:t>合</w:t>
      </w:r>
      <w:r>
        <w:rPr>
          <w:color w:val="FFFFFF"/>
          <w:shd w:val="clear" w:color="auto" w:fill="9C4A45"/>
        </w:rPr>
        <w:t>调味品</w:t>
      </w:r>
      <w:r>
        <w:rPr>
          <w:color w:val="FFFFFF"/>
          <w:spacing w:val="-5"/>
          <w:shd w:val="clear" w:color="auto" w:fill="9C4A45"/>
        </w:rPr>
        <w:t>行</w:t>
      </w:r>
      <w:r>
        <w:rPr>
          <w:color w:val="FFFFFF"/>
          <w:shd w:val="clear" w:color="auto" w:fill="9C4A45"/>
        </w:rPr>
        <w:t>业渗透</w:t>
      </w:r>
      <w:r>
        <w:rPr>
          <w:color w:val="FFFFFF"/>
          <w:spacing w:val="-5"/>
          <w:shd w:val="clear" w:color="auto" w:fill="9C4A45"/>
        </w:rPr>
        <w:t>率</w:t>
      </w:r>
      <w:r>
        <w:rPr>
          <w:color w:val="FFFFFF"/>
          <w:shd w:val="clear" w:color="auto" w:fill="9C4A45"/>
        </w:rPr>
        <w:t>对比</w:t>
        <w:tab/>
      </w:r>
    </w:p>
    <w:p>
      <w:pPr>
        <w:spacing w:before="166"/>
        <w:ind w:left="649" w:right="3978" w:firstLine="0"/>
        <w:jc w:val="center"/>
        <w:rPr>
          <w:rFonts w:ascii="Times New Roman"/>
          <w:sz w:val="18"/>
        </w:rPr>
      </w:pPr>
      <w:r>
        <w:pict>
          <v:group id="_x0000_s1355" style="width:246.65pt;height:105.45pt;margin-top:11.41pt;margin-left:240.65pt;mso-position-horizontal-relative:page;position:absolute;z-index:251708416" coordorigin="4813,228" coordsize="4933,2109">
            <v:rect id="_x0000_s1356" style="width:495;height:1813;left:5188;position:absolute;top:516" filled="t" fillcolor="#b34745" stroked="f">
              <v:fill type="solid"/>
            </v:rect>
            <v:rect id="_x0000_s1357" style="width:495;height:1813;left:5188;position:absolute;top:516" filled="f" stroked="t" strokecolor="#b34745" strokeweight="0.75pt">
              <v:stroke dashstyle="solid"/>
            </v:rect>
            <v:rect id="_x0000_s1358" style="width:490;height:1573;left:6422;position:absolute;top:756" filled="t" fillcolor="#b34745" stroked="f">
              <v:fill type="solid"/>
            </v:rect>
            <v:rect id="_x0000_s1359" style="width:490;height:1573;left:6422;position:absolute;top:756" filled="f" stroked="t" strokecolor="#b34745" strokeweight="0.75pt">
              <v:stroke dashstyle="solid"/>
            </v:rect>
            <v:rect id="_x0000_s1360" style="width:495;height:1333;left:7651;position:absolute;top:996" filled="t" fillcolor="#b34745" stroked="f">
              <v:fill type="solid"/>
            </v:rect>
            <v:rect id="_x0000_s1361" style="width:495;height:1333;left:7651;position:absolute;top:996" filled="f" stroked="t" strokecolor="#b34745" strokeweight="0.75pt">
              <v:stroke dashstyle="solid"/>
            </v:rect>
            <v:rect id="_x0000_s1362" style="width:490;height:205;left:8884;position:absolute;top:2124" filled="t" fillcolor="#b34745" stroked="f">
              <v:fill type="solid"/>
            </v:rect>
            <v:rect id="_x0000_s1363" style="width:490;height:205;left:8884;position:absolute;top:2124" filled="f" stroked="t" strokecolor="#b34745" strokeweight="0.75pt">
              <v:stroke dashstyle="solid"/>
            </v:rect>
            <v:shape id="_x0000_s1364" style="width:54;height:2050;left:4820;position:absolute;top:279" coordorigin="4821,279" coordsize="54,2050" path="m4821,2329l4821,279m4821,2329l4874,2329m4821,1986l4874,1986m4821,1645l4874,1645m4821,1304l4874,1304m4821,963l4874,963m4821,622l4874,622m4821,279l4874,279e" filled="f" stroked="t" strokecolor="#aeabab" strokeweight="0.75pt">
              <v:stroke dashstyle="solid"/>
              <v:path arrowok="t"/>
            </v:shape>
            <v:line id="_x0000_s1365" style="position:absolute" from="4821,2329" to="9746,2329" stroked="t" strokecolor="#d9d9d9" strokeweight="0.75pt">
              <v:stroke dashstyle="solid"/>
            </v:line>
            <v:shape id="_x0000_s1366" type="#_x0000_t202" style="width:355;height:202;left:5268;position:absolute;top:228" filled="f" stroked="f">
              <v:textbox inset="0,0,0,0">
                <w:txbxContent>
                  <w:p>
                    <w:pPr>
                      <w:spacing w:before="0" w:line="201" w:lineRule="exact"/>
                      <w:ind w:left="0" w:right="0" w:firstLine="0"/>
                      <w:jc w:val="left"/>
                      <w:rPr>
                        <w:rFonts w:ascii="Times New Roman"/>
                        <w:sz w:val="18"/>
                      </w:rPr>
                    </w:pPr>
                    <w:r>
                      <w:rPr>
                        <w:rFonts w:ascii="Times New Roman"/>
                        <w:sz w:val="18"/>
                      </w:rPr>
                      <w:t>73%</w:t>
                    </w:r>
                  </w:p>
                </w:txbxContent>
              </v:textbox>
            </v:shape>
            <v:shape id="_x0000_s1367" type="#_x0000_t202" style="width:355;height:202;left:6499;position:absolute;top:467" filled="f" stroked="f">
              <v:textbox inset="0,0,0,0">
                <w:txbxContent>
                  <w:p>
                    <w:pPr>
                      <w:spacing w:before="0" w:line="201" w:lineRule="exact"/>
                      <w:ind w:left="0" w:right="0" w:firstLine="0"/>
                      <w:jc w:val="left"/>
                      <w:rPr>
                        <w:rFonts w:ascii="Times New Roman"/>
                        <w:sz w:val="18"/>
                      </w:rPr>
                    </w:pPr>
                    <w:r>
                      <w:rPr>
                        <w:rFonts w:ascii="Times New Roman"/>
                        <w:sz w:val="18"/>
                      </w:rPr>
                      <w:t>66%</w:t>
                    </w:r>
                  </w:p>
                </w:txbxContent>
              </v:textbox>
            </v:shape>
            <v:shape id="_x0000_s1368" type="#_x0000_t202" style="width:355;height:202;left:7731;position:absolute;top:706" filled="f" stroked="f">
              <v:textbox inset="0,0,0,0">
                <w:txbxContent>
                  <w:p>
                    <w:pPr>
                      <w:spacing w:before="0" w:line="201" w:lineRule="exact"/>
                      <w:ind w:left="0" w:right="0" w:firstLine="0"/>
                      <w:jc w:val="left"/>
                      <w:rPr>
                        <w:rFonts w:ascii="Times New Roman"/>
                        <w:sz w:val="18"/>
                      </w:rPr>
                    </w:pPr>
                    <w:r>
                      <w:rPr>
                        <w:rFonts w:ascii="Times New Roman"/>
                        <w:sz w:val="18"/>
                      </w:rPr>
                      <w:t>59%</w:t>
                    </w:r>
                  </w:p>
                </w:txbxContent>
              </v:textbox>
            </v:shape>
            <v:shape id="_x0000_s1369" type="#_x0000_t202" style="width:355;height:202;left:8963;position:absolute;top:1834" filled="f" stroked="f">
              <v:textbox inset="0,0,0,0">
                <w:txbxContent>
                  <w:p>
                    <w:pPr>
                      <w:spacing w:before="0" w:line="201" w:lineRule="exact"/>
                      <w:ind w:left="0" w:right="0" w:firstLine="0"/>
                      <w:jc w:val="left"/>
                      <w:rPr>
                        <w:rFonts w:ascii="Times New Roman"/>
                        <w:sz w:val="18"/>
                      </w:rPr>
                    </w:pPr>
                    <w:r>
                      <w:rPr>
                        <w:rFonts w:ascii="Times New Roman"/>
                        <w:sz w:val="18"/>
                      </w:rPr>
                      <w:t>26%</w:t>
                    </w:r>
                  </w:p>
                </w:txbxContent>
              </v:textbox>
            </v:shape>
          </v:group>
        </w:pict>
      </w:r>
      <w:r>
        <w:rPr>
          <w:rFonts w:ascii="Times New Roman"/>
          <w:sz w:val="18"/>
        </w:rPr>
        <w:t>80%</w:t>
      </w:r>
    </w:p>
    <w:p>
      <w:pPr>
        <w:spacing w:before="135"/>
        <w:ind w:left="649" w:right="3978" w:firstLine="0"/>
        <w:jc w:val="center"/>
        <w:rPr>
          <w:rFonts w:ascii="Times New Roman"/>
          <w:sz w:val="18"/>
        </w:rPr>
      </w:pPr>
      <w:r>
        <w:rPr>
          <w:rFonts w:ascii="Times New Roman"/>
          <w:sz w:val="18"/>
        </w:rPr>
        <w:t>70%</w:t>
      </w:r>
    </w:p>
    <w:p>
      <w:pPr>
        <w:spacing w:before="135"/>
        <w:ind w:left="649" w:right="3978" w:firstLine="0"/>
        <w:jc w:val="center"/>
        <w:rPr>
          <w:rFonts w:ascii="Times New Roman"/>
          <w:sz w:val="18"/>
        </w:rPr>
      </w:pPr>
      <w:r>
        <w:rPr>
          <w:rFonts w:ascii="Times New Roman"/>
          <w:sz w:val="18"/>
        </w:rPr>
        <w:t>60%</w:t>
      </w:r>
    </w:p>
    <w:p>
      <w:pPr>
        <w:spacing w:before="134"/>
        <w:ind w:left="649" w:right="3978" w:firstLine="0"/>
        <w:jc w:val="center"/>
        <w:rPr>
          <w:rFonts w:ascii="Times New Roman"/>
          <w:sz w:val="18"/>
        </w:rPr>
      </w:pPr>
      <w:r>
        <w:rPr>
          <w:rFonts w:ascii="Times New Roman"/>
          <w:sz w:val="18"/>
        </w:rPr>
        <w:t>50%</w:t>
      </w:r>
    </w:p>
    <w:p>
      <w:pPr>
        <w:spacing w:before="135"/>
        <w:ind w:left="649" w:right="3978" w:firstLine="0"/>
        <w:jc w:val="center"/>
        <w:rPr>
          <w:rFonts w:ascii="Times New Roman"/>
          <w:sz w:val="18"/>
        </w:rPr>
      </w:pPr>
      <w:r>
        <w:rPr>
          <w:rFonts w:ascii="Times New Roman"/>
          <w:sz w:val="18"/>
        </w:rPr>
        <w:t>40%</w:t>
      </w:r>
    </w:p>
    <w:p>
      <w:pPr>
        <w:spacing w:before="135"/>
        <w:ind w:left="649" w:right="3978" w:firstLine="0"/>
        <w:jc w:val="center"/>
        <w:rPr>
          <w:rFonts w:ascii="Times New Roman"/>
          <w:sz w:val="18"/>
        </w:rPr>
      </w:pPr>
      <w:r>
        <w:rPr>
          <w:rFonts w:ascii="Times New Roman"/>
          <w:sz w:val="18"/>
        </w:rPr>
        <w:t>30%</w:t>
      </w:r>
    </w:p>
    <w:p>
      <w:pPr>
        <w:spacing w:before="135"/>
        <w:ind w:left="649" w:right="3978" w:firstLine="0"/>
        <w:jc w:val="center"/>
        <w:rPr>
          <w:rFonts w:ascii="Times New Roman"/>
          <w:sz w:val="18"/>
        </w:rPr>
      </w:pPr>
      <w:r>
        <w:rPr>
          <w:rFonts w:ascii="Times New Roman"/>
          <w:sz w:val="18"/>
        </w:rPr>
        <w:t>20%</w:t>
      </w:r>
    </w:p>
    <w:p>
      <w:pPr>
        <w:tabs>
          <w:tab w:val="left" w:pos="6050"/>
          <w:tab w:val="left" w:pos="7282"/>
          <w:tab w:val="left" w:pos="8514"/>
        </w:tabs>
        <w:spacing w:before="16"/>
        <w:ind w:left="4819" w:right="0" w:firstLine="0"/>
        <w:jc w:val="left"/>
        <w:rPr>
          <w:sz w:val="18"/>
        </w:rPr>
      </w:pPr>
      <w:r>
        <w:rPr>
          <w:sz w:val="18"/>
        </w:rPr>
        <w:t>美国</w:t>
        <w:tab/>
        <w:t>日本</w:t>
        <w:tab/>
        <w:t>韩国</w:t>
        <w:tab/>
        <w:t>中国</w:t>
      </w:r>
    </w:p>
    <w:p>
      <w:pPr>
        <w:pStyle w:val="BodyText"/>
        <w:spacing w:before="3"/>
        <w:rPr>
          <w:sz w:val="13"/>
        </w:rPr>
      </w:pPr>
    </w:p>
    <w:p>
      <w:pPr>
        <w:spacing w:before="0"/>
        <w:ind w:left="2943" w:right="910" w:firstLine="0"/>
        <w:jc w:val="center"/>
        <w:rPr>
          <w:sz w:val="18"/>
        </w:rPr>
      </w:pPr>
      <w:r>
        <w:pict>
          <v:group id="_x0000_s1370" style="width:5.25pt;height:5.25pt;margin-top:3.3pt;margin-left:316.45pt;mso-position-horizontal-relative:page;position:absolute;z-index:251709440" coordorigin="6329,66" coordsize="105,105">
            <v:rect id="_x0000_s1371" style="width:90;height:90;left:6336;position:absolute;top:73" filled="t" fillcolor="#b34745" stroked="f">
              <v:fill type="solid"/>
            </v:rect>
            <v:rect id="_x0000_s1372" style="width:90;height:90;left:6336;position:absolute;top:73" filled="f" stroked="t" strokecolor="#b34745" strokeweight="0.75pt">
              <v:stroke dashstyle="solid"/>
            </v:rect>
          </v:group>
        </w:pict>
      </w:r>
      <w:r>
        <w:rPr>
          <w:sz w:val="18"/>
        </w:rPr>
        <w:t>复合调味品渗透率</w:t>
      </w:r>
    </w:p>
    <w:p>
      <w:pPr>
        <w:pStyle w:val="BodyText"/>
        <w:spacing w:before="8"/>
        <w:rPr>
          <w:sz w:val="14"/>
        </w:rPr>
      </w:pPr>
      <w:r>
        <w:pict>
          <v:shape id="_x0000_s1373" style="width:368.8pt;height:0.1pt;margin-top:11.6pt;margin-left:170.23pt;mso-position-horizontal-relative:page;mso-wrap-distance-left:0;mso-wrap-distance-right:0;position:absolute;z-index:-251609088" coordorigin="3405,232" coordsize="7376,0" path="m3405,232l10780,232e" filled="f" stroked="t" strokecolor="#9c4a45" strokeweight="0.48pt">
            <v:stroke dashstyle="solid"/>
            <v:path arrowok="t"/>
            <w10:wrap type="topAndBottom"/>
          </v:shape>
        </w:pict>
      </w:r>
    </w:p>
    <w:p>
      <w:pPr>
        <w:spacing w:before="46"/>
        <w:ind w:left="2964" w:right="0" w:firstLine="0"/>
        <w:jc w:val="left"/>
        <w:rPr>
          <w:sz w:val="15"/>
        </w:rPr>
      </w:pPr>
      <w:r>
        <w:t xml:space="preserve">数据来源：华经产业研究院， </w:t>
      </w:r>
    </w:p>
    <w:p>
      <w:pPr>
        <w:pStyle w:val="BodyText"/>
        <w:spacing w:before="2"/>
        <w:rPr>
          <w:sz w:val="12"/>
        </w:rPr>
      </w:pPr>
    </w:p>
    <w:p>
      <w:pPr>
        <w:pStyle w:val="BodyText"/>
        <w:spacing w:before="72" w:line="328" w:lineRule="auto"/>
        <w:ind w:left="2964" w:right="1122"/>
        <w:jc w:val="both"/>
      </w:pPr>
      <w:r>
        <w:rPr>
          <w:b/>
          <w:spacing w:val="-6"/>
        </w:rPr>
        <w:t>我国复合调味品行业格局分散，原因主要在于进入壁垒低，企业议价能力高，利</w:t>
      </w:r>
      <w:r>
        <w:rPr>
          <w:b/>
          <w:spacing w:val="1"/>
        </w:rPr>
        <w:t>润率可观。</w:t>
      </w:r>
      <w:r>
        <w:rPr>
          <w:spacing w:val="-6"/>
        </w:rPr>
        <w:t>相较日本复合调味品行业的发展阶段，我国复合调味品仍处于发展初</w:t>
      </w:r>
      <w:r>
        <w:rPr>
          <w:spacing w:val="-14"/>
        </w:rPr>
        <w:t>期，市场参与者较多且分散。</w:t>
      </w:r>
      <w:r>
        <w:rPr>
          <w:spacing w:val="-12"/>
          <w:u w:val="single"/>
        </w:rPr>
        <w:t>从制作工艺看，</w:t>
      </w:r>
      <w:r>
        <w:rPr>
          <w:spacing w:val="-6"/>
        </w:rPr>
        <w:t xml:space="preserve">复合调味品行业仍以传统工艺为主， </w:t>
      </w:r>
      <w:r>
        <w:rPr>
          <w:spacing w:val="-5"/>
        </w:rPr>
        <w:t>准入门槛较低，结合发展成熟的基础调味品油盐酱醋进行原料混配便可产出差异</w:t>
      </w:r>
      <w:r>
        <w:rPr>
          <w:spacing w:val="-13"/>
        </w:rPr>
        <w:t>化的复合调味品。</w:t>
      </w:r>
      <w:r>
        <w:rPr>
          <w:spacing w:val="-3"/>
          <w:u w:val="single"/>
        </w:rPr>
        <w:t>从产品属性来看</w:t>
      </w:r>
      <w:r>
        <w:rPr>
          <w:spacing w:val="-12"/>
        </w:rPr>
        <w:t xml:space="preserve">，复合调味品通常针对某一特定菜式研发生产， </w:t>
      </w:r>
      <w:r>
        <w:rPr>
          <w:spacing w:val="-13"/>
        </w:rPr>
        <w:t xml:space="preserve">产品 </w:t>
      </w:r>
      <w:r>
        <w:rPr>
          <w:rFonts w:ascii="Times New Roman" w:eastAsia="Times New Roman"/>
        </w:rPr>
        <w:t xml:space="preserve">SKU </w:t>
      </w:r>
      <w:r>
        <w:rPr>
          <w:spacing w:val="-11"/>
        </w:rPr>
        <w:t>相对较多，差异化使得复调企业议价能力高，利润可观。由于进入壁垒</w:t>
      </w:r>
      <w:r>
        <w:rPr>
          <w:spacing w:val="-7"/>
        </w:rPr>
        <w:t>低、利润大，吸引众多腰尾部企业进入者，且多专注细分品类。对比酱油</w:t>
      </w:r>
      <w:r>
        <w:rPr>
          <w:rFonts w:ascii="Times New Roman" w:eastAsia="Times New Roman"/>
        </w:rPr>
        <w:t>/</w:t>
      </w:r>
      <w:r>
        <w:rPr>
          <w:spacing w:val="-6"/>
        </w:rPr>
        <w:t>醋渗透</w:t>
      </w:r>
      <w:r>
        <w:rPr>
          <w:spacing w:val="1"/>
        </w:rPr>
        <w:t xml:space="preserve">率接近 </w:t>
      </w:r>
      <w:r>
        <w:rPr>
          <w:rFonts w:ascii="Times New Roman" w:eastAsia="Times New Roman"/>
        </w:rPr>
        <w:t>100%</w:t>
      </w:r>
      <w:r>
        <w:rPr>
          <w:spacing w:val="-3"/>
        </w:rPr>
        <w:t xml:space="preserve">，我国复调渗透率仅约 </w:t>
      </w:r>
      <w:r>
        <w:rPr>
          <w:rFonts w:ascii="Times New Roman" w:eastAsia="Times New Roman"/>
        </w:rPr>
        <w:t>26%</w:t>
      </w:r>
      <w:r>
        <w:rPr>
          <w:spacing w:val="-6"/>
        </w:rPr>
        <w:t>，较低的渗透率决定了复调行业格局呈</w:t>
      </w:r>
      <w:r>
        <w:rPr>
          <w:spacing w:val="1"/>
        </w:rPr>
        <w:t xml:space="preserve">金字塔型，收入规模 </w:t>
      </w:r>
      <w:r>
        <w:rPr>
          <w:rFonts w:ascii="Times New Roman" w:eastAsia="Times New Roman"/>
          <w:spacing w:val="-3"/>
        </w:rPr>
        <w:t xml:space="preserve">10 </w:t>
      </w:r>
      <w:r>
        <w:rPr>
          <w:spacing w:val="-4"/>
        </w:rPr>
        <w:t>亿以上的企业大部分已经从优势品类过渡到全品类、多</w:t>
      </w:r>
    </w:p>
    <w:p>
      <w:pPr>
        <w:pStyle w:val="BodyText"/>
        <w:spacing w:line="326" w:lineRule="auto"/>
        <w:ind w:left="2964" w:right="1122"/>
        <w:jc w:val="both"/>
      </w:pPr>
      <w:r>
        <w:rPr>
          <w:spacing w:val="-11"/>
        </w:rPr>
        <w:t xml:space="preserve">元化布局阶段，但较为稀缺。目前收入 </w:t>
      </w:r>
      <w:r>
        <w:rPr>
          <w:rFonts w:ascii="Times New Roman" w:eastAsia="Times New Roman"/>
        </w:rPr>
        <w:t xml:space="preserve">1-10 </w:t>
      </w:r>
      <w:r>
        <w:rPr>
          <w:spacing w:val="-10"/>
        </w:rPr>
        <w:t xml:space="preserve">亿的腰部企业较为常见，收入 </w:t>
      </w:r>
      <w:r>
        <w:rPr>
          <w:rFonts w:ascii="Times New Roman" w:eastAsia="Times New Roman"/>
        </w:rPr>
        <w:t xml:space="preserve">1 </w:t>
      </w:r>
      <w:r>
        <w:rPr>
          <w:spacing w:val="-7"/>
        </w:rPr>
        <w:t>亿以</w:t>
      </w:r>
      <w:r>
        <w:rPr>
          <w:spacing w:val="-5"/>
        </w:rPr>
        <w:t>下则以初创的新消费品牌为主，味型单一，受众聚焦，且品牌的淘汰率高。</w:t>
      </w:r>
    </w:p>
    <w:p>
      <w:pPr>
        <w:pStyle w:val="BodyText"/>
        <w:spacing w:before="152" w:line="328" w:lineRule="auto"/>
        <w:ind w:left="2964" w:right="1117"/>
        <w:jc w:val="both"/>
      </w:pPr>
      <w:r>
        <w:rPr>
          <w:b/>
          <w:spacing w:val="-2"/>
        </w:rPr>
        <w:t>我国复调行业集中度逐年提升，竞争格局逐步优化。</w:t>
      </w:r>
      <w:r>
        <w:rPr>
          <w:spacing w:val="-3"/>
        </w:rPr>
        <w:t>我国复合调味品行业集中度</w:t>
      </w:r>
      <w:r>
        <w:rPr>
          <w:spacing w:val="-2"/>
        </w:rPr>
        <w:t>在逐步提升，</w:t>
      </w:r>
      <w:r>
        <w:rPr>
          <w:rFonts w:ascii="Times New Roman" w:eastAsia="Times New Roman" w:hAnsi="Times New Roman"/>
          <w:spacing w:val="-5"/>
        </w:rPr>
        <w:t xml:space="preserve">CR3 </w:t>
      </w:r>
      <w:r>
        <w:rPr>
          <w:spacing w:val="-25"/>
        </w:rPr>
        <w:t xml:space="preserve">由 </w:t>
      </w:r>
      <w:r>
        <w:rPr>
          <w:rFonts w:ascii="Times New Roman" w:eastAsia="Times New Roman" w:hAnsi="Times New Roman"/>
        </w:rPr>
        <w:t xml:space="preserve">2015 </w:t>
      </w:r>
      <w:r>
        <w:rPr>
          <w:spacing w:val="-17"/>
        </w:rPr>
        <w:t xml:space="preserve">年的 </w:t>
      </w:r>
      <w:r>
        <w:rPr>
          <w:rFonts w:ascii="Times New Roman" w:eastAsia="Times New Roman" w:hAnsi="Times New Roman"/>
        </w:rPr>
        <w:t>7.31%</w:t>
      </w:r>
      <w:r>
        <w:rPr>
          <w:spacing w:val="-13"/>
        </w:rPr>
        <w:t xml:space="preserve">提升至 </w:t>
      </w:r>
      <w:r>
        <w:rPr>
          <w:rFonts w:ascii="Times New Roman" w:eastAsia="Times New Roman" w:hAnsi="Times New Roman"/>
        </w:rPr>
        <w:t xml:space="preserve">2020 </w:t>
      </w:r>
      <w:r>
        <w:rPr>
          <w:spacing w:val="-19"/>
        </w:rPr>
        <w:t xml:space="preserve">年的 </w:t>
      </w:r>
      <w:r>
        <w:rPr>
          <w:rFonts w:ascii="Times New Roman" w:eastAsia="Times New Roman" w:hAnsi="Times New Roman"/>
          <w:spacing w:val="-3"/>
        </w:rPr>
        <w:t>13.02%</w:t>
      </w:r>
      <w:r>
        <w:rPr>
          <w:spacing w:val="-4"/>
        </w:rPr>
        <w:t>，其中颐海国际市</w:t>
      </w:r>
      <w:r>
        <w:rPr>
          <w:spacing w:val="-17"/>
        </w:rPr>
        <w:t xml:space="preserve">占率 </w:t>
      </w:r>
      <w:r>
        <w:rPr>
          <w:rFonts w:ascii="Times New Roman" w:eastAsia="Times New Roman" w:hAnsi="Times New Roman"/>
        </w:rPr>
        <w:t>8.20%</w:t>
      </w:r>
      <w:r>
        <w:rPr>
          <w:spacing w:val="-7"/>
        </w:rPr>
        <w:t xml:space="preserve">高居榜首，天味食品和红九九市占率分别为 </w:t>
      </w:r>
      <w:r>
        <w:rPr>
          <w:rFonts w:ascii="Times New Roman" w:eastAsia="Times New Roman" w:hAnsi="Times New Roman"/>
        </w:rPr>
        <w:t>3.62%</w:t>
      </w:r>
      <w:r>
        <w:rPr>
          <w:spacing w:val="-10"/>
        </w:rPr>
        <w:t>、</w:t>
      </w:r>
      <w:r>
        <w:rPr>
          <w:rFonts w:ascii="Times New Roman" w:eastAsia="Times New Roman" w:hAnsi="Times New Roman"/>
        </w:rPr>
        <w:t>1.20%</w:t>
      </w:r>
      <w:r>
        <w:rPr>
          <w:spacing w:val="-7"/>
        </w:rPr>
        <w:t>。基于整个</w:t>
      </w:r>
      <w:r>
        <w:rPr>
          <w:spacing w:val="-4"/>
        </w:rPr>
        <w:t>复合调味品市场仍呈现“小产品，大市场”的特点，行业处于竞争发展阶段，随</w:t>
      </w:r>
      <w:r>
        <w:rPr>
          <w:spacing w:val="-5"/>
        </w:rPr>
        <w:t>着迈入调整期后，中小企业阶段性出清，龙头企业在自我修复过程中逐渐占据更高的市场份额。因此，参考日本复合调味品行业的发展历程以及集中度变化的过程，我们认为我国复调行业的竞争格局正逐步优化。</w:t>
      </w:r>
    </w:p>
    <w:p>
      <w:pPr>
        <w:spacing w:after="0" w:line="328" w:lineRule="auto"/>
        <w:jc w:val="both"/>
        <w:sectPr>
          <w:headerReference w:type="default" r:id="rId68"/>
          <w:footerReference w:type="default" r:id="rId69"/>
          <w:pgSz w:w="11910" w:h="16840"/>
          <w:pgMar w:top="1700" w:right="0" w:bottom="1500" w:left="440" w:header="708" w:footer="708"/>
          <w:pgNumType w:start="22"/>
          <w:cols w:space="708"/>
        </w:sectPr>
      </w:pPr>
    </w:p>
    <w:p>
      <w:pPr>
        <w:pStyle w:val="BodyText"/>
        <w:tabs>
          <w:tab w:val="left" w:pos="10335"/>
        </w:tabs>
        <w:spacing w:before="161"/>
        <w:ind w:left="2964"/>
      </w:pPr>
      <w:r>
        <w:rPr>
          <w:color w:val="FFFFFF"/>
          <w:shd w:val="clear" w:color="auto" w:fill="9C4A45"/>
        </w:rPr>
        <w:t>图</w:t>
      </w:r>
      <w:r>
        <w:rPr>
          <w:rFonts w:ascii="Times New Roman" w:eastAsia="Times New Roman"/>
          <w:color w:val="FFFFFF"/>
          <w:shd w:val="clear" w:color="auto" w:fill="9C4A45"/>
        </w:rPr>
        <w:t>18.2020</w:t>
      </w:r>
      <w:r>
        <w:rPr>
          <w:rFonts w:ascii="Times New Roman" w:eastAsia="Times New Roman"/>
          <w:color w:val="FFFFFF"/>
          <w:spacing w:val="19"/>
          <w:shd w:val="clear" w:color="auto" w:fill="9C4A45"/>
        </w:rPr>
        <w:t xml:space="preserve"> </w:t>
      </w:r>
      <w:r>
        <w:rPr>
          <w:color w:val="FFFFFF"/>
          <w:shd w:val="clear" w:color="auto" w:fill="9C4A45"/>
        </w:rPr>
        <w:t>年中</w:t>
      </w:r>
      <w:r>
        <w:rPr>
          <w:color w:val="FFFFFF"/>
          <w:spacing w:val="-5"/>
          <w:shd w:val="clear" w:color="auto" w:fill="9C4A45"/>
        </w:rPr>
        <w:t>国</w:t>
      </w:r>
      <w:r>
        <w:rPr>
          <w:color w:val="FFFFFF"/>
          <w:shd w:val="clear" w:color="auto" w:fill="9C4A45"/>
        </w:rPr>
        <w:t>复合调</w:t>
      </w:r>
      <w:r>
        <w:rPr>
          <w:color w:val="FFFFFF"/>
          <w:spacing w:val="-5"/>
          <w:shd w:val="clear" w:color="auto" w:fill="9C4A45"/>
        </w:rPr>
        <w:t>味</w:t>
      </w:r>
      <w:r>
        <w:rPr>
          <w:color w:val="FFFFFF"/>
          <w:shd w:val="clear" w:color="auto" w:fill="9C4A45"/>
        </w:rPr>
        <w:t>行业主</w:t>
      </w:r>
      <w:r>
        <w:rPr>
          <w:color w:val="FFFFFF"/>
          <w:spacing w:val="-5"/>
          <w:shd w:val="clear" w:color="auto" w:fill="9C4A45"/>
        </w:rPr>
        <w:t>要</w:t>
      </w:r>
      <w:r>
        <w:rPr>
          <w:color w:val="FFFFFF"/>
          <w:shd w:val="clear" w:color="auto" w:fill="9C4A45"/>
        </w:rPr>
        <w:t>企业市</w:t>
      </w:r>
      <w:r>
        <w:rPr>
          <w:color w:val="FFFFFF"/>
          <w:spacing w:val="-5"/>
          <w:shd w:val="clear" w:color="auto" w:fill="9C4A45"/>
        </w:rPr>
        <w:t>占</w:t>
      </w:r>
      <w:r>
        <w:rPr>
          <w:color w:val="FFFFFF"/>
          <w:shd w:val="clear" w:color="auto" w:fill="9C4A45"/>
        </w:rPr>
        <w:t>率</w:t>
        <w:tab/>
      </w:r>
    </w:p>
    <w:p>
      <w:pPr>
        <w:spacing w:after="0"/>
        <w:sectPr>
          <w:headerReference w:type="default" r:id="rId70"/>
          <w:footerReference w:type="default" r:id="rId71"/>
          <w:pgSz w:w="11910" w:h="16840"/>
          <w:pgMar w:top="1700" w:right="0" w:bottom="1500" w:left="440" w:header="708" w:footer="708"/>
          <w:pgNumType w:start="23"/>
          <w:cols w:space="708"/>
        </w:sectPr>
      </w:pPr>
    </w:p>
    <w:p>
      <w:pPr>
        <w:spacing w:before="81" w:line="204" w:lineRule="exact"/>
        <w:ind w:left="5586" w:right="0" w:firstLine="0"/>
        <w:jc w:val="center"/>
        <w:rPr>
          <w:b/>
          <w:sz w:val="16"/>
        </w:rPr>
      </w:pPr>
      <w:r>
        <w:pict>
          <v:group id="_x0000_s1374" style="width:98.7pt;height:99.75pt;margin-top:11.55pt;margin-left:308.05pt;mso-position-horizontal-relative:page;position:absolute;z-index:-251606016" coordorigin="6161,231" coordsize="1974,1995">
            <v:shape id="_x0000_s1375" style="width:454;height:921;left:7081;position:absolute;top:385" coordorigin="7081,385" coordsize="454,921" path="m7081,385l7081,1306,7535,505,7464,469,7391,439,7316,415,7239,399,7160,389,7081,385xe" filled="t" fillcolor="#8b3734" stroked="f">
              <v:fill type="solid"/>
              <v:path arrowok="t"/>
            </v:shape>
            <v:shape id="_x0000_s1376" style="width:623;height:801;left:7081;position:absolute;top:504" coordorigin="7081,505" coordsize="623,801" path="m7535,505l7081,1306,7704,628,7664,593,7623,561,7579,532,7535,505xe" filled="t" fillcolor="#ca9221" stroked="f">
              <v:fill type="solid"/>
              <v:path arrowok="t"/>
            </v:shape>
            <v:shape id="_x0000_s1377" style="width:672;height:678;left:7081;position:absolute;top:627" coordorigin="7081,628" coordsize="672,678" path="m7704,628l7081,1306,7753,676,7741,664,7729,651,7716,639,7704,628xe" filled="t" fillcolor="#8385a9" stroked="f">
              <v:fill type="solid"/>
              <v:path arrowok="t"/>
            </v:shape>
            <v:shape id="_x0000_s1378" style="width:1841;height:1841;left:6160;position:absolute;top:385" coordorigin="6161,385" coordsize="1841,1841" path="m7081,385l7003,388,6927,398,6852,414,6778,436,6707,464,6639,498,6573,538,6510,583,6452,634,6399,688,6351,745,6308,805,6271,867,6240,932,6213,998,6192,1066,6176,1135,6166,1205,6161,1276,6161,1346,6167,1417,6178,1487,6195,1556,6217,1624,6245,1691,6277,1755,6316,1818,6360,1878,6409,1935,6463,1988,6520,2036,6580,2078,6642,2115,6707,2147,6773,2174,6841,2195,6910,2210,6980,2221,7051,2226,7122,2225,7192,2220,7262,2208,7331,2192,7399,2170,7466,2142,7531,2109,7593,2071,7653,2027,7710,1978,7763,1924,7811,1867,7854,1807,7891,1744,7922,1680,7949,1613,7970,1545,7986,1476,7996,1406,8001,1336,8001,1306,7081,1306,7081,385xm7753,676l7081,1306,8001,1306,8001,1265,7995,1195,7984,1125,7967,1055,7945,987,7917,921,7885,856,7846,794,7802,734,7753,676xe" filled="t" fillcolor="#bbcad2" stroked="f">
              <v:fill type="solid"/>
              <v:path arrowok="t"/>
            </v:shape>
            <v:shape id="_x0000_s1379" style="width:1428;height:645;left:6698;position:absolute;top:238" coordorigin="6699,239" coordsize="1428,645" path="m7316,415l6787,239,6699,239m7623,561l7656,527,7745,527m7729,651l8035,884,8127,884e" filled="f" stroked="t" strokecolor="#a6a6a6" strokeweight="0.75pt">
              <v:stroke dashstyle="solid"/>
              <v:path arrowok="t"/>
            </v:shape>
          </v:group>
        </w:pict>
      </w:r>
      <w:r>
        <w:rPr>
          <w:b/>
          <w:w w:val="95"/>
          <w:sz w:val="16"/>
        </w:rPr>
        <w:t>颐海国际</w:t>
      </w:r>
    </w:p>
    <w:p>
      <w:pPr>
        <w:spacing w:before="0" w:line="183" w:lineRule="exact"/>
        <w:ind w:left="5589" w:right="0" w:firstLine="0"/>
        <w:jc w:val="center"/>
        <w:rPr>
          <w:rFonts w:ascii="Times New Roman"/>
          <w:b/>
          <w:sz w:val="16"/>
        </w:rPr>
      </w:pPr>
      <w:r>
        <w:rPr>
          <w:rFonts w:ascii="Times New Roman"/>
          <w:b/>
          <w:sz w:val="16"/>
        </w:rPr>
        <w:t>8%</w:t>
      </w:r>
    </w:p>
    <w:p>
      <w:pPr>
        <w:pStyle w:val="BodyText"/>
        <w:rPr>
          <w:rFonts w:ascii="Times New Roman"/>
          <w:b/>
          <w:sz w:val="14"/>
        </w:rPr>
      </w:pPr>
      <w:r>
        <w:br w:type="column"/>
      </w:r>
    </w:p>
    <w:p>
      <w:pPr>
        <w:spacing w:before="1" w:line="204" w:lineRule="exact"/>
        <w:ind w:left="426" w:right="3245" w:firstLine="0"/>
        <w:jc w:val="center"/>
        <w:rPr>
          <w:b/>
          <w:sz w:val="16"/>
        </w:rPr>
      </w:pPr>
      <w:r>
        <w:rPr>
          <w:b/>
          <w:sz w:val="16"/>
        </w:rPr>
        <w:t>天味食品</w:t>
      </w:r>
    </w:p>
    <w:p>
      <w:pPr>
        <w:spacing w:before="0" w:line="183" w:lineRule="exact"/>
        <w:ind w:left="429" w:right="3245" w:firstLine="0"/>
        <w:jc w:val="center"/>
        <w:rPr>
          <w:rFonts w:ascii="Times New Roman"/>
          <w:b/>
          <w:sz w:val="16"/>
        </w:rPr>
      </w:pPr>
      <w:r>
        <w:rPr>
          <w:rFonts w:ascii="Times New Roman"/>
          <w:b/>
          <w:sz w:val="16"/>
        </w:rPr>
        <w:t>4%</w:t>
      </w:r>
    </w:p>
    <w:p>
      <w:pPr>
        <w:pStyle w:val="BodyText"/>
        <w:spacing w:before="5"/>
        <w:rPr>
          <w:rFonts w:ascii="Times New Roman"/>
          <w:b/>
          <w:sz w:val="15"/>
        </w:rPr>
      </w:pPr>
    </w:p>
    <w:p>
      <w:pPr>
        <w:spacing w:before="0" w:line="204" w:lineRule="exact"/>
        <w:ind w:left="849" w:right="2662" w:firstLine="0"/>
        <w:jc w:val="center"/>
        <w:rPr>
          <w:b/>
          <w:sz w:val="16"/>
        </w:rPr>
      </w:pPr>
      <w:r>
        <w:rPr>
          <w:b/>
          <w:sz w:val="16"/>
        </w:rPr>
        <w:t>红九九</w:t>
      </w:r>
    </w:p>
    <w:p>
      <w:pPr>
        <w:spacing w:before="0" w:line="183" w:lineRule="exact"/>
        <w:ind w:left="849" w:right="2660" w:firstLine="0"/>
        <w:jc w:val="center"/>
        <w:rPr>
          <w:rFonts w:ascii="Times New Roman"/>
          <w:b/>
          <w:sz w:val="16"/>
        </w:rPr>
      </w:pPr>
      <w:r>
        <w:rPr>
          <w:rFonts w:ascii="Times New Roman"/>
          <w:b/>
          <w:sz w:val="16"/>
        </w:rPr>
        <w:t>1%</w:t>
      </w:r>
    </w:p>
    <w:p>
      <w:pPr>
        <w:spacing w:after="0" w:line="183" w:lineRule="exact"/>
        <w:jc w:val="center"/>
        <w:rPr>
          <w:rFonts w:ascii="Times New Roman"/>
          <w:sz w:val="16"/>
        </w:rPr>
        <w:sectPr>
          <w:headerReference w:type="default" r:id="rId72"/>
          <w:footerReference w:type="default" r:id="rId73"/>
          <w:type w:val="continuous"/>
          <w:pgSz w:w="11910" w:h="16840"/>
          <w:pgMar w:top="1700" w:right="0" w:bottom="1500" w:left="440" w:header="708" w:footer="708"/>
          <w:pgNumType w:start="24"/>
          <w:cols w:num="2" w:space="708" w:equalWidth="0">
            <w:col w:w="6230" w:space="40"/>
            <w:col w:w="5200" w:space="0"/>
          </w:cols>
        </w:sectPr>
      </w:pPr>
    </w:p>
    <w:p>
      <w:pPr>
        <w:pStyle w:val="BodyText"/>
        <w:spacing w:before="1"/>
        <w:rPr>
          <w:rFonts w:ascii="Times New Roman"/>
          <w:b/>
          <w:sz w:val="14"/>
        </w:rPr>
      </w:pPr>
    </w:p>
    <w:p>
      <w:pPr>
        <w:spacing w:before="76" w:line="204" w:lineRule="exact"/>
        <w:ind w:left="2943" w:right="1728" w:firstLine="0"/>
        <w:jc w:val="center"/>
        <w:rPr>
          <w:b/>
          <w:sz w:val="16"/>
        </w:rPr>
      </w:pPr>
      <w:r>
        <w:rPr>
          <w:b/>
          <w:spacing w:val="4"/>
          <w:w w:val="95"/>
          <w:sz w:val="16"/>
        </w:rPr>
        <w:t>其他</w:t>
      </w:r>
    </w:p>
    <w:p>
      <w:pPr>
        <w:spacing w:before="0" w:line="183" w:lineRule="exact"/>
        <w:ind w:left="2943" w:right="1740" w:firstLine="0"/>
        <w:jc w:val="center"/>
        <w:rPr>
          <w:rFonts w:ascii="Times New Roman"/>
          <w:b/>
          <w:sz w:val="16"/>
        </w:rPr>
      </w:pPr>
      <w:r>
        <w:rPr>
          <w:rFonts w:ascii="Times New Roman"/>
          <w:b/>
          <w:spacing w:val="2"/>
          <w:sz w:val="16"/>
        </w:rPr>
        <w:t>87%</w:t>
      </w: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spacing w:before="9"/>
        <w:rPr>
          <w:rFonts w:ascii="Times New Roman"/>
          <w:b/>
          <w:sz w:val="13"/>
        </w:rPr>
      </w:pPr>
      <w:r>
        <w:pict>
          <v:shape id="_x0000_s1380" style="width:368.8pt;height:0.1pt;margin-top:10.17pt;margin-left:170.23pt;mso-position-horizontal-relative:page;mso-wrap-distance-left:0;mso-wrap-distance-right:0;position:absolute;z-index:-251601920" coordorigin="3405,203" coordsize="7376,0" path="m3405,203l10780,203e" filled="f" stroked="t" strokecolor="#9c4a45" strokeweight="0.48pt">
            <v:stroke dashstyle="solid"/>
            <v:path arrowok="t"/>
            <w10:wrap type="topAndBottom"/>
          </v:shape>
        </w:pict>
      </w:r>
    </w:p>
    <w:p>
      <w:pPr>
        <w:spacing w:before="41"/>
        <w:ind w:left="2964" w:right="0" w:firstLine="0"/>
        <w:jc w:val="left"/>
        <w:rPr>
          <w:sz w:val="15"/>
        </w:rPr>
      </w:pPr>
      <w:r>
        <w:t xml:space="preserve">数据来源：华经产业研究院， </w:t>
      </w:r>
    </w:p>
    <w:p>
      <w:pPr>
        <w:pStyle w:val="BodyText"/>
        <w:spacing w:before="7"/>
        <w:rPr>
          <w:sz w:val="12"/>
        </w:rPr>
      </w:pPr>
    </w:p>
    <w:p>
      <w:pPr>
        <w:pStyle w:val="BodyText"/>
        <w:spacing w:before="72" w:line="328" w:lineRule="auto"/>
        <w:ind w:left="2964" w:right="1122"/>
        <w:jc w:val="both"/>
      </w:pPr>
      <w:r>
        <w:rPr>
          <w:b/>
          <w:spacing w:val="-5"/>
        </w:rPr>
        <w:t>细分赛道来看，火锅底料市场龙头竞争优势明显，中式复合调味料市场格局相对</w:t>
      </w:r>
      <w:r>
        <w:rPr>
          <w:b/>
          <w:spacing w:val="-9"/>
        </w:rPr>
        <w:t>分散，有待优化。</w:t>
      </w:r>
      <w:r>
        <w:rPr>
          <w:spacing w:val="-6"/>
        </w:rPr>
        <w:t>火锅底料市场方面，根据华经产业研究院数据，</w:t>
      </w:r>
      <w:r>
        <w:rPr>
          <w:rFonts w:ascii="Times New Roman" w:eastAsia="Times New Roman" w:hAnsi="Times New Roman"/>
          <w:spacing w:val="-4"/>
        </w:rPr>
        <w:t xml:space="preserve">2015-2019 </w:t>
      </w:r>
      <w:r>
        <w:rPr>
          <w:spacing w:val="-6"/>
        </w:rPr>
        <w:t xml:space="preserve">年， 颐海国际作为行业龙头，逐步提升市占率从 </w:t>
      </w:r>
      <w:r>
        <w:rPr>
          <w:rFonts w:ascii="Times New Roman" w:eastAsia="Times New Roman" w:hAnsi="Times New Roman"/>
        </w:rPr>
        <w:t>7.9%</w:t>
      </w:r>
      <w:r>
        <w:rPr>
          <w:spacing w:val="-18"/>
        </w:rPr>
        <w:t xml:space="preserve">至 </w:t>
      </w:r>
      <w:r>
        <w:rPr>
          <w:rFonts w:ascii="Times New Roman" w:eastAsia="Times New Roman" w:hAnsi="Times New Roman"/>
          <w:spacing w:val="-3"/>
        </w:rPr>
        <w:t>16.2%</w:t>
      </w:r>
      <w:r>
        <w:rPr>
          <w:spacing w:val="-5"/>
        </w:rPr>
        <w:t>，推动火锅底料行业集</w:t>
      </w:r>
      <w:r>
        <w:rPr>
          <w:spacing w:val="-4"/>
        </w:rPr>
        <w:t>中度逐渐提升，</w:t>
      </w:r>
      <w:r>
        <w:rPr>
          <w:rFonts w:ascii="Times New Roman" w:eastAsia="Times New Roman" w:hAnsi="Times New Roman"/>
          <w:spacing w:val="-16"/>
        </w:rPr>
        <w:t xml:space="preserve">CR3 </w:t>
      </w:r>
      <w:r>
        <w:rPr>
          <w:spacing w:val="-24"/>
        </w:rPr>
        <w:t xml:space="preserve">从 </w:t>
      </w:r>
      <w:r>
        <w:rPr>
          <w:rFonts w:ascii="Times New Roman" w:eastAsia="Times New Roman" w:hAnsi="Times New Roman"/>
        </w:rPr>
        <w:t xml:space="preserve">2015 </w:t>
      </w:r>
      <w:r>
        <w:rPr>
          <w:spacing w:val="-16"/>
        </w:rPr>
        <w:t xml:space="preserve">年的 </w:t>
      </w:r>
      <w:r>
        <w:rPr>
          <w:rFonts w:ascii="Times New Roman" w:eastAsia="Times New Roman" w:hAnsi="Times New Roman"/>
        </w:rPr>
        <w:t>24.10%</w:t>
      </w:r>
      <w:r>
        <w:rPr>
          <w:spacing w:val="-18"/>
        </w:rPr>
        <w:t xml:space="preserve">增至 </w:t>
      </w:r>
      <w:r>
        <w:rPr>
          <w:rFonts w:ascii="Times New Roman" w:eastAsia="Times New Roman" w:hAnsi="Times New Roman"/>
        </w:rPr>
        <w:t xml:space="preserve">2019 </w:t>
      </w:r>
      <w:r>
        <w:rPr>
          <w:spacing w:val="-18"/>
        </w:rPr>
        <w:t xml:space="preserve">年的 </w:t>
      </w:r>
      <w:r>
        <w:rPr>
          <w:rFonts w:ascii="Times New Roman" w:eastAsia="Times New Roman" w:hAnsi="Times New Roman"/>
          <w:spacing w:val="-9"/>
        </w:rPr>
        <w:t>29.10%</w:t>
      </w:r>
      <w:r>
        <w:rPr>
          <w:spacing w:val="-5"/>
        </w:rPr>
        <w:t>，呈现</w:t>
      </w:r>
      <w:r>
        <w:rPr>
          <w:rFonts w:ascii="Times New Roman" w:eastAsia="Times New Roman" w:hAnsi="Times New Roman"/>
        </w:rPr>
        <w:t>“</w:t>
      </w:r>
      <w:r>
        <w:rPr>
          <w:spacing w:val="-2"/>
        </w:rPr>
        <w:t>一超多强</w:t>
      </w:r>
      <w:r>
        <w:rPr>
          <w:rFonts w:ascii="Times New Roman" w:eastAsia="Times New Roman" w:hAnsi="Times New Roman"/>
        </w:rPr>
        <w:t xml:space="preserve">” </w:t>
      </w:r>
      <w:r>
        <w:rPr>
          <w:spacing w:val="-5"/>
        </w:rPr>
        <w:t xml:space="preserve">格局态势。中式复合调味品市场是近 </w:t>
      </w:r>
      <w:r>
        <w:rPr>
          <w:rFonts w:ascii="Times New Roman" w:eastAsia="Times New Roman" w:hAnsi="Times New Roman"/>
        </w:rPr>
        <w:t xml:space="preserve">5 </w:t>
      </w:r>
      <w:r>
        <w:rPr>
          <w:spacing w:val="-6"/>
        </w:rPr>
        <w:t>年增速最快的细分市场，但市场集中度明</w:t>
      </w:r>
      <w:r>
        <w:rPr>
          <w:spacing w:val="-3"/>
        </w:rPr>
        <w:t>显低于其他细分市场，</w:t>
      </w:r>
      <w:r>
        <w:rPr>
          <w:rFonts w:ascii="Times New Roman" w:eastAsia="Times New Roman" w:hAnsi="Times New Roman"/>
          <w:spacing w:val="-12"/>
        </w:rPr>
        <w:t xml:space="preserve">2022 </w:t>
      </w:r>
      <w:r>
        <w:rPr>
          <w:spacing w:val="-23"/>
        </w:rPr>
        <w:t xml:space="preserve">年 </w:t>
      </w:r>
      <w:r>
        <w:rPr>
          <w:rFonts w:ascii="Times New Roman" w:eastAsia="Times New Roman" w:hAnsi="Times New Roman"/>
        </w:rPr>
        <w:t xml:space="preserve">CR3 </w:t>
      </w:r>
      <w:r>
        <w:rPr>
          <w:spacing w:val="-11"/>
        </w:rPr>
        <w:t xml:space="preserve">占比不到 </w:t>
      </w:r>
      <w:r>
        <w:rPr>
          <w:rFonts w:ascii="Times New Roman" w:eastAsia="Times New Roman" w:hAnsi="Times New Roman"/>
        </w:rPr>
        <w:t>10%</w:t>
      </w:r>
      <w:r>
        <w:rPr>
          <w:spacing w:val="-62"/>
        </w:rPr>
        <w:t>。</w:t>
      </w:r>
      <w:r>
        <w:rPr>
          <w:rFonts w:ascii="Times New Roman" w:eastAsia="Times New Roman" w:hAnsi="Times New Roman"/>
        </w:rPr>
        <w:t xml:space="preserve">2019 </w:t>
      </w:r>
      <w:r>
        <w:rPr>
          <w:spacing w:val="-10"/>
        </w:rPr>
        <w:t>年天味食品、颐海国际、</w:t>
      </w:r>
      <w:r>
        <w:rPr>
          <w:spacing w:val="-6"/>
        </w:rPr>
        <w:t xml:space="preserve">日辰股份三家企业仅占 </w:t>
      </w:r>
      <w:r>
        <w:rPr>
          <w:rFonts w:ascii="Times New Roman" w:eastAsia="Times New Roman" w:hAnsi="Times New Roman"/>
          <w:spacing w:val="-8"/>
        </w:rPr>
        <w:t>7.9%</w:t>
      </w:r>
      <w:r>
        <w:rPr>
          <w:spacing w:val="-11"/>
        </w:rPr>
        <w:t xml:space="preserve">，而剩余 </w:t>
      </w:r>
      <w:r>
        <w:rPr>
          <w:rFonts w:ascii="Times New Roman" w:eastAsia="Times New Roman" w:hAnsi="Times New Roman"/>
        </w:rPr>
        <w:t>92%</w:t>
      </w:r>
      <w:r>
        <w:rPr>
          <w:spacing w:val="-9"/>
        </w:rPr>
        <w:t>的企业仍处于亿元以内的长尾之中。因</w:t>
      </w:r>
      <w:r>
        <w:rPr>
          <w:spacing w:val="-5"/>
        </w:rPr>
        <w:t>此我们认为行业中暂未出现强势龙头，整体较为分散，发展仍处于萌芽期。</w:t>
      </w:r>
    </w:p>
    <w:p>
      <w:pPr>
        <w:pStyle w:val="BodyText"/>
        <w:spacing w:before="9"/>
        <w:rPr>
          <w:sz w:val="22"/>
        </w:rPr>
      </w:pPr>
    </w:p>
    <w:p>
      <w:pPr>
        <w:pStyle w:val="BodyText"/>
        <w:tabs>
          <w:tab w:val="left" w:pos="5096"/>
          <w:tab w:val="left" w:pos="5336"/>
          <w:tab w:val="left" w:pos="10321"/>
        </w:tabs>
        <w:spacing w:before="78"/>
        <w:ind w:left="112"/>
      </w:pPr>
      <w:r>
        <w:rPr>
          <w:color w:val="FFFFFF"/>
          <w:shd w:val="clear" w:color="auto" w:fill="9C4A45"/>
        </w:rPr>
        <w:t>图</w:t>
      </w:r>
      <w:r>
        <w:rPr>
          <w:rFonts w:ascii="Times New Roman" w:eastAsia="Times New Roman"/>
          <w:color w:val="FFFFFF"/>
          <w:shd w:val="clear" w:color="auto" w:fill="9C4A45"/>
        </w:rPr>
        <w:t>19.</w:t>
      </w:r>
      <w:r>
        <w:rPr>
          <w:color w:val="FFFFFF"/>
          <w:shd w:val="clear" w:color="auto" w:fill="9C4A45"/>
        </w:rPr>
        <w:t>中式复合</w:t>
      </w:r>
      <w:r>
        <w:rPr>
          <w:color w:val="FFFFFF"/>
          <w:spacing w:val="-5"/>
          <w:shd w:val="clear" w:color="auto" w:fill="9C4A45"/>
        </w:rPr>
        <w:t>调</w:t>
      </w:r>
      <w:r>
        <w:rPr>
          <w:color w:val="FFFFFF"/>
          <w:shd w:val="clear" w:color="auto" w:fill="9C4A45"/>
        </w:rPr>
        <w:t>味品市</w:t>
      </w:r>
      <w:r>
        <w:rPr>
          <w:color w:val="FFFFFF"/>
          <w:spacing w:val="-5"/>
          <w:shd w:val="clear" w:color="auto" w:fill="9C4A45"/>
        </w:rPr>
        <w:t>场</w:t>
      </w:r>
      <w:r>
        <w:rPr>
          <w:color w:val="FFFFFF"/>
          <w:shd w:val="clear" w:color="auto" w:fill="9C4A45"/>
        </w:rPr>
        <w:t>集中度</w:t>
      </w:r>
      <w:r>
        <w:rPr>
          <w:color w:val="FFFFFF"/>
          <w:spacing w:val="-5"/>
          <w:shd w:val="clear" w:color="auto" w:fill="9C4A45"/>
        </w:rPr>
        <w:t>最</w:t>
      </w:r>
      <w:r>
        <w:rPr>
          <w:color w:val="FFFFFF"/>
          <w:shd w:val="clear" w:color="auto" w:fill="9C4A45"/>
        </w:rPr>
        <w:t>低</w:t>
        <w:tab/>
      </w:r>
      <w:r>
        <w:rPr>
          <w:color w:val="FFFFFF"/>
        </w:rPr>
        <w:tab/>
      </w:r>
      <w:r>
        <w:rPr>
          <w:color w:val="FFFFFF"/>
          <w:shd w:val="clear" w:color="auto" w:fill="9C4A45"/>
        </w:rPr>
        <w:t>图</w:t>
      </w:r>
      <w:r>
        <w:rPr>
          <w:rFonts w:ascii="Times New Roman" w:eastAsia="Times New Roman"/>
          <w:color w:val="FFFFFF"/>
          <w:shd w:val="clear" w:color="auto" w:fill="9C4A45"/>
        </w:rPr>
        <w:t>20.2019</w:t>
      </w:r>
      <w:r>
        <w:rPr>
          <w:rFonts w:ascii="Times New Roman" w:eastAsia="Times New Roman"/>
          <w:color w:val="FFFFFF"/>
          <w:spacing w:val="14"/>
          <w:shd w:val="clear" w:color="auto" w:fill="9C4A45"/>
        </w:rPr>
        <w:t xml:space="preserve"> </w:t>
      </w:r>
      <w:r>
        <w:rPr>
          <w:color w:val="FFFFFF"/>
          <w:shd w:val="clear" w:color="auto" w:fill="9C4A45"/>
        </w:rPr>
        <w:t>年中</w:t>
      </w:r>
      <w:r>
        <w:rPr>
          <w:color w:val="FFFFFF"/>
          <w:spacing w:val="-5"/>
          <w:shd w:val="clear" w:color="auto" w:fill="9C4A45"/>
        </w:rPr>
        <w:t>式</w:t>
      </w:r>
      <w:r>
        <w:rPr>
          <w:color w:val="FFFFFF"/>
          <w:shd w:val="clear" w:color="auto" w:fill="9C4A45"/>
        </w:rPr>
        <w:t>复合调</w:t>
      </w:r>
      <w:r>
        <w:rPr>
          <w:color w:val="FFFFFF"/>
          <w:spacing w:val="-5"/>
          <w:shd w:val="clear" w:color="auto" w:fill="9C4A45"/>
        </w:rPr>
        <w:t>味</w:t>
      </w:r>
      <w:r>
        <w:rPr>
          <w:color w:val="FFFFFF"/>
          <w:shd w:val="clear" w:color="auto" w:fill="9C4A45"/>
        </w:rPr>
        <w:t>料市场</w:t>
      </w:r>
      <w:r>
        <w:rPr>
          <w:color w:val="FFFFFF"/>
          <w:spacing w:val="-5"/>
          <w:shd w:val="clear" w:color="auto" w:fill="9C4A45"/>
        </w:rPr>
        <w:t>格</w:t>
      </w:r>
      <w:r>
        <w:rPr>
          <w:color w:val="FFFFFF"/>
          <w:shd w:val="clear" w:color="auto" w:fill="9C4A45"/>
        </w:rPr>
        <w:t>局</w:t>
        <w:tab/>
      </w:r>
    </w:p>
    <w:p>
      <w:pPr>
        <w:pStyle w:val="BodyText"/>
        <w:spacing w:before="10"/>
        <w:rPr>
          <w:sz w:val="26"/>
        </w:rPr>
      </w:pPr>
    </w:p>
    <w:p>
      <w:pPr>
        <w:spacing w:before="83" w:line="237" w:lineRule="auto"/>
        <w:ind w:left="9314" w:right="1297" w:hanging="164"/>
        <w:jc w:val="left"/>
        <w:rPr>
          <w:rFonts w:ascii="Times New Roman" w:eastAsia="Times New Roman"/>
          <w:b/>
          <w:sz w:val="16"/>
        </w:rPr>
      </w:pPr>
      <w:r>
        <w:pict>
          <v:group id="_x0000_s1381" style="width:249.5pt;height:182.1pt;margin-top:-15.68pt;margin-left:27.6pt;mso-position-horizontal-relative:page;position:absolute;z-index:251716608" coordorigin="552,-314" coordsize="4990,3642">
            <v:line id="_x0000_s1382" style="position:absolute" from="552,3324" to="5542,3324" stroked="t" strokecolor="#9c4a45" strokeweight="0.48pt">
              <v:stroke dashstyle="solid"/>
            </v:line>
            <v:shape id="_x0000_s1383" style="width:987;height:898;left:2529;position:absolute;top:-314" coordorigin="2529,-314" coordsize="987,898" path="m3022,-314l2529,584,3516,584,3022,-314xe" filled="t" fillcolor="#d6702b" stroked="f">
              <v:fill type="solid"/>
              <v:path arrowok="t"/>
            </v:shape>
            <v:shape id="_x0000_s1384" style="width:1974;height:898;left:2035;position:absolute;top:583" coordorigin="2035,584" coordsize="1974,898" path="m3516,584l2529,584,2035,1481,4009,1481,3516,584xe" filled="t" fillcolor="#e1834f" stroked="f">
              <v:fill type="solid"/>
              <v:path arrowok="t"/>
            </v:shape>
            <v:shape id="_x0000_s1385" style="width:1974;height:898;left:2035;position:absolute;top:583" coordorigin="2035,584" coordsize="1974,898" path="m2035,1481l2529,584,3516,584,4009,1481,2035,1481xe" filled="f" stroked="t" strokecolor="white" strokeweight="1pt">
              <v:stroke dashstyle="solid"/>
              <v:path arrowok="t"/>
            </v:shape>
            <v:shape id="_x0000_s1386" style="width:2961;height:898;left:1542;position:absolute;top:1481" coordorigin="1542,1481" coordsize="2961,898" path="m4010,1481l2035,1481,1542,2378,4503,2378,4010,1481xe" filled="t" fillcolor="#eb9973" stroked="f">
              <v:fill type="solid"/>
              <v:path arrowok="t"/>
            </v:shape>
            <v:shape id="_x0000_s1387" style="width:2961;height:898;left:1542;position:absolute;top:1481" coordorigin="1542,1481" coordsize="2961,898" path="m1542,2378l2035,1481,4010,1481,4503,2378,1542,2378xe" filled="f" stroked="t" strokecolor="white" strokeweight="1pt">
              <v:stroke dashstyle="solid"/>
              <v:path arrowok="t"/>
            </v:shape>
            <v:shape id="_x0000_s1388" style="width:3948;height:898;left:1048;position:absolute;top:2378" coordorigin="1049,2378" coordsize="3948,898" path="m4503,2378l1542,2378,1049,3275,4996,3275,4503,2378xe" filled="t" fillcolor="#f3b19a" stroked="f">
              <v:fill type="solid"/>
              <v:path arrowok="t"/>
            </v:shape>
            <v:shape id="_x0000_s1389" style="width:3948;height:898;left:1048;position:absolute;top:2378" coordorigin="1049,2378" coordsize="3948,898" path="m1049,3275l1542,2378,4503,2378,4996,3275,1049,3275xe" filled="f" stroked="t" strokecolor="white" strokeweight="1pt">
              <v:stroke dashstyle="solid"/>
              <v:path arrowok="t"/>
            </v:shape>
            <v:shape id="_x0000_s1390" type="#_x0000_t202" style="width:1225;height:1454;left:2421;position:absolute;top:-79" filled="f" stroked="f">
              <v:textbox inset="0,0,0,0">
                <w:txbxContent>
                  <w:p>
                    <w:pPr>
                      <w:spacing w:before="0" w:line="218" w:lineRule="exact"/>
                      <w:ind w:left="159" w:right="173" w:firstLine="0"/>
                      <w:jc w:val="center"/>
                      <w:rPr>
                        <w:sz w:val="20"/>
                      </w:rPr>
                    </w:pPr>
                    <w:r>
                      <w:rPr>
                        <w:sz w:val="20"/>
                      </w:rPr>
                      <w:t>鸡精</w:t>
                    </w:r>
                  </w:p>
                  <w:p>
                    <w:pPr>
                      <w:spacing w:before="0" w:line="219" w:lineRule="exact"/>
                      <w:ind w:left="159" w:right="178" w:firstLine="0"/>
                      <w:jc w:val="center"/>
                      <w:rPr>
                        <w:rFonts w:ascii="Times New Roman"/>
                        <w:sz w:val="20"/>
                      </w:rPr>
                    </w:pPr>
                    <w:r>
                      <w:rPr>
                        <w:rFonts w:ascii="Times New Roman"/>
                        <w:sz w:val="20"/>
                      </w:rPr>
                      <w:t>CR3&gt;80%</w:t>
                    </w:r>
                  </w:p>
                  <w:p>
                    <w:pPr>
                      <w:spacing w:before="0" w:line="240" w:lineRule="auto"/>
                      <w:rPr>
                        <w:rFonts w:ascii="Times New Roman"/>
                        <w:sz w:val="29"/>
                      </w:rPr>
                    </w:pPr>
                  </w:p>
                  <w:p>
                    <w:pPr>
                      <w:spacing w:before="1" w:line="218" w:lineRule="auto"/>
                      <w:ind w:left="-1" w:right="18" w:firstLine="0"/>
                      <w:jc w:val="center"/>
                      <w:rPr>
                        <w:rFonts w:ascii="Times New Roman" w:eastAsia="Times New Roman"/>
                        <w:sz w:val="20"/>
                      </w:rPr>
                    </w:pPr>
                    <w:r>
                      <w:rPr>
                        <w:spacing w:val="-5"/>
                        <w:sz w:val="20"/>
                      </w:rPr>
                      <w:t>西式复合调味</w:t>
                    </w:r>
                    <w:r>
                      <w:rPr>
                        <w:sz w:val="20"/>
                      </w:rPr>
                      <w:t>料及其他</w:t>
                    </w:r>
                    <w:r>
                      <w:rPr>
                        <w:rFonts w:ascii="Times New Roman" w:eastAsia="Times New Roman"/>
                        <w:sz w:val="20"/>
                      </w:rPr>
                      <w:t>CR3&gt;50%</w:t>
                    </w:r>
                  </w:p>
                </w:txbxContent>
              </v:textbox>
            </v:shape>
            <v:shape id="_x0000_s1391" type="#_x0000_t202" style="width:1879;height:224;left:2095;position:absolute;top:1812" filled="f" stroked="f">
              <v:textbox inset="0,0,0,0">
                <w:txbxContent>
                  <w:p>
                    <w:pPr>
                      <w:spacing w:before="0" w:line="224" w:lineRule="exact"/>
                      <w:ind w:left="0" w:right="0" w:firstLine="0"/>
                      <w:jc w:val="left"/>
                      <w:rPr>
                        <w:rFonts w:ascii="Times New Roman" w:eastAsia="Times New Roman"/>
                        <w:sz w:val="20"/>
                      </w:rPr>
                    </w:pPr>
                    <w:r>
                      <w:rPr>
                        <w:sz w:val="20"/>
                      </w:rPr>
                      <w:t>火锅调味料</w:t>
                    </w:r>
                    <w:r>
                      <w:rPr>
                        <w:rFonts w:ascii="Times New Roman" w:eastAsia="Times New Roman"/>
                        <w:sz w:val="20"/>
                      </w:rPr>
                      <w:t>CR3&gt;30%</w:t>
                    </w:r>
                  </w:p>
                </w:txbxContent>
              </v:textbox>
            </v:shape>
            <v:shape id="_x0000_s1392" type="#_x0000_t202" style="width:2281;height:224;left:1889;position:absolute;top:2710" filled="f" stroked="f">
              <v:textbox inset="0,0,0,0">
                <w:txbxContent>
                  <w:p>
                    <w:pPr>
                      <w:spacing w:before="0" w:line="223" w:lineRule="exact"/>
                      <w:ind w:left="0" w:right="0" w:firstLine="0"/>
                      <w:jc w:val="left"/>
                      <w:rPr>
                        <w:rFonts w:ascii="Times New Roman" w:eastAsia="Times New Roman"/>
                        <w:sz w:val="20"/>
                      </w:rPr>
                    </w:pPr>
                    <w:r>
                      <w:rPr>
                        <w:sz w:val="20"/>
                      </w:rPr>
                      <w:t>中式复合调味料</w:t>
                    </w:r>
                    <w:r>
                      <w:rPr>
                        <w:rFonts w:ascii="Times New Roman" w:eastAsia="Times New Roman"/>
                        <w:sz w:val="20"/>
                      </w:rPr>
                      <w:t>CR3&lt;10%</w:t>
                    </w:r>
                  </w:p>
                </w:txbxContent>
              </v:textbox>
            </v:shape>
          </v:group>
        </w:pict>
      </w:r>
      <w:r>
        <w:pict>
          <v:group id="_x0000_s1393" style="width:133.4pt;height:141.7pt;margin-top:-0.98pt;margin-left:346.54pt;mso-position-horizontal-relative:page;position:absolute;z-index:251717632" coordorigin="6931,-20" coordsize="2668,2834">
            <v:shape id="_x0000_s1394" style="width:316;height:1334;left:8264;position:absolute;top:146" coordorigin="8264,146" coordsize="316,1334" path="m8264,146l8264,1480,8580,184,8502,168,8423,156,8344,149,8264,146xe" filled="t" fillcolor="#8b3734" stroked="f">
              <v:fill type="solid"/>
              <v:path arrowok="t"/>
            </v:shape>
            <v:shape id="_x0000_s1395" style="width:561;height:1296;left:8264;position:absolute;top:184" coordorigin="8264,184" coordsize="561,1296" path="m8580,184l8264,1480,8825,270,8765,244,8704,221,8643,201,8580,184xe" filled="t" fillcolor="#ca9221" stroked="f">
              <v:fill type="solid"/>
              <v:path arrowok="t"/>
            </v:shape>
            <v:shape id="_x0000_s1396" style="width:561;height:1296;left:8264;position:absolute;top:184" coordorigin="8264,184" coordsize="561,1296" path="m8580,184l8643,201,8704,221,8765,244,8825,270,8264,1480,8580,184xe" filled="f" stroked="t" strokecolor="white" strokeweight="0.72pt">
              <v:stroke dashstyle="solid"/>
              <v:path arrowok="t"/>
            </v:shape>
            <v:shape id="_x0000_s1397" style="width:636;height:1211;left:8264;position:absolute;top:269" coordorigin="8264,270" coordsize="636,1211" path="m8825,270l8264,1480,8900,307,8881,298,8862,288,8844,279,8825,270xe" filled="t" fillcolor="#8385a9" stroked="f">
              <v:fill type="solid"/>
              <v:path arrowok="t"/>
            </v:shape>
            <v:shape id="_x0000_s1398" style="width:636;height:1211;left:8264;position:absolute;top:269" coordorigin="8264,270" coordsize="636,1211" path="m8825,270l8844,279,8862,288,8881,298,8900,307,8264,1480,8825,270xe" filled="f" stroked="t" strokecolor="white" strokeweight="0.72pt">
              <v:stroke dashstyle="solid"/>
              <v:path arrowok="t"/>
            </v:shape>
            <v:shape id="_x0000_s1399" style="width:2668;height:2668;left:6930;position:absolute;top:146" coordorigin="6931,146" coordsize="2668,2668" path="m8264,146l8187,149,8111,155,8036,166,7962,181,7889,200,7818,223,7748,250,7680,281,7614,316,7550,354,7488,395,7429,441,7372,489,7318,541,7266,596,7218,654,7173,714,7131,778,7092,845,7058,912,7028,981,7002,1050,6980,1120,6962,1191,6949,1262,6939,1333,6933,1405,6931,1476,6933,1547,6938,1618,6947,1688,6960,1757,6977,1826,6997,1894,7020,1960,7048,2026,7078,2089,7112,2152,7150,2212,7190,2271,7234,2327,7281,2381,7332,2433,7385,2483,7442,2530,7501,2574,7564,2615,7629,2653,7697,2687,7765,2717,7835,2743,7905,2764,7976,2782,8047,2796,8118,2806,8189,2812,8261,2814,8332,2812,8402,2806,8472,2797,8542,2784,8611,2768,8678,2748,8745,2724,8810,2697,8874,2666,8936,2632,8997,2595,9055,2554,9112,2510,9166,2463,9218,2413,9267,2359,9314,2303,9358,2243,9399,2181,9437,2115,9471,2047,9501,1979,9527,1910,9549,1839,9567,1769,9580,1698,9590,1627,9596,1555,9598,1484,9598,1480,8264,1480,8264,146xm8900,307l8264,1480,9598,1480,9596,1413,9591,1342,9582,1272,9569,1203,9552,1134,9532,1066,9509,1000,9481,934,9451,871,9417,808,9379,748,9339,689,9295,633,9248,579,9197,527,9144,477,9087,430,9028,386,8965,345,8900,307xe" filled="t" fillcolor="#bbcad2" stroked="f">
              <v:fill type="solid"/>
              <v:path arrowok="t"/>
            </v:shape>
            <v:shape id="_x0000_s1400" style="width:703;height:51;left:8862;position:absolute;top:237" coordorigin="8862,237" coordsize="703,51" path="m8862,288l9475,237,9565,237e" filled="f" stroked="t" strokecolor="#a6a6a6" strokeweight="0.75pt">
              <v:stroke dashstyle="solid"/>
              <v:path arrowok="t"/>
            </v:shape>
            <v:shape id="_x0000_s1401" type="#_x0000_t202" style="width:1586;height:583;left:7935;position:absolute;top:-20" filled="f" stroked="f">
              <v:textbox inset="0,0,0,0">
                <w:txbxContent>
                  <w:p>
                    <w:pPr>
                      <w:spacing w:before="0" w:line="187" w:lineRule="exact"/>
                      <w:ind w:left="867" w:right="0" w:firstLine="0"/>
                      <w:jc w:val="left"/>
                      <w:rPr>
                        <w:rFonts w:ascii="Times New Roman" w:eastAsia="Times New Roman"/>
                        <w:b/>
                        <w:sz w:val="16"/>
                      </w:rPr>
                    </w:pPr>
                    <w:r>
                      <w:rPr>
                        <w:b/>
                        <w:sz w:val="16"/>
                      </w:rPr>
                      <w:t>颐海国际</w:t>
                    </w:r>
                    <w:r>
                      <w:rPr>
                        <w:rFonts w:ascii="Times New Roman" w:eastAsia="Times New Roman"/>
                        <w:b/>
                        <w:sz w:val="16"/>
                      </w:rPr>
                      <w:t>,</w:t>
                    </w:r>
                  </w:p>
                  <w:p>
                    <w:pPr>
                      <w:tabs>
                        <w:tab w:val="left" w:pos="1030"/>
                      </w:tabs>
                      <w:spacing w:before="0" w:line="213" w:lineRule="exact"/>
                      <w:ind w:left="0" w:right="0" w:firstLine="0"/>
                      <w:jc w:val="left"/>
                      <w:rPr>
                        <w:rFonts w:ascii="Times New Roman" w:eastAsia="Times New Roman"/>
                        <w:b/>
                        <w:sz w:val="16"/>
                      </w:rPr>
                    </w:pPr>
                    <w:r>
                      <w:rPr>
                        <w:b/>
                        <w:spacing w:val="9"/>
                        <w:sz w:val="16"/>
                      </w:rPr>
                      <w:t>天</w:t>
                    </w:r>
                    <w:r>
                      <w:rPr>
                        <w:b/>
                        <w:spacing w:val="4"/>
                        <w:sz w:val="16"/>
                      </w:rPr>
                      <w:t>味食</w:t>
                    </w:r>
                    <w:r>
                      <w:rPr>
                        <w:b/>
                        <w:spacing w:val="5"/>
                        <w:sz w:val="16"/>
                      </w:rPr>
                      <w:t>品</w:t>
                    </w:r>
                    <w:r>
                      <w:rPr>
                        <w:rFonts w:ascii="Times New Roman" w:eastAsia="Times New Roman"/>
                        <w:b/>
                        <w:sz w:val="16"/>
                      </w:rPr>
                      <w:t>,</w:t>
                      <w:tab/>
                    </w:r>
                    <w:r>
                      <w:rPr>
                        <w:rFonts w:ascii="Times New Roman" w:eastAsia="Times New Roman"/>
                        <w:b/>
                        <w:position w:val="2"/>
                        <w:sz w:val="16"/>
                      </w:rPr>
                      <w:t>3.1%</w:t>
                    </w:r>
                  </w:p>
                  <w:p>
                    <w:pPr>
                      <w:spacing w:before="0" w:line="182" w:lineRule="exact"/>
                      <w:ind w:left="163" w:right="0" w:firstLine="0"/>
                      <w:jc w:val="left"/>
                      <w:rPr>
                        <w:rFonts w:ascii="Times New Roman"/>
                        <w:b/>
                        <w:sz w:val="16"/>
                      </w:rPr>
                    </w:pPr>
                    <w:r>
                      <w:rPr>
                        <w:rFonts w:ascii="Times New Roman"/>
                        <w:b/>
                        <w:sz w:val="16"/>
                      </w:rPr>
                      <w:t>3.8%</w:t>
                    </w:r>
                  </w:p>
                </w:txbxContent>
              </v:textbox>
            </v:shape>
            <v:shape id="_x0000_s1402" type="#_x0000_t202" style="width:461;height:368;left:7785;position:absolute;top:2328" filled="f" stroked="f">
              <v:textbox inset="0,0,0,0">
                <w:txbxContent>
                  <w:p>
                    <w:pPr>
                      <w:spacing w:before="0" w:line="185" w:lineRule="exact"/>
                      <w:ind w:left="33" w:right="0" w:firstLine="0"/>
                      <w:jc w:val="left"/>
                      <w:rPr>
                        <w:rFonts w:ascii="Times New Roman" w:eastAsia="Times New Roman"/>
                        <w:b/>
                        <w:sz w:val="16"/>
                      </w:rPr>
                    </w:pPr>
                    <w:r>
                      <w:rPr>
                        <w:b/>
                        <w:spacing w:val="9"/>
                        <w:w w:val="95"/>
                        <w:sz w:val="16"/>
                      </w:rPr>
                      <w:t>其他</w:t>
                    </w:r>
                    <w:r>
                      <w:rPr>
                        <w:rFonts w:ascii="Times New Roman" w:eastAsia="Times New Roman"/>
                        <w:b/>
                        <w:w w:val="95"/>
                        <w:sz w:val="16"/>
                      </w:rPr>
                      <w:t>,</w:t>
                    </w:r>
                  </w:p>
                  <w:p>
                    <w:pPr>
                      <w:spacing w:before="0" w:line="182" w:lineRule="exact"/>
                      <w:ind w:left="0" w:right="0" w:firstLine="0"/>
                      <w:jc w:val="left"/>
                      <w:rPr>
                        <w:rFonts w:ascii="Times New Roman"/>
                        <w:b/>
                        <w:sz w:val="16"/>
                      </w:rPr>
                    </w:pPr>
                    <w:r>
                      <w:rPr>
                        <w:rFonts w:ascii="Times New Roman"/>
                        <w:b/>
                        <w:sz w:val="16"/>
                      </w:rPr>
                      <w:t>92.1%</w:t>
                    </w:r>
                  </w:p>
                </w:txbxContent>
              </v:textbox>
            </v:shape>
          </v:group>
        </w:pict>
      </w:r>
      <w:r>
        <w:rPr>
          <w:b/>
          <w:sz w:val="16"/>
        </w:rPr>
        <w:t>日辰股份</w:t>
      </w:r>
      <w:r>
        <w:rPr>
          <w:rFonts w:ascii="Times New Roman" w:eastAsia="Times New Roman"/>
          <w:b/>
          <w:sz w:val="16"/>
        </w:rPr>
        <w:t>, 1.0%</w:t>
      </w: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spacing w:before="6"/>
        <w:rPr>
          <w:rFonts w:ascii="Times New Roman"/>
          <w:b/>
          <w:sz w:val="24"/>
        </w:rPr>
      </w:pPr>
      <w:r>
        <w:pict>
          <v:shape id="_x0000_s1403" style="width:249.25pt;height:0.1pt;margin-top:16.31pt;margin-left:288.84pt;mso-position-horizontal-relative:page;mso-wrap-distance-left:0;mso-wrap-distance-right:0;position:absolute;z-index:-251600896" coordorigin="5777,326" coordsize="4985,0" path="m5777,326l10761,326e" filled="f" stroked="t" strokecolor="#9c4a45" strokeweight="0.48pt">
            <v:stroke dashstyle="solid"/>
            <v:path arrowok="t"/>
            <w10:wrap type="topAndBottom"/>
          </v:shape>
        </w:pict>
      </w:r>
    </w:p>
    <w:p>
      <w:pPr>
        <w:tabs>
          <w:tab w:val="left" w:pos="5336"/>
        </w:tabs>
        <w:spacing w:before="46"/>
        <w:ind w:left="112" w:right="0" w:firstLine="0"/>
        <w:jc w:val="left"/>
        <w:rPr>
          <w:sz w:val="15"/>
        </w:rPr>
      </w:pPr>
      <w:r>
        <w:t xml:space="preserve">数据来源：产业信息网， </w:t>
        <w:tab/>
        <w:t xml:space="preserve">数据来源：产业信息网， </w:t>
      </w:r>
    </w:p>
    <w:p>
      <w:pPr>
        <w:pStyle w:val="BodyText"/>
        <w:spacing w:before="2"/>
        <w:rPr>
          <w:sz w:val="12"/>
        </w:rPr>
      </w:pPr>
    </w:p>
    <w:p>
      <w:pPr>
        <w:pStyle w:val="BodyText"/>
        <w:spacing w:before="72" w:line="328" w:lineRule="auto"/>
        <w:ind w:left="2964" w:right="1121"/>
        <w:jc w:val="both"/>
      </w:pPr>
      <w:r>
        <w:pict>
          <v:line id="_x0000_s1404" style="mso-position-horizontal-relative:page;position:absolute;z-index:-251604992" from="399.25pt,34.3pt" to="477.05pt,34.3pt" stroked="t" strokecolor="black" strokeweight="0.48pt">
            <v:stroke dashstyle="solid"/>
          </v:line>
        </w:pict>
      </w:r>
      <w:r>
        <w:pict>
          <v:line id="_x0000_s1405" style="mso-position-horizontal-relative:page;position:absolute;z-index:-251603968" from="325.8pt,71pt" to="402.4pt,71pt" stroked="t" strokecolor="black" strokeweight="0.48pt">
            <v:stroke dashstyle="solid"/>
          </v:line>
        </w:pict>
      </w:r>
      <w:r>
        <w:pict>
          <v:line id="_x0000_s1406" style="mso-position-horizontal-relative:page;position:absolute;z-index:-251602944" from="201.9pt,89.5pt" to="291.5pt,89.5pt" stroked="t" strokecolor="black" strokeweight="0.48pt">
            <v:stroke dashstyle="solid"/>
          </v:line>
        </w:pict>
      </w:r>
      <w:r>
        <w:rPr>
          <w:b/>
          <w:spacing w:val="-4"/>
        </w:rPr>
        <w:t>未来行业格局或向头部企业集中：龙头企业优势明显，市占率有望稳步提升。</w:t>
      </w:r>
      <w:r>
        <w:rPr>
          <w:spacing w:val="-15"/>
        </w:rPr>
        <w:t>在</w:t>
      </w:r>
      <w:r>
        <w:rPr>
          <w:spacing w:val="-6"/>
        </w:rPr>
        <w:t>复合调味品行业中，领军企业拥有以下六大优势：</w:t>
      </w:r>
      <w:r>
        <w:rPr>
          <w:rFonts w:ascii="Times New Roman" w:eastAsia="Times New Roman"/>
          <w:spacing w:val="-15"/>
        </w:rPr>
        <w:t>1</w:t>
      </w:r>
      <w:r>
        <w:rPr>
          <w:spacing w:val="-15"/>
        </w:rPr>
        <w:t>）</w:t>
      </w:r>
      <w:r>
        <w:rPr>
          <w:spacing w:val="-6"/>
        </w:rPr>
        <w:t>研发产品优势：强大的研发</w:t>
      </w:r>
      <w:r>
        <w:rPr>
          <w:spacing w:val="-7"/>
        </w:rPr>
        <w:t>能力和丰富的产品线；</w:t>
      </w:r>
      <w:r>
        <w:rPr>
          <w:rFonts w:ascii="Times New Roman" w:eastAsia="Times New Roman"/>
          <w:spacing w:val="-24"/>
          <w:u w:val="single"/>
        </w:rPr>
        <w:t>2</w:t>
      </w:r>
      <w:r>
        <w:rPr>
          <w:spacing w:val="-24"/>
          <w:u w:val="single"/>
        </w:rPr>
        <w:t>）</w:t>
      </w:r>
      <w:r>
        <w:rPr>
          <w:spacing w:val="-10"/>
          <w:u w:val="single"/>
        </w:rPr>
        <w:t>品牌形象优势：</w:t>
      </w:r>
      <w:r>
        <w:rPr>
          <w:spacing w:val="-8"/>
        </w:rPr>
        <w:t>深受消费者喜爱和信赖的品牌形象；</w:t>
      </w:r>
      <w:r>
        <w:rPr>
          <w:rFonts w:ascii="Times New Roman" w:eastAsia="Times New Roman"/>
          <w:spacing w:val="-7"/>
          <w:u w:val="single"/>
        </w:rPr>
        <w:t>3</w:t>
      </w:r>
      <w:r>
        <w:rPr>
          <w:spacing w:val="-7"/>
          <w:u w:val="single"/>
        </w:rPr>
        <w:t>）</w:t>
      </w:r>
      <w:r>
        <w:rPr>
          <w:spacing w:val="-192"/>
          <w:u w:val="single"/>
        </w:rPr>
        <w:t>渠</w:t>
      </w:r>
      <w:r>
        <w:rPr>
          <w:spacing w:val="-7"/>
          <w:u w:val="single"/>
        </w:rPr>
        <w:t>道优势：</w:t>
      </w:r>
      <w:r>
        <w:rPr>
          <w:spacing w:val="-6"/>
        </w:rPr>
        <w:t>广泛的全国经销网络；</w:t>
      </w:r>
      <w:r>
        <w:rPr>
          <w:rFonts w:ascii="Times New Roman" w:eastAsia="Times New Roman"/>
          <w:spacing w:val="-15"/>
        </w:rPr>
        <w:t>4</w:t>
      </w:r>
      <w:r>
        <w:rPr>
          <w:spacing w:val="-15"/>
        </w:rPr>
        <w:t>）</w:t>
      </w:r>
      <w:r>
        <w:rPr>
          <w:spacing w:val="-6"/>
        </w:rPr>
        <w:t>供应链优势：经过长时间布局的完善供应链体系；</w:t>
      </w:r>
      <w:r>
        <w:rPr>
          <w:rFonts w:ascii="Times New Roman" w:eastAsia="Times New Roman"/>
          <w:spacing w:val="-6"/>
        </w:rPr>
        <w:t>5</w:t>
      </w:r>
      <w:r>
        <w:rPr>
          <w:spacing w:val="-6"/>
        </w:rPr>
        <w:t>）资金产能优势：充裕的资金支持和全国产能扩张计划；</w:t>
      </w:r>
      <w:r>
        <w:rPr>
          <w:rFonts w:ascii="Times New Roman" w:eastAsia="Times New Roman"/>
          <w:u w:val="single"/>
        </w:rPr>
        <w:t>6</w:t>
      </w:r>
      <w:r>
        <w:rPr>
          <w:u w:val="single"/>
        </w:rPr>
        <w:t>）</w:t>
      </w:r>
      <w:r>
        <w:rPr>
          <w:spacing w:val="-2"/>
          <w:u w:val="single"/>
        </w:rPr>
        <w:t>管理能力优势</w:t>
      </w:r>
      <w:r>
        <w:rPr>
          <w:spacing w:val="-5"/>
        </w:rPr>
        <w:t>：完善高效的管理系统和快速的响应能力。小型企业在研发、产品、品牌、渠</w:t>
      </w:r>
    </w:p>
    <w:p>
      <w:pPr>
        <w:spacing w:after="0" w:line="328" w:lineRule="auto"/>
        <w:jc w:val="both"/>
        <w:sectPr>
          <w:headerReference w:type="default" r:id="rId74"/>
          <w:footerReference w:type="default" r:id="rId75"/>
          <w:type w:val="continuous"/>
          <w:pgSz w:w="11910" w:h="16840"/>
          <w:pgMar w:top="1700" w:right="0" w:bottom="1500" w:left="440" w:header="708" w:footer="708"/>
          <w:pgNumType w:start="25"/>
          <w:cols w:space="708"/>
        </w:sectPr>
      </w:pPr>
    </w:p>
    <w:p>
      <w:pPr>
        <w:spacing w:before="161" w:line="328" w:lineRule="auto"/>
        <w:ind w:left="2964" w:right="1019" w:firstLine="0"/>
        <w:jc w:val="left"/>
        <w:rPr>
          <w:b/>
          <w:sz w:val="21"/>
        </w:rPr>
      </w:pPr>
      <w:r>
        <w:rPr>
          <w:spacing w:val="-4"/>
          <w:sz w:val="21"/>
        </w:rPr>
        <w:t>道和供应链方面较弱，弱点之间相互制约；鉴于龙头企业的卓越研发能力，它们</w:t>
      </w:r>
      <w:r>
        <w:rPr>
          <w:spacing w:val="-13"/>
          <w:sz w:val="21"/>
        </w:rPr>
        <w:t>能快速创新出受欢迎的产品，中小企业难以通过独特产品策略在市场上脱颖而出。</w:t>
      </w:r>
      <w:r>
        <w:rPr>
          <w:b/>
          <w:spacing w:val="-4"/>
          <w:sz w:val="21"/>
          <w:u w:val="single"/>
        </w:rPr>
        <w:t>产品优质、品控稳定的龙头企业能够通过品牌、产品和渠道优势圈地跑马，稳固竞争地位。</w:t>
      </w:r>
    </w:p>
    <w:p>
      <w:pPr>
        <w:pStyle w:val="BodyText"/>
        <w:tabs>
          <w:tab w:val="left" w:pos="10335"/>
        </w:tabs>
        <w:spacing w:line="264" w:lineRule="exact"/>
        <w:ind w:left="2964"/>
      </w:pPr>
      <w:r>
        <w:rPr>
          <w:color w:val="FFFFFF"/>
          <w:spacing w:val="-1"/>
          <w:shd w:val="clear" w:color="auto" w:fill="9C4A45"/>
        </w:rPr>
        <w:t>图</w:t>
      </w:r>
      <w:r>
        <w:rPr>
          <w:rFonts w:ascii="Times New Roman" w:eastAsia="Times New Roman"/>
          <w:color w:val="FFFFFF"/>
          <w:spacing w:val="-1"/>
          <w:shd w:val="clear" w:color="auto" w:fill="9C4A45"/>
        </w:rPr>
        <w:t>21.</w:t>
      </w:r>
      <w:r>
        <w:rPr>
          <w:color w:val="FFFFFF"/>
          <w:spacing w:val="-1"/>
          <w:shd w:val="clear" w:color="auto" w:fill="9C4A45"/>
        </w:rPr>
        <w:t>复</w:t>
      </w:r>
      <w:r>
        <w:rPr>
          <w:color w:val="FFFFFF"/>
          <w:shd w:val="clear" w:color="auto" w:fill="9C4A45"/>
        </w:rPr>
        <w:t>合调味</w:t>
      </w:r>
      <w:r>
        <w:rPr>
          <w:color w:val="FFFFFF"/>
          <w:spacing w:val="-5"/>
          <w:shd w:val="clear" w:color="auto" w:fill="9C4A45"/>
        </w:rPr>
        <w:t>品</w:t>
      </w:r>
      <w:r>
        <w:rPr>
          <w:color w:val="FFFFFF"/>
          <w:shd w:val="clear" w:color="auto" w:fill="9C4A45"/>
        </w:rPr>
        <w:t>龙头企</w:t>
      </w:r>
      <w:r>
        <w:rPr>
          <w:color w:val="FFFFFF"/>
          <w:spacing w:val="-5"/>
          <w:shd w:val="clear" w:color="auto" w:fill="9C4A45"/>
        </w:rPr>
        <w:t>业</w:t>
      </w:r>
      <w:r>
        <w:rPr>
          <w:color w:val="FFFFFF"/>
          <w:shd w:val="clear" w:color="auto" w:fill="9C4A45"/>
        </w:rPr>
        <w:t>优势赋能</w:t>
        <w:tab/>
      </w:r>
    </w:p>
    <w:p>
      <w:pPr>
        <w:pStyle w:val="BodyText"/>
        <w:spacing w:before="8"/>
        <w:rPr>
          <w:sz w:val="13"/>
        </w:rPr>
      </w:pPr>
      <w:r>
        <w:drawing>
          <wp:anchor distT="0" distB="0" distL="0" distR="0" simplePos="0" relativeHeight="251718656" behindDoc="0" locked="0" layoutInCell="1" allowOverlap="1">
            <wp:simplePos x="0" y="0"/>
            <wp:positionH relativeFrom="page">
              <wp:posOffset>3493072</wp:posOffset>
            </wp:positionH>
            <wp:positionV relativeFrom="paragraph">
              <wp:posOffset>136065</wp:posOffset>
            </wp:positionV>
            <wp:extent cx="2021137" cy="1864995"/>
            <wp:effectExtent l="0" t="0" r="0" b="0"/>
            <wp:wrapTopAndBottom/>
            <wp:docPr id="17"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3.jpeg"/>
                    <pic:cNvPicPr/>
                  </pic:nvPicPr>
                  <pic:blipFill>
                    <a:blip xmlns:r="http://schemas.openxmlformats.org/officeDocument/2006/relationships" r:embed="rId76" cstate="print"/>
                    <a:stretch>
                      <a:fillRect/>
                    </a:stretch>
                  </pic:blipFill>
                  <pic:spPr>
                    <a:xfrm>
                      <a:off x="0" y="0"/>
                      <a:ext cx="2021137" cy="1864995"/>
                    </a:xfrm>
                    <a:prstGeom prst="rect">
                      <a:avLst/>
                    </a:prstGeom>
                  </pic:spPr>
                </pic:pic>
              </a:graphicData>
            </a:graphic>
          </wp:anchor>
        </w:drawing>
      </w:r>
      <w:r>
        <w:pict>
          <v:shape id="_x0000_s1407" style="width:368.8pt;height:0.1pt;margin-top:168.25pt;margin-left:170.23pt;mso-position-horizontal-relative:page;mso-wrap-distance-left:0;mso-wrap-distance-right:0;position:absolute;z-index:-251596800" coordorigin="3405,3365" coordsize="7376,0" path="m3405,3365l10780,3365e" filled="f" stroked="t" strokecolor="#9c4a45" strokeweight="0.48pt">
            <v:stroke dashstyle="solid"/>
            <v:path arrowok="t"/>
            <w10:wrap type="topAndBottom"/>
          </v:shape>
        </w:pict>
      </w:r>
    </w:p>
    <w:p>
      <w:pPr>
        <w:pStyle w:val="BodyText"/>
        <w:spacing w:before="12"/>
        <w:rPr>
          <w:sz w:val="10"/>
        </w:rPr>
      </w:pPr>
    </w:p>
    <w:p>
      <w:pPr>
        <w:spacing w:before="46"/>
        <w:ind w:left="2964" w:right="0" w:firstLine="0"/>
        <w:jc w:val="left"/>
        <w:rPr>
          <w:sz w:val="15"/>
        </w:rPr>
      </w:pPr>
      <w:r>
        <w:t xml:space="preserve">数据来源：中国日报网， </w:t>
      </w:r>
    </w:p>
    <w:p>
      <w:pPr>
        <w:pStyle w:val="BodyText"/>
        <w:rPr>
          <w:sz w:val="20"/>
        </w:rPr>
      </w:pPr>
    </w:p>
    <w:p>
      <w:pPr>
        <w:pStyle w:val="BodyText"/>
        <w:spacing w:before="5"/>
        <w:rPr>
          <w:sz w:val="17"/>
        </w:rPr>
      </w:pPr>
    </w:p>
    <w:p>
      <w:pPr>
        <w:pStyle w:val="ListParagraph"/>
        <w:numPr>
          <w:ilvl w:val="1"/>
          <w:numId w:val="11"/>
        </w:numPr>
        <w:tabs>
          <w:tab w:val="left" w:pos="3392"/>
        </w:tabs>
        <w:spacing w:before="74" w:after="0" w:line="240" w:lineRule="auto"/>
        <w:ind w:left="3391" w:right="0" w:hanging="428"/>
        <w:jc w:val="left"/>
        <w:rPr>
          <w:b/>
          <w:sz w:val="24"/>
        </w:rPr>
      </w:pPr>
      <w:bookmarkStart w:id="7" w:name="_TOC_250014"/>
      <w:r>
        <w:rPr>
          <w:rFonts w:ascii="Times New Roman" w:eastAsia="Times New Roman"/>
          <w:b/>
          <w:color w:val="9C4A45"/>
          <w:sz w:val="24"/>
        </w:rPr>
        <w:t>B</w:t>
      </w:r>
      <w:r>
        <w:rPr>
          <w:rFonts w:ascii="Times New Roman" w:eastAsia="Times New Roman"/>
          <w:b/>
          <w:color w:val="9C4A45"/>
          <w:spacing w:val="-1"/>
          <w:sz w:val="24"/>
        </w:rPr>
        <w:t xml:space="preserve"> </w:t>
      </w:r>
      <w:r>
        <w:rPr>
          <w:b/>
          <w:color w:val="9C4A45"/>
          <w:sz w:val="24"/>
        </w:rPr>
        <w:t>端受益连锁化，</w:t>
      </w:r>
      <w:r>
        <w:rPr>
          <w:rFonts w:ascii="Times New Roman" w:eastAsia="Times New Roman"/>
          <w:b/>
          <w:color w:val="9C4A45"/>
          <w:spacing w:val="3"/>
          <w:sz w:val="24"/>
        </w:rPr>
        <w:t>C</w:t>
      </w:r>
      <w:r>
        <w:rPr>
          <w:rFonts w:ascii="Times New Roman" w:eastAsia="Times New Roman"/>
          <w:b/>
          <w:color w:val="9C4A45"/>
          <w:spacing w:val="-4"/>
          <w:sz w:val="24"/>
        </w:rPr>
        <w:t xml:space="preserve"> </w:t>
      </w:r>
      <w:r>
        <w:rPr>
          <w:b/>
          <w:color w:val="9C4A45"/>
          <w:sz w:val="24"/>
        </w:rPr>
        <w:t>端渗透率提升，</w:t>
      </w:r>
      <w:r>
        <w:rPr>
          <w:rFonts w:ascii="Times New Roman" w:eastAsia="Times New Roman"/>
          <w:b/>
          <w:color w:val="9C4A45"/>
          <w:sz w:val="24"/>
        </w:rPr>
        <w:t>BC</w:t>
      </w:r>
      <w:r>
        <w:rPr>
          <w:rFonts w:ascii="Times New Roman" w:eastAsia="Times New Roman"/>
          <w:b/>
          <w:color w:val="9C4A45"/>
          <w:spacing w:val="-4"/>
          <w:sz w:val="24"/>
        </w:rPr>
        <w:t xml:space="preserve"> </w:t>
      </w:r>
      <w:bookmarkEnd w:id="7"/>
      <w:r>
        <w:rPr>
          <w:b/>
          <w:color w:val="9C4A45"/>
          <w:sz w:val="24"/>
        </w:rPr>
        <w:t>双轮驱动行业景气度提升</w:t>
      </w:r>
    </w:p>
    <w:p>
      <w:pPr>
        <w:pStyle w:val="BodyText"/>
        <w:spacing w:before="1"/>
        <w:rPr>
          <w:b/>
        </w:rPr>
      </w:pPr>
    </w:p>
    <w:p>
      <w:pPr>
        <w:pStyle w:val="BodyText"/>
        <w:spacing w:line="328" w:lineRule="auto"/>
        <w:ind w:left="2964" w:right="1019"/>
      </w:pPr>
      <w:r>
        <w:rPr>
          <w:b/>
          <w:spacing w:val="-6"/>
        </w:rPr>
        <w:t xml:space="preserve">复合调味品优势契合 </w:t>
      </w:r>
      <w:r>
        <w:rPr>
          <w:rFonts w:ascii="Times New Roman" w:eastAsia="Times New Roman"/>
          <w:b/>
        </w:rPr>
        <w:t xml:space="preserve">B </w:t>
      </w:r>
      <w:r>
        <w:rPr>
          <w:b/>
          <w:spacing w:val="-10"/>
        </w:rPr>
        <w:t xml:space="preserve">端餐饮发展需求，直击 </w:t>
      </w:r>
      <w:r>
        <w:rPr>
          <w:rFonts w:ascii="Times New Roman" w:eastAsia="Times New Roman"/>
          <w:b/>
        </w:rPr>
        <w:t xml:space="preserve">C </w:t>
      </w:r>
      <w:r>
        <w:rPr>
          <w:b/>
          <w:spacing w:val="-7"/>
        </w:rPr>
        <w:t>端消费痛点，具备成长空间。</w:t>
      </w:r>
      <w:r>
        <w:t>复</w:t>
      </w:r>
      <w:r>
        <w:rPr>
          <w:spacing w:val="-4"/>
        </w:rPr>
        <w:t>合调味料最大的优势在于使用的方便性，可直接代替多种单一调料，使食材烹饪</w:t>
      </w:r>
      <w:r>
        <w:rPr>
          <w:spacing w:val="-5"/>
        </w:rPr>
        <w:t>一步到位，极大节约时间和成本；同时，复合调味料在生产时有固定的配方与工</w:t>
      </w:r>
      <w:r>
        <w:rPr>
          <w:spacing w:val="-12"/>
        </w:rPr>
        <w:t>艺，对餐饮企业的规模化生产过程中保持菜品质量稳定性和标准化具有重要意义。</w:t>
      </w:r>
      <w:r>
        <w:rPr>
          <w:spacing w:val="-4"/>
        </w:rPr>
        <w:t>复合调味品的属性优势契合餐饮端出餐快、标准化高等要求，逐步成为连锁化快速提升的餐饮端的重要参与角色。同时复调也可缓解</w:t>
      </w:r>
      <w:r>
        <w:rPr>
          <w:rFonts w:ascii="Times New Roman" w:eastAsia="Times New Roman"/>
        </w:rPr>
        <w:t xml:space="preserve">C </w:t>
      </w:r>
      <w:r>
        <w:rPr>
          <w:spacing w:val="-2"/>
        </w:rPr>
        <w:t>端消费者应对生活工作节</w:t>
      </w:r>
      <w:r>
        <w:rPr>
          <w:spacing w:val="-6"/>
        </w:rPr>
        <w:t xml:space="preserve">奏加快和口味多样化需求的痛点，复调产品可一步到位解决 </w:t>
      </w:r>
      <w:r>
        <w:rPr>
          <w:rFonts w:ascii="Times New Roman" w:eastAsia="Times New Roman"/>
        </w:rPr>
        <w:t xml:space="preserve">C </w:t>
      </w:r>
      <w:r>
        <w:rPr>
          <w:spacing w:val="-2"/>
        </w:rPr>
        <w:t>端痛点，</w:t>
      </w:r>
      <w:r>
        <w:rPr>
          <w:rFonts w:ascii="Times New Roman" w:eastAsia="Times New Roman"/>
        </w:rPr>
        <w:t xml:space="preserve">BC </w:t>
      </w:r>
      <w:r>
        <w:t>端双</w:t>
      </w:r>
      <w:r>
        <w:rPr>
          <w:spacing w:val="-5"/>
        </w:rPr>
        <w:t>轮驱动赋予复合调味品增长新动能与发展新机遇。</w:t>
      </w:r>
    </w:p>
    <w:p>
      <w:pPr>
        <w:pStyle w:val="ListParagraph"/>
        <w:numPr>
          <w:ilvl w:val="2"/>
          <w:numId w:val="11"/>
        </w:numPr>
        <w:tabs>
          <w:tab w:val="left" w:pos="3804"/>
          <w:tab w:val="left" w:pos="3805"/>
        </w:tabs>
        <w:spacing w:before="0" w:after="0" w:line="264" w:lineRule="exact"/>
        <w:ind w:left="3804" w:right="0" w:hanging="841"/>
        <w:jc w:val="left"/>
        <w:rPr>
          <w:b/>
          <w:sz w:val="21"/>
        </w:rPr>
      </w:pPr>
      <w:bookmarkStart w:id="8" w:name="_TOC_250013"/>
      <w:r>
        <w:rPr>
          <w:b/>
          <w:color w:val="9C4A45"/>
          <w:spacing w:val="-27"/>
          <w:sz w:val="21"/>
        </w:rPr>
        <w:t xml:space="preserve">大 </w:t>
      </w:r>
      <w:r>
        <w:rPr>
          <w:rFonts w:ascii="Times New Roman" w:eastAsia="Times New Roman"/>
          <w:b/>
          <w:color w:val="9C4A45"/>
          <w:sz w:val="21"/>
        </w:rPr>
        <w:t>B</w:t>
      </w:r>
      <w:r>
        <w:rPr>
          <w:b/>
          <w:color w:val="9C4A45"/>
          <w:sz w:val="21"/>
        </w:rPr>
        <w:t>：餐饮连锁化</w:t>
      </w:r>
      <w:r>
        <w:rPr>
          <w:rFonts w:ascii="Times New Roman" w:eastAsia="Times New Roman"/>
          <w:b/>
          <w:color w:val="9C4A45"/>
          <w:spacing w:val="-6"/>
          <w:sz w:val="21"/>
        </w:rPr>
        <w:t>+</w:t>
      </w:r>
      <w:bookmarkEnd w:id="8"/>
      <w:r>
        <w:rPr>
          <w:b/>
          <w:color w:val="9C4A45"/>
          <w:spacing w:val="-1"/>
          <w:sz w:val="21"/>
        </w:rPr>
        <w:t>西式餐供本土化，定制餐调量增可期</w:t>
      </w:r>
    </w:p>
    <w:p>
      <w:pPr>
        <w:pStyle w:val="BodyText"/>
        <w:spacing w:before="11"/>
        <w:rPr>
          <w:b/>
          <w:sz w:val="19"/>
        </w:rPr>
      </w:pPr>
    </w:p>
    <w:p>
      <w:pPr>
        <w:pStyle w:val="BodyText"/>
        <w:spacing w:line="328" w:lineRule="auto"/>
        <w:ind w:left="2964" w:right="1019"/>
      </w:pPr>
      <w:r>
        <w:rPr>
          <w:b/>
          <w:spacing w:val="-3"/>
        </w:rPr>
        <w:t>城市化进程加快推动餐饮消费习惯调整，餐饮行业快速扩容，外卖市场快速发展利好复合调味品发展。</w:t>
      </w:r>
      <w:r>
        <w:rPr>
          <w:spacing w:val="-5"/>
        </w:rPr>
        <w:t>近年来，中国城镇化率不断提升，居民生活节奏加快，外出就餐次数增加，餐饮业迎来高速发展。据国家统计局统计，中国餐饮行业市场</w:t>
      </w:r>
      <w:r>
        <w:rPr>
          <w:spacing w:val="-17"/>
        </w:rPr>
        <w:t xml:space="preserve">规模从 </w:t>
      </w:r>
      <w:r>
        <w:rPr>
          <w:rFonts w:ascii="Times New Roman" w:eastAsia="Times New Roman"/>
        </w:rPr>
        <w:t xml:space="preserve">2015 </w:t>
      </w:r>
      <w:r>
        <w:rPr>
          <w:spacing w:val="-17"/>
        </w:rPr>
        <w:t xml:space="preserve">年的 </w:t>
      </w:r>
      <w:r>
        <w:rPr>
          <w:rFonts w:ascii="Times New Roman" w:eastAsia="Times New Roman"/>
        </w:rPr>
        <w:t xml:space="preserve">3.2 </w:t>
      </w:r>
      <w:r>
        <w:rPr>
          <w:spacing w:val="-9"/>
        </w:rPr>
        <w:t xml:space="preserve">万亿元增长至 </w:t>
      </w:r>
      <w:r>
        <w:rPr>
          <w:rFonts w:ascii="Times New Roman" w:eastAsia="Times New Roman"/>
        </w:rPr>
        <w:t xml:space="preserve">2019 </w:t>
      </w:r>
      <w:r>
        <w:rPr>
          <w:spacing w:val="-17"/>
        </w:rPr>
        <w:t xml:space="preserve">年的 </w:t>
      </w:r>
      <w:r>
        <w:rPr>
          <w:rFonts w:ascii="Times New Roman" w:eastAsia="Times New Roman"/>
        </w:rPr>
        <w:t xml:space="preserve">4.7 </w:t>
      </w:r>
      <w:r>
        <w:rPr>
          <w:spacing w:val="-4"/>
        </w:rPr>
        <w:t>万亿元，</w:t>
      </w:r>
      <w:r>
        <w:rPr>
          <w:rFonts w:ascii="Times New Roman" w:eastAsia="Times New Roman"/>
          <w:spacing w:val="-7"/>
        </w:rPr>
        <w:t xml:space="preserve">2015-2019 </w:t>
      </w:r>
      <w:r>
        <w:rPr>
          <w:spacing w:val="-25"/>
        </w:rPr>
        <w:t xml:space="preserve">年 </w:t>
      </w:r>
      <w:r>
        <w:rPr>
          <w:rFonts w:ascii="Times New Roman" w:eastAsia="Times New Roman"/>
        </w:rPr>
        <w:t xml:space="preserve">CAGR </w:t>
      </w:r>
      <w:r>
        <w:t>达</w:t>
      </w:r>
      <w:r>
        <w:rPr>
          <w:rFonts w:ascii="Times New Roman" w:eastAsia="Times New Roman"/>
        </w:rPr>
        <w:t>9.66%</w:t>
      </w:r>
      <w:r>
        <w:rPr>
          <w:spacing w:val="-6"/>
        </w:rPr>
        <w:t>。另外，互联网服务日益完备，手机支付率提高，促使外卖行业迅速增长。</w:t>
      </w:r>
      <w:r>
        <w:rPr>
          <w:spacing w:val="-13"/>
          <w:w w:val="100"/>
        </w:rPr>
        <w:t>据华经产业研究院，</w:t>
      </w:r>
      <w:r>
        <w:rPr>
          <w:rFonts w:ascii="Times New Roman" w:eastAsia="Times New Roman"/>
          <w:w w:val="100"/>
        </w:rPr>
        <w:t>2</w:t>
      </w:r>
      <w:r>
        <w:rPr>
          <w:rFonts w:ascii="Times New Roman" w:eastAsia="Times New Roman"/>
          <w:spacing w:val="-5"/>
          <w:w w:val="100"/>
        </w:rPr>
        <w:t>0</w:t>
      </w:r>
      <w:r>
        <w:rPr>
          <w:rFonts w:ascii="Times New Roman" w:eastAsia="Times New Roman"/>
          <w:w w:val="100"/>
        </w:rPr>
        <w:t>21</w:t>
      </w:r>
      <w:r>
        <w:rPr>
          <w:rFonts w:ascii="Times New Roman" w:eastAsia="Times New Roman"/>
        </w:rPr>
        <w:t xml:space="preserve"> </w:t>
      </w:r>
      <w:r>
        <w:rPr>
          <w:spacing w:val="-2"/>
          <w:w w:val="100"/>
        </w:rPr>
        <w:t>年我国外卖行业市场规模为</w:t>
      </w:r>
      <w:r>
        <w:rPr>
          <w:rFonts w:ascii="Times New Roman" w:eastAsia="Times New Roman"/>
          <w:spacing w:val="-5"/>
          <w:w w:val="100"/>
        </w:rPr>
        <w:t>8</w:t>
      </w:r>
      <w:r>
        <w:rPr>
          <w:rFonts w:ascii="Times New Roman" w:eastAsia="Times New Roman"/>
          <w:spacing w:val="-10"/>
          <w:w w:val="100"/>
        </w:rPr>
        <w:t>1</w:t>
      </w:r>
      <w:r>
        <w:rPr>
          <w:rFonts w:ascii="Times New Roman" w:eastAsia="Times New Roman"/>
          <w:w w:val="100"/>
        </w:rPr>
        <w:t>17</w:t>
      </w:r>
      <w:r>
        <w:rPr>
          <w:rFonts w:ascii="Times New Roman" w:eastAsia="Times New Roman"/>
        </w:rPr>
        <w:t xml:space="preserve"> </w:t>
      </w:r>
      <w:r>
        <w:rPr>
          <w:spacing w:val="-13"/>
          <w:w w:val="100"/>
        </w:rPr>
        <w:t>亿元，同比增长</w:t>
      </w:r>
      <w:r>
        <w:rPr>
          <w:rFonts w:ascii="Times New Roman" w:eastAsia="Times New Roman"/>
          <w:w w:val="100"/>
        </w:rPr>
        <w:t>22.</w:t>
      </w:r>
      <w:r>
        <w:rPr>
          <w:rFonts w:ascii="Times New Roman" w:eastAsia="Times New Roman"/>
          <w:spacing w:val="-5"/>
          <w:w w:val="100"/>
        </w:rPr>
        <w:t>1</w:t>
      </w:r>
      <w:r>
        <w:rPr>
          <w:rFonts w:ascii="Times New Roman" w:eastAsia="Times New Roman"/>
          <w:spacing w:val="2"/>
          <w:w w:val="100"/>
        </w:rPr>
        <w:t>%</w:t>
      </w:r>
      <w:r>
        <w:rPr>
          <w:w w:val="100"/>
        </w:rPr>
        <w:t>。</w:t>
      </w:r>
      <w:r>
        <w:rPr>
          <w:spacing w:val="-4"/>
        </w:rPr>
        <w:t>为满足外卖便捷性和时效性的诉求，兼具风味和易操作性的复合调味料成为了外</w:t>
      </w:r>
      <w:r>
        <w:rPr>
          <w:spacing w:val="-5"/>
        </w:rPr>
        <w:t>卖餐饮企业的最优选择。因此，作为烹饪中不可或缺的关键参与者，下游餐饮大盘的扩容将持续利好上游复合调味品市场。</w:t>
      </w:r>
    </w:p>
    <w:p>
      <w:pPr>
        <w:spacing w:after="0" w:line="328" w:lineRule="auto"/>
        <w:sectPr>
          <w:headerReference w:type="default" r:id="rId77"/>
          <w:footerReference w:type="default" r:id="rId78"/>
          <w:pgSz w:w="11910" w:h="16840"/>
          <w:pgMar w:top="1700" w:right="0" w:bottom="1500" w:left="440" w:header="708" w:footer="708"/>
          <w:pgNumType w:start="26"/>
          <w:cols w:space="708"/>
        </w:sectPr>
      </w:pPr>
    </w:p>
    <w:p>
      <w:pPr>
        <w:pStyle w:val="BodyText"/>
        <w:rPr>
          <w:sz w:val="20"/>
        </w:rPr>
      </w:pPr>
    </w:p>
    <w:p>
      <w:pPr>
        <w:pStyle w:val="BodyText"/>
        <w:spacing w:before="9"/>
        <w:rPr>
          <w:sz w:val="15"/>
        </w:rPr>
      </w:pPr>
    </w:p>
    <w:p>
      <w:pPr>
        <w:pStyle w:val="BodyText"/>
        <w:tabs>
          <w:tab w:val="left" w:pos="5096"/>
          <w:tab w:val="left" w:pos="5336"/>
        </w:tabs>
        <w:spacing w:before="78"/>
        <w:ind w:left="112"/>
      </w:pPr>
      <w:r>
        <w:rPr>
          <w:color w:val="FFFFFF"/>
          <w:shd w:val="clear" w:color="auto" w:fill="9C4A45"/>
        </w:rPr>
        <w:t>图</w:t>
      </w:r>
      <w:r>
        <w:rPr>
          <w:rFonts w:ascii="Times New Roman" w:eastAsia="Times New Roman"/>
          <w:color w:val="FFFFFF"/>
          <w:shd w:val="clear" w:color="auto" w:fill="9C4A45"/>
        </w:rPr>
        <w:t>22.</w:t>
      </w:r>
      <w:r>
        <w:rPr>
          <w:color w:val="FFFFFF"/>
          <w:shd w:val="clear" w:color="auto" w:fill="9C4A45"/>
        </w:rPr>
        <w:t>中国餐饮</w:t>
      </w:r>
      <w:r>
        <w:rPr>
          <w:color w:val="FFFFFF"/>
          <w:spacing w:val="-5"/>
          <w:shd w:val="clear" w:color="auto" w:fill="9C4A45"/>
        </w:rPr>
        <w:t>行</w:t>
      </w:r>
      <w:r>
        <w:rPr>
          <w:color w:val="FFFFFF"/>
          <w:shd w:val="clear" w:color="auto" w:fill="9C4A45"/>
        </w:rPr>
        <w:t>业市场</w:t>
      </w:r>
      <w:r>
        <w:rPr>
          <w:color w:val="FFFFFF"/>
          <w:spacing w:val="-5"/>
          <w:shd w:val="clear" w:color="auto" w:fill="9C4A45"/>
        </w:rPr>
        <w:t>规</w:t>
      </w:r>
      <w:r>
        <w:rPr>
          <w:color w:val="FFFFFF"/>
          <w:shd w:val="clear" w:color="auto" w:fill="9C4A45"/>
        </w:rPr>
        <w:t>模及增速</w:t>
        <w:tab/>
      </w:r>
      <w:r>
        <w:rPr>
          <w:color w:val="FFFFFF"/>
        </w:rPr>
        <w:tab/>
      </w:r>
      <w:r>
        <w:rPr>
          <w:color w:val="FFFFFF"/>
          <w:shd w:val="clear" w:color="auto" w:fill="9C4A45"/>
        </w:rPr>
        <w:t>图</w:t>
      </w:r>
      <w:r>
        <w:rPr>
          <w:rFonts w:ascii="Times New Roman" w:eastAsia="Times New Roman"/>
          <w:color w:val="FFFFFF"/>
          <w:shd w:val="clear" w:color="auto" w:fill="9C4A45"/>
        </w:rPr>
        <w:t xml:space="preserve">23.2016-2021 </w:t>
      </w:r>
      <w:r>
        <w:rPr>
          <w:color w:val="FFFFFF"/>
          <w:shd w:val="clear" w:color="auto" w:fill="9C4A45"/>
        </w:rPr>
        <w:t>年中</w:t>
      </w:r>
      <w:r>
        <w:rPr>
          <w:color w:val="FFFFFF"/>
          <w:spacing w:val="-5"/>
          <w:shd w:val="clear" w:color="auto" w:fill="9C4A45"/>
        </w:rPr>
        <w:t>国</w:t>
      </w:r>
      <w:r>
        <w:rPr>
          <w:color w:val="FFFFFF"/>
          <w:shd w:val="clear" w:color="auto" w:fill="9C4A45"/>
        </w:rPr>
        <w:t>在线外</w:t>
      </w:r>
      <w:r>
        <w:rPr>
          <w:color w:val="FFFFFF"/>
          <w:spacing w:val="-5"/>
          <w:shd w:val="clear" w:color="auto" w:fill="9C4A45"/>
        </w:rPr>
        <w:t>卖</w:t>
      </w:r>
      <w:r>
        <w:rPr>
          <w:color w:val="FFFFFF"/>
          <w:shd w:val="clear" w:color="auto" w:fill="9C4A45"/>
        </w:rPr>
        <w:t>行业市</w:t>
      </w:r>
      <w:r>
        <w:rPr>
          <w:color w:val="FFFFFF"/>
          <w:spacing w:val="-5"/>
          <w:shd w:val="clear" w:color="auto" w:fill="9C4A45"/>
        </w:rPr>
        <w:t>场</w:t>
      </w:r>
      <w:r>
        <w:rPr>
          <w:color w:val="FFFFFF"/>
          <w:shd w:val="clear" w:color="auto" w:fill="9C4A45"/>
        </w:rPr>
        <w:t>规模及</w:t>
      </w:r>
      <w:r>
        <w:rPr>
          <w:color w:val="FFFFFF"/>
          <w:spacing w:val="-5"/>
          <w:shd w:val="clear" w:color="auto" w:fill="9C4A45"/>
        </w:rPr>
        <w:t>增</w:t>
      </w:r>
      <w:r>
        <w:rPr>
          <w:color w:val="FFFFFF"/>
          <w:shd w:val="clear" w:color="auto" w:fill="9C4A45"/>
        </w:rPr>
        <w:t>速</w:t>
      </w:r>
      <w:r>
        <w:rPr>
          <w:color w:val="FFFFFF"/>
          <w:spacing w:val="-23"/>
          <w:shd w:val="clear" w:color="auto" w:fill="9C4A45"/>
        </w:rPr>
        <w:t xml:space="preserve"> </w:t>
      </w:r>
    </w:p>
    <w:p>
      <w:pPr>
        <w:spacing w:after="0"/>
        <w:sectPr>
          <w:headerReference w:type="default" r:id="rId79"/>
          <w:footerReference w:type="default" r:id="rId80"/>
          <w:pgSz w:w="11910" w:h="16840"/>
          <w:pgMar w:top="1700" w:right="0" w:bottom="1500" w:left="440" w:header="708" w:footer="708"/>
          <w:pgNumType w:start="27"/>
          <w:cols w:space="708"/>
        </w:sectPr>
      </w:pPr>
    </w:p>
    <w:p>
      <w:pPr>
        <w:spacing w:before="110"/>
        <w:ind w:left="0" w:right="0" w:firstLine="0"/>
        <w:jc w:val="right"/>
        <w:rPr>
          <w:rFonts w:ascii="Times New Roman"/>
          <w:sz w:val="18"/>
        </w:rPr>
      </w:pPr>
      <w:r>
        <w:pict>
          <v:group id="_x0000_s1408" style="width:168.55pt;height:103.05pt;margin-top:10.79pt;margin-left:69.62pt;mso-position-horizontal-relative:page;position:absolute;z-index:-251595776" coordorigin="1392,216" coordsize="3371,2061">
            <v:rect id="_x0000_s1409" style="width:149;height:1320;left:1545;position:absolute;top:949" filled="t" fillcolor="#9e3e3b" stroked="f">
              <v:fill type="solid"/>
            </v:rect>
            <v:rect id="_x0000_s1410" style="width:149;height:1320;left:1545;position:absolute;top:949" filled="f" stroked="t" strokecolor="#b34745" strokeweight="0.75pt">
              <v:stroke dashstyle="solid"/>
            </v:rect>
            <v:shape id="_x0000_s1411" style="width:54;height:2046;left:1437;position:absolute;top:223" coordorigin="1437,223" coordsize="54,2046" path="m1437,2269l1437,223m1437,2269l1491,2269m1437,1861l1491,1861m1437,1453l1491,1453m1437,1040l1491,1040m1437,632l1491,632m1437,223l1491,223e" filled="f" stroked="t" strokecolor="#aeabab" strokeweight="0.75pt">
              <v:stroke dashstyle="solid"/>
              <v:path arrowok="t"/>
            </v:shape>
            <v:rect id="_x0000_s1412" style="width:149;height:1464;left:1915;position:absolute;top:805" filled="t" fillcolor="#9e3e3b" stroked="f">
              <v:fill type="solid"/>
            </v:rect>
            <v:rect id="_x0000_s1413" style="width:149;height:1464;left:1915;position:absolute;top:805" filled="f" stroked="t" strokecolor="#b34745" strokeweight="0.75pt">
              <v:stroke dashstyle="solid"/>
            </v:rect>
            <v:rect id="_x0000_s1414" style="width:149;height:1623;left:2284;position:absolute;top:646" filled="t" fillcolor="#9e3e3b" stroked="f">
              <v:fill type="solid"/>
            </v:rect>
            <v:rect id="_x0000_s1415" style="width:149;height:1623;left:2284;position:absolute;top:646" filled="f" stroked="t" strokecolor="#b34745" strokeweight="0.75pt">
              <v:stroke dashstyle="solid"/>
            </v:rect>
            <v:rect id="_x0000_s1416" style="width:149;height:1728;left:2654;position:absolute;top:541" filled="t" fillcolor="#9e3e3b" stroked="f">
              <v:fill type="solid"/>
            </v:rect>
            <v:rect id="_x0000_s1417" style="width:149;height:1728;left:2654;position:absolute;top:541" filled="f" stroked="t" strokecolor="#b34745" strokeweight="0.75pt">
              <v:stroke dashstyle="solid"/>
            </v:rect>
            <v:rect id="_x0000_s1418" style="width:144;height:1911;left:3024;position:absolute;top:358" filled="t" fillcolor="#9e3e3b" stroked="f">
              <v:fill type="solid"/>
            </v:rect>
            <v:rect id="_x0000_s1419" style="width:144;height:1911;left:3024;position:absolute;top:358" filled="f" stroked="t" strokecolor="#b34745" strokeweight="0.75pt">
              <v:stroke dashstyle="solid"/>
            </v:rect>
            <v:rect id="_x0000_s1420" style="width:149;height:1618;left:3388;position:absolute;top:651" filled="t" fillcolor="#9e3e3b" stroked="f">
              <v:fill type="solid"/>
            </v:rect>
            <v:rect id="_x0000_s1421" style="width:149;height:1618;left:3388;position:absolute;top:651" filled="f" stroked="t" strokecolor="#b34745" strokeweight="0.75pt">
              <v:stroke dashstyle="solid"/>
            </v:rect>
            <v:rect id="_x0000_s1422" style="width:149;height:1920;left:3758;position:absolute;top:349" filled="t" fillcolor="#9e3e3b" stroked="f">
              <v:fill type="solid"/>
            </v:rect>
            <v:rect id="_x0000_s1423" style="width:149;height:1920;left:3758;position:absolute;top:349" filled="f" stroked="t" strokecolor="#b34745" strokeweight="0.75pt">
              <v:stroke dashstyle="solid"/>
            </v:rect>
            <v:rect id="_x0000_s1424" style="width:149;height:1800;left:4128;position:absolute;top:469" filled="t" fillcolor="#9e3e3b" stroked="f">
              <v:fill type="solid"/>
            </v:rect>
            <v:rect id="_x0000_s1425" style="width:149;height:1800;left:4128;position:absolute;top:469" filled="f" stroked="t" strokecolor="#b34745" strokeweight="0.75pt">
              <v:stroke dashstyle="solid"/>
            </v:rect>
            <v:rect id="_x0000_s1426" style="width:149;height:994;left:4497;position:absolute;top:1275" filled="t" fillcolor="#9e3e3b" stroked="f">
              <v:fill type="solid"/>
            </v:rect>
            <v:rect id="_x0000_s1427" style="width:149;height:994;left:4497;position:absolute;top:1275" filled="f" stroked="t" strokecolor="#b34745" strokeweight="0.75pt">
              <v:stroke dashstyle="solid"/>
            </v:rect>
            <v:shape id="_x0000_s1428" style="width:54;height:2046;left:4701;position:absolute;top:223" coordorigin="4702,223" coordsize="54,2046" path="m4755,2269l4755,223m4702,2269l4755,2269m4702,1861l4755,1861m4702,1453l4755,1453m4702,1040l4755,1040m4702,632l4755,632m4702,223l4755,223e" filled="f" stroked="t" strokecolor="#aeabab" strokeweight="0.75pt">
              <v:stroke dashstyle="solid"/>
              <v:path arrowok="t"/>
            </v:shape>
            <v:line id="_x0000_s1429" style="position:absolute" from="1437,2269" to="4755,2269" stroked="t" strokecolor="#d9d9d9" strokeweight="0.75pt">
              <v:stroke dashstyle="solid"/>
            </v:line>
            <v:shape id="_x0000_s1430" style="width:2581;height:1506;left:1990;position:absolute;top:575" coordorigin="1990,575" coordsize="2581,1506" path="m1990,1007l2357,1011,2726,1189,3096,1007,3466,2081,3835,690,4200,1707,4571,575e" filled="f" stroked="t" strokecolor="#e1b987" strokeweight="2.25pt">
              <v:stroke dashstyle="solid"/>
              <v:path arrowok="t"/>
            </v:shape>
            <v:shape id="_x0000_s1431" type="#_x0000_t202" style="width:476;height:202;left:1392;position:absolute;top:656" filled="f" stroked="f">
              <v:textbox inset="0,0,0,0">
                <w:txbxContent>
                  <w:p>
                    <w:pPr>
                      <w:spacing w:before="0" w:line="201" w:lineRule="exact"/>
                      <w:ind w:left="0" w:right="0" w:firstLine="0"/>
                      <w:jc w:val="left"/>
                      <w:rPr>
                        <w:rFonts w:ascii="Times New Roman"/>
                        <w:sz w:val="18"/>
                      </w:rPr>
                    </w:pPr>
                    <w:r>
                      <w:rPr>
                        <w:rFonts w:ascii="Times New Roman"/>
                        <w:sz w:val="18"/>
                      </w:rPr>
                      <w:t>32310</w:t>
                    </w:r>
                  </w:p>
                </w:txbxContent>
              </v:textbox>
            </v:shape>
          </v:group>
        </w:pict>
      </w:r>
      <w:r>
        <w:rPr>
          <w:rFonts w:ascii="Times New Roman"/>
          <w:spacing w:val="-1"/>
          <w:sz w:val="18"/>
        </w:rPr>
        <w:t>50000</w:t>
      </w:r>
    </w:p>
    <w:p>
      <w:pPr>
        <w:pStyle w:val="BodyText"/>
        <w:spacing w:before="6"/>
        <w:rPr>
          <w:rFonts w:ascii="Times New Roman"/>
          <w:sz w:val="17"/>
        </w:rPr>
      </w:pPr>
    </w:p>
    <w:p>
      <w:pPr>
        <w:spacing w:before="0"/>
        <w:ind w:left="0" w:right="0" w:firstLine="0"/>
        <w:jc w:val="right"/>
        <w:rPr>
          <w:rFonts w:ascii="Times New Roman"/>
          <w:sz w:val="18"/>
        </w:rPr>
      </w:pPr>
      <w:r>
        <w:rPr>
          <w:rFonts w:ascii="Times New Roman"/>
          <w:spacing w:val="-2"/>
          <w:sz w:val="18"/>
        </w:rPr>
        <w:t>40000</w:t>
      </w:r>
    </w:p>
    <w:p>
      <w:pPr>
        <w:pStyle w:val="BodyText"/>
        <w:spacing w:before="7"/>
        <w:rPr>
          <w:rFonts w:ascii="Times New Roman"/>
          <w:sz w:val="17"/>
        </w:rPr>
      </w:pPr>
    </w:p>
    <w:p>
      <w:pPr>
        <w:spacing w:before="0"/>
        <w:ind w:left="0" w:right="0" w:firstLine="0"/>
        <w:jc w:val="right"/>
        <w:rPr>
          <w:rFonts w:ascii="Times New Roman"/>
          <w:sz w:val="18"/>
        </w:rPr>
      </w:pPr>
      <w:r>
        <w:rPr>
          <w:rFonts w:ascii="Times New Roman"/>
          <w:spacing w:val="-1"/>
          <w:sz w:val="18"/>
        </w:rPr>
        <w:t>30000</w:t>
      </w:r>
    </w:p>
    <w:p>
      <w:pPr>
        <w:pStyle w:val="BodyText"/>
        <w:spacing w:before="7"/>
        <w:rPr>
          <w:rFonts w:ascii="Times New Roman"/>
          <w:sz w:val="17"/>
        </w:rPr>
      </w:pPr>
    </w:p>
    <w:p>
      <w:pPr>
        <w:spacing w:before="0"/>
        <w:ind w:left="0" w:right="0" w:firstLine="0"/>
        <w:jc w:val="right"/>
        <w:rPr>
          <w:rFonts w:ascii="Times New Roman"/>
          <w:sz w:val="18"/>
        </w:rPr>
      </w:pPr>
      <w:r>
        <w:rPr>
          <w:rFonts w:ascii="Times New Roman"/>
          <w:spacing w:val="-1"/>
          <w:sz w:val="18"/>
        </w:rPr>
        <w:t>20000</w:t>
      </w:r>
    </w:p>
    <w:p>
      <w:pPr>
        <w:pStyle w:val="BodyText"/>
        <w:spacing w:before="7"/>
        <w:rPr>
          <w:rFonts w:ascii="Times New Roman"/>
          <w:sz w:val="17"/>
        </w:rPr>
      </w:pPr>
    </w:p>
    <w:p>
      <w:pPr>
        <w:spacing w:before="0"/>
        <w:ind w:left="0" w:right="0" w:firstLine="0"/>
        <w:jc w:val="right"/>
        <w:rPr>
          <w:rFonts w:ascii="Times New Roman"/>
          <w:sz w:val="18"/>
        </w:rPr>
      </w:pPr>
      <w:r>
        <w:rPr>
          <w:rFonts w:ascii="Times New Roman"/>
          <w:spacing w:val="-2"/>
          <w:sz w:val="18"/>
        </w:rPr>
        <w:t>10000</w:t>
      </w:r>
    </w:p>
    <w:p>
      <w:pPr>
        <w:pStyle w:val="BodyText"/>
        <w:spacing w:before="7"/>
        <w:rPr>
          <w:rFonts w:ascii="Times New Roman"/>
          <w:sz w:val="17"/>
        </w:rPr>
      </w:pPr>
    </w:p>
    <w:p>
      <w:pPr>
        <w:spacing w:before="0"/>
        <w:ind w:left="0" w:right="0" w:firstLine="0"/>
        <w:jc w:val="right"/>
        <w:rPr>
          <w:rFonts w:ascii="Times New Roman"/>
          <w:sz w:val="18"/>
        </w:rPr>
      </w:pPr>
      <w:r>
        <w:rPr>
          <w:rFonts w:ascii="Times New Roman"/>
          <w:w w:val="101"/>
          <w:sz w:val="18"/>
        </w:rPr>
        <w:t>0</w:t>
      </w:r>
    </w:p>
    <w:p>
      <w:pPr>
        <w:spacing w:before="61"/>
        <w:ind w:left="1570" w:right="1251" w:firstLine="0"/>
        <w:jc w:val="center"/>
        <w:rPr>
          <w:rFonts w:ascii="Times New Roman"/>
          <w:sz w:val="18"/>
        </w:rPr>
      </w:pPr>
      <w:r>
        <w:br w:type="column"/>
      </w:r>
      <w:r>
        <w:rPr>
          <w:rFonts w:ascii="Times New Roman"/>
          <w:sz w:val="18"/>
        </w:rPr>
        <w:t>46721</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
        <w:rPr>
          <w:rFonts w:ascii="Times New Roman"/>
          <w:sz w:val="23"/>
        </w:rPr>
      </w:pPr>
    </w:p>
    <w:p>
      <w:pPr>
        <w:spacing w:line="240" w:lineRule="auto"/>
        <w:ind w:left="124" w:right="-58" w:firstLine="0"/>
        <w:rPr>
          <w:rFonts w:ascii="Times New Roman"/>
          <w:sz w:val="20"/>
        </w:rPr>
      </w:pPr>
      <w:r>
        <w:rPr>
          <w:rFonts w:ascii="Times New Roman"/>
          <w:position w:val="22"/>
          <w:sz w:val="20"/>
        </w:rPr>
        <w:drawing>
          <wp:inline distT="0" distB="0" distL="0" distR="0">
            <wp:extent cx="145313" cy="161925"/>
            <wp:effectExtent l="0" t="0" r="0" b="0"/>
            <wp:docPr id="1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4.png"/>
                    <pic:cNvPicPr/>
                  </pic:nvPicPr>
                  <pic:blipFill>
                    <a:blip xmlns:r="http://schemas.openxmlformats.org/officeDocument/2006/relationships" r:embed="rId81" cstate="print"/>
                    <a:stretch>
                      <a:fillRect/>
                    </a:stretch>
                  </pic:blipFill>
                  <pic:spPr>
                    <a:xfrm>
                      <a:off x="0" y="0"/>
                      <a:ext cx="145313" cy="161925"/>
                    </a:xfrm>
                    <a:prstGeom prst="rect">
                      <a:avLst/>
                    </a:prstGeom>
                  </pic:spPr>
                </pic:pic>
              </a:graphicData>
            </a:graphic>
          </wp:inline>
        </w:drawing>
      </w:r>
      <w:r>
        <w:rPr>
          <w:rFonts w:ascii="Times New Roman"/>
          <w:spacing w:val="89"/>
          <w:position w:val="22"/>
          <w:sz w:val="20"/>
        </w:rPr>
        <w:t xml:space="preserve"> </w:t>
      </w:r>
      <w:r>
        <w:rPr>
          <w:rFonts w:ascii="Times New Roman"/>
          <w:spacing w:val="89"/>
          <w:position w:val="22"/>
          <w:sz w:val="20"/>
        </w:rPr>
        <w:drawing>
          <wp:inline distT="0" distB="0" distL="0" distR="0">
            <wp:extent cx="151079" cy="165163"/>
            <wp:effectExtent l="0" t="0" r="0" b="0"/>
            <wp:docPr id="2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5.png"/>
                    <pic:cNvPicPr/>
                  </pic:nvPicPr>
                  <pic:blipFill>
                    <a:blip xmlns:r="http://schemas.openxmlformats.org/officeDocument/2006/relationships" r:embed="rId82" cstate="print"/>
                    <a:stretch>
                      <a:fillRect/>
                    </a:stretch>
                  </pic:blipFill>
                  <pic:spPr>
                    <a:xfrm>
                      <a:off x="0" y="0"/>
                      <a:ext cx="151079" cy="165163"/>
                    </a:xfrm>
                    <a:prstGeom prst="rect">
                      <a:avLst/>
                    </a:prstGeom>
                  </pic:spPr>
                </pic:pic>
              </a:graphicData>
            </a:graphic>
          </wp:inline>
        </w:drawing>
      </w:r>
      <w:r>
        <w:rPr>
          <w:rFonts w:ascii="Times New Roman"/>
          <w:spacing w:val="80"/>
          <w:position w:val="22"/>
          <w:sz w:val="20"/>
        </w:rPr>
        <w:t xml:space="preserve"> </w:t>
      </w:r>
      <w:r>
        <w:rPr>
          <w:rFonts w:ascii="Times New Roman"/>
          <w:spacing w:val="80"/>
          <w:position w:val="23"/>
          <w:sz w:val="20"/>
        </w:rPr>
        <w:drawing>
          <wp:inline distT="0" distB="0" distL="0" distR="0">
            <wp:extent cx="142030" cy="161925"/>
            <wp:effectExtent l="0" t="0" r="0" b="0"/>
            <wp:docPr id="2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6.png"/>
                    <pic:cNvPicPr/>
                  </pic:nvPicPr>
                  <pic:blipFill>
                    <a:blip xmlns:r="http://schemas.openxmlformats.org/officeDocument/2006/relationships" r:embed="rId83" cstate="print"/>
                    <a:stretch>
                      <a:fillRect/>
                    </a:stretch>
                  </pic:blipFill>
                  <pic:spPr>
                    <a:xfrm>
                      <a:off x="0" y="0"/>
                      <a:ext cx="142030" cy="161925"/>
                    </a:xfrm>
                    <a:prstGeom prst="rect">
                      <a:avLst/>
                    </a:prstGeom>
                  </pic:spPr>
                </pic:pic>
              </a:graphicData>
            </a:graphic>
          </wp:inline>
        </w:drawing>
      </w:r>
      <w:r>
        <w:rPr>
          <w:rFonts w:ascii="Times New Roman"/>
          <w:spacing w:val="95"/>
          <w:position w:val="23"/>
          <w:sz w:val="20"/>
        </w:rPr>
        <w:t xml:space="preserve"> </w:t>
      </w:r>
      <w:r>
        <w:rPr>
          <w:rFonts w:ascii="Times New Roman"/>
          <w:spacing w:val="95"/>
          <w:position w:val="22"/>
          <w:sz w:val="20"/>
        </w:rPr>
        <w:drawing>
          <wp:inline distT="0" distB="0" distL="0" distR="0">
            <wp:extent cx="149914" cy="157162"/>
            <wp:effectExtent l="0" t="0" r="0" b="0"/>
            <wp:docPr id="2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7.png"/>
                    <pic:cNvPicPr/>
                  </pic:nvPicPr>
                  <pic:blipFill>
                    <a:blip xmlns:r="http://schemas.openxmlformats.org/officeDocument/2006/relationships" r:embed="rId84" cstate="print"/>
                    <a:stretch>
                      <a:fillRect/>
                    </a:stretch>
                  </pic:blipFill>
                  <pic:spPr>
                    <a:xfrm>
                      <a:off x="0" y="0"/>
                      <a:ext cx="149914" cy="157162"/>
                    </a:xfrm>
                    <a:prstGeom prst="rect">
                      <a:avLst/>
                    </a:prstGeom>
                  </pic:spPr>
                </pic:pic>
              </a:graphicData>
            </a:graphic>
          </wp:inline>
        </w:drawing>
      </w:r>
      <w:r>
        <w:rPr>
          <w:rFonts w:ascii="Times New Roman"/>
          <w:spacing w:val="82"/>
          <w:position w:val="22"/>
          <w:sz w:val="20"/>
        </w:rPr>
        <w:t xml:space="preserve"> </w:t>
      </w:r>
      <w:r>
        <w:rPr>
          <w:rFonts w:ascii="Times New Roman"/>
          <w:spacing w:val="82"/>
          <w:position w:val="22"/>
          <w:sz w:val="20"/>
        </w:rPr>
        <w:drawing>
          <wp:inline distT="0" distB="0" distL="0" distR="0">
            <wp:extent cx="143371" cy="157162"/>
            <wp:effectExtent l="0" t="0" r="0" b="0"/>
            <wp:docPr id="27"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8.png"/>
                    <pic:cNvPicPr/>
                  </pic:nvPicPr>
                  <pic:blipFill>
                    <a:blip xmlns:r="http://schemas.openxmlformats.org/officeDocument/2006/relationships" r:embed="rId85" cstate="print"/>
                    <a:stretch>
                      <a:fillRect/>
                    </a:stretch>
                  </pic:blipFill>
                  <pic:spPr>
                    <a:xfrm>
                      <a:off x="0" y="0"/>
                      <a:ext cx="143371" cy="157162"/>
                    </a:xfrm>
                    <a:prstGeom prst="rect">
                      <a:avLst/>
                    </a:prstGeom>
                  </pic:spPr>
                </pic:pic>
              </a:graphicData>
            </a:graphic>
          </wp:inline>
        </w:drawing>
      </w:r>
      <w:r>
        <w:rPr>
          <w:rFonts w:ascii="Times New Roman"/>
          <w:spacing w:val="92"/>
          <w:position w:val="22"/>
          <w:sz w:val="20"/>
        </w:rPr>
        <w:t xml:space="preserve"> </w:t>
      </w:r>
      <w:r>
        <w:rPr>
          <w:rFonts w:ascii="Times New Roman"/>
          <w:spacing w:val="92"/>
          <w:position w:val="22"/>
          <w:sz w:val="20"/>
        </w:rPr>
        <w:drawing>
          <wp:inline distT="0" distB="0" distL="0" distR="0">
            <wp:extent cx="149523" cy="157162"/>
            <wp:effectExtent l="0" t="0" r="0" b="0"/>
            <wp:docPr id="2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9.png"/>
                    <pic:cNvPicPr/>
                  </pic:nvPicPr>
                  <pic:blipFill>
                    <a:blip xmlns:r="http://schemas.openxmlformats.org/officeDocument/2006/relationships" r:embed="rId86" cstate="print"/>
                    <a:stretch>
                      <a:fillRect/>
                    </a:stretch>
                  </pic:blipFill>
                  <pic:spPr>
                    <a:xfrm>
                      <a:off x="0" y="0"/>
                      <a:ext cx="149523" cy="157162"/>
                    </a:xfrm>
                    <a:prstGeom prst="rect">
                      <a:avLst/>
                    </a:prstGeom>
                  </pic:spPr>
                </pic:pic>
              </a:graphicData>
            </a:graphic>
          </wp:inline>
        </w:drawing>
      </w:r>
      <w:r>
        <w:rPr>
          <w:rFonts w:ascii="Times New Roman"/>
          <w:spacing w:val="83"/>
          <w:position w:val="22"/>
          <w:sz w:val="20"/>
        </w:rPr>
        <w:t xml:space="preserve"> </w:t>
      </w:r>
      <w:r>
        <w:rPr>
          <w:rFonts w:ascii="Times New Roman"/>
          <w:spacing w:val="83"/>
          <w:position w:val="22"/>
          <w:sz w:val="20"/>
        </w:rPr>
        <w:drawing>
          <wp:inline distT="0" distB="0" distL="0" distR="0">
            <wp:extent cx="152502" cy="155448"/>
            <wp:effectExtent l="0" t="0" r="0" b="0"/>
            <wp:docPr id="3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30.png"/>
                    <pic:cNvPicPr/>
                  </pic:nvPicPr>
                  <pic:blipFill>
                    <a:blip xmlns:r="http://schemas.openxmlformats.org/officeDocument/2006/relationships" r:embed="rId87" cstate="print"/>
                    <a:stretch>
                      <a:fillRect/>
                    </a:stretch>
                  </pic:blipFill>
                  <pic:spPr>
                    <a:xfrm>
                      <a:off x="0" y="0"/>
                      <a:ext cx="152502" cy="155448"/>
                    </a:xfrm>
                    <a:prstGeom prst="rect">
                      <a:avLst/>
                    </a:prstGeom>
                  </pic:spPr>
                </pic:pic>
              </a:graphicData>
            </a:graphic>
          </wp:inline>
        </w:drawing>
      </w:r>
      <w:r>
        <w:rPr>
          <w:rFonts w:ascii="Times New Roman"/>
          <w:spacing w:val="78"/>
          <w:position w:val="22"/>
          <w:sz w:val="20"/>
        </w:rPr>
        <w:t xml:space="preserve"> </w:t>
      </w:r>
      <w:r>
        <w:rPr>
          <w:rFonts w:ascii="Times New Roman"/>
          <w:spacing w:val="78"/>
          <w:sz w:val="20"/>
        </w:rPr>
        <w:drawing>
          <wp:inline distT="0" distB="0" distL="0" distR="0">
            <wp:extent cx="387477" cy="306038"/>
            <wp:effectExtent l="0" t="0" r="0" b="0"/>
            <wp:docPr id="3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31.png"/>
                    <pic:cNvPicPr/>
                  </pic:nvPicPr>
                  <pic:blipFill>
                    <a:blip xmlns:r="http://schemas.openxmlformats.org/officeDocument/2006/relationships" r:embed="rId88" cstate="print"/>
                    <a:stretch>
                      <a:fillRect/>
                    </a:stretch>
                  </pic:blipFill>
                  <pic:spPr>
                    <a:xfrm>
                      <a:off x="0" y="0"/>
                      <a:ext cx="387477" cy="306038"/>
                    </a:xfrm>
                    <a:prstGeom prst="rect">
                      <a:avLst/>
                    </a:prstGeom>
                  </pic:spPr>
                </pic:pic>
              </a:graphicData>
            </a:graphic>
          </wp:inline>
        </w:drawing>
      </w:r>
    </w:p>
    <w:p>
      <w:pPr>
        <w:spacing w:before="110"/>
        <w:ind w:left="278" w:right="0" w:firstLine="0"/>
        <w:jc w:val="left"/>
        <w:rPr>
          <w:rFonts w:ascii="Times New Roman"/>
          <w:sz w:val="18"/>
        </w:rPr>
      </w:pPr>
      <w:r>
        <w:br w:type="column"/>
      </w:r>
      <w:r>
        <w:rPr>
          <w:rFonts w:ascii="Times New Roman"/>
          <w:sz w:val="18"/>
        </w:rPr>
        <w:t>30%</w:t>
      </w:r>
    </w:p>
    <w:p>
      <w:pPr>
        <w:pStyle w:val="BodyText"/>
        <w:spacing w:before="6"/>
        <w:rPr>
          <w:rFonts w:ascii="Times New Roman"/>
          <w:sz w:val="17"/>
        </w:rPr>
      </w:pPr>
    </w:p>
    <w:p>
      <w:pPr>
        <w:spacing w:before="0"/>
        <w:ind w:left="278" w:right="0" w:firstLine="0"/>
        <w:jc w:val="left"/>
        <w:rPr>
          <w:rFonts w:ascii="Times New Roman"/>
          <w:sz w:val="18"/>
        </w:rPr>
      </w:pPr>
      <w:r>
        <w:rPr>
          <w:rFonts w:ascii="Times New Roman"/>
          <w:sz w:val="18"/>
        </w:rPr>
        <w:t>20%</w:t>
      </w:r>
    </w:p>
    <w:p>
      <w:pPr>
        <w:pStyle w:val="BodyText"/>
        <w:spacing w:before="7"/>
        <w:rPr>
          <w:rFonts w:ascii="Times New Roman"/>
          <w:sz w:val="17"/>
        </w:rPr>
      </w:pPr>
    </w:p>
    <w:p>
      <w:pPr>
        <w:spacing w:before="0"/>
        <w:ind w:left="278" w:right="0" w:firstLine="0"/>
        <w:jc w:val="left"/>
        <w:rPr>
          <w:rFonts w:ascii="Times New Roman"/>
          <w:sz w:val="18"/>
        </w:rPr>
      </w:pPr>
      <w:r>
        <w:rPr>
          <w:rFonts w:ascii="Times New Roman"/>
          <w:sz w:val="18"/>
        </w:rPr>
        <w:t>10%</w:t>
      </w:r>
    </w:p>
    <w:p>
      <w:pPr>
        <w:pStyle w:val="BodyText"/>
        <w:spacing w:before="7"/>
        <w:rPr>
          <w:rFonts w:ascii="Times New Roman"/>
          <w:sz w:val="17"/>
        </w:rPr>
      </w:pPr>
    </w:p>
    <w:p>
      <w:pPr>
        <w:spacing w:before="0"/>
        <w:ind w:left="278" w:right="0" w:firstLine="0"/>
        <w:jc w:val="left"/>
        <w:rPr>
          <w:rFonts w:ascii="Times New Roman"/>
          <w:sz w:val="18"/>
        </w:rPr>
      </w:pPr>
      <w:r>
        <w:rPr>
          <w:rFonts w:ascii="Times New Roman"/>
          <w:sz w:val="18"/>
        </w:rPr>
        <w:t>0%</w:t>
      </w:r>
    </w:p>
    <w:p>
      <w:pPr>
        <w:pStyle w:val="BodyText"/>
        <w:spacing w:before="7"/>
        <w:rPr>
          <w:rFonts w:ascii="Times New Roman"/>
          <w:sz w:val="17"/>
        </w:rPr>
      </w:pPr>
    </w:p>
    <w:p>
      <w:pPr>
        <w:spacing w:before="0"/>
        <w:ind w:left="278" w:right="0" w:firstLine="0"/>
        <w:jc w:val="left"/>
        <w:rPr>
          <w:rFonts w:ascii="Times New Roman"/>
          <w:sz w:val="18"/>
        </w:rPr>
      </w:pPr>
      <w:r>
        <w:rPr>
          <w:rFonts w:ascii="Times New Roman"/>
          <w:sz w:val="18"/>
        </w:rPr>
        <w:t>-10%</w:t>
      </w:r>
    </w:p>
    <w:p>
      <w:pPr>
        <w:pStyle w:val="BodyText"/>
        <w:spacing w:before="7"/>
        <w:rPr>
          <w:rFonts w:ascii="Times New Roman"/>
          <w:sz w:val="17"/>
        </w:rPr>
      </w:pPr>
    </w:p>
    <w:p>
      <w:pPr>
        <w:spacing w:before="0"/>
        <w:ind w:left="278" w:right="0" w:firstLine="0"/>
        <w:jc w:val="left"/>
        <w:rPr>
          <w:rFonts w:ascii="Times New Roman"/>
          <w:sz w:val="18"/>
        </w:rPr>
      </w:pPr>
      <w:r>
        <w:rPr>
          <w:rFonts w:ascii="Times New Roman"/>
          <w:sz w:val="18"/>
        </w:rPr>
        <w:t>-20%</w:t>
      </w:r>
    </w:p>
    <w:p>
      <w:pPr>
        <w:spacing w:before="119"/>
        <w:ind w:left="0" w:right="0" w:firstLine="0"/>
        <w:jc w:val="right"/>
        <w:rPr>
          <w:rFonts w:ascii="Times New Roman"/>
          <w:sz w:val="18"/>
        </w:rPr>
      </w:pPr>
      <w:r>
        <w:br w:type="column"/>
      </w:r>
      <w:r>
        <w:rPr>
          <w:rFonts w:ascii="Times New Roman"/>
          <w:spacing w:val="-1"/>
          <w:sz w:val="18"/>
        </w:rPr>
        <w:t>10000</w:t>
      </w:r>
    </w:p>
    <w:p>
      <w:pPr>
        <w:pStyle w:val="BodyText"/>
        <w:spacing w:before="7"/>
        <w:rPr>
          <w:rFonts w:ascii="Times New Roman"/>
          <w:sz w:val="22"/>
        </w:rPr>
      </w:pPr>
    </w:p>
    <w:p>
      <w:pPr>
        <w:spacing w:before="0"/>
        <w:ind w:left="0" w:right="1" w:firstLine="0"/>
        <w:jc w:val="right"/>
        <w:rPr>
          <w:rFonts w:ascii="Times New Roman"/>
          <w:sz w:val="18"/>
        </w:rPr>
      </w:pPr>
      <w:r>
        <w:rPr>
          <w:rFonts w:ascii="Times New Roman"/>
          <w:spacing w:val="-2"/>
          <w:sz w:val="18"/>
        </w:rPr>
        <w:t>8000</w:t>
      </w:r>
    </w:p>
    <w:p>
      <w:pPr>
        <w:pStyle w:val="BodyText"/>
        <w:spacing w:before="8"/>
        <w:rPr>
          <w:rFonts w:ascii="Times New Roman"/>
          <w:sz w:val="22"/>
        </w:rPr>
      </w:pPr>
    </w:p>
    <w:p>
      <w:pPr>
        <w:spacing w:before="1"/>
        <w:ind w:left="0" w:right="1" w:firstLine="0"/>
        <w:jc w:val="right"/>
        <w:rPr>
          <w:rFonts w:ascii="Times New Roman"/>
          <w:sz w:val="18"/>
        </w:rPr>
      </w:pPr>
      <w:r>
        <w:rPr>
          <w:rFonts w:ascii="Times New Roman"/>
          <w:spacing w:val="-2"/>
          <w:sz w:val="18"/>
        </w:rPr>
        <w:t>6000</w:t>
      </w:r>
    </w:p>
    <w:p>
      <w:pPr>
        <w:pStyle w:val="BodyText"/>
        <w:spacing w:before="7"/>
        <w:rPr>
          <w:rFonts w:ascii="Times New Roman"/>
          <w:sz w:val="22"/>
        </w:rPr>
      </w:pPr>
    </w:p>
    <w:p>
      <w:pPr>
        <w:spacing w:before="0"/>
        <w:ind w:left="0" w:right="1" w:firstLine="0"/>
        <w:jc w:val="right"/>
        <w:rPr>
          <w:rFonts w:ascii="Times New Roman"/>
          <w:sz w:val="18"/>
        </w:rPr>
      </w:pPr>
      <w:r>
        <w:rPr>
          <w:rFonts w:ascii="Times New Roman"/>
          <w:spacing w:val="-2"/>
          <w:sz w:val="18"/>
        </w:rPr>
        <w:t>4000</w:t>
      </w:r>
    </w:p>
    <w:p>
      <w:pPr>
        <w:pStyle w:val="BodyText"/>
        <w:spacing w:before="8"/>
        <w:rPr>
          <w:rFonts w:ascii="Times New Roman"/>
          <w:sz w:val="22"/>
        </w:rPr>
      </w:pPr>
    </w:p>
    <w:p>
      <w:pPr>
        <w:spacing w:before="0"/>
        <w:ind w:left="0" w:right="1" w:firstLine="0"/>
        <w:jc w:val="right"/>
        <w:rPr>
          <w:rFonts w:ascii="Times New Roman"/>
          <w:sz w:val="18"/>
        </w:rPr>
      </w:pPr>
      <w:r>
        <w:rPr>
          <w:rFonts w:ascii="Times New Roman"/>
          <w:spacing w:val="-2"/>
          <w:sz w:val="18"/>
        </w:rPr>
        <w:t>2000</w:t>
      </w:r>
    </w:p>
    <w:p>
      <w:pPr>
        <w:pStyle w:val="BodyText"/>
        <w:spacing w:before="8"/>
        <w:rPr>
          <w:rFonts w:ascii="Times New Roman"/>
          <w:sz w:val="22"/>
        </w:rPr>
      </w:pPr>
    </w:p>
    <w:p>
      <w:pPr>
        <w:spacing w:before="0"/>
        <w:ind w:left="0" w:right="0" w:firstLine="0"/>
        <w:jc w:val="right"/>
        <w:rPr>
          <w:rFonts w:ascii="Times New Roman"/>
          <w:sz w:val="18"/>
        </w:rPr>
      </w:pPr>
      <w:r>
        <w:rPr>
          <w:rFonts w:ascii="Times New Roman"/>
          <w:w w:val="101"/>
          <w:sz w:val="18"/>
        </w:rPr>
        <w:t>0</w:t>
      </w:r>
    </w:p>
    <w:p>
      <w:pPr>
        <w:pStyle w:val="BodyText"/>
        <w:rPr>
          <w:rFonts w:ascii="Times New Roman"/>
          <w:sz w:val="20"/>
        </w:rPr>
      </w:pPr>
      <w:r>
        <w:br w:type="column"/>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tabs>
          <w:tab w:val="left" w:pos="821"/>
          <w:tab w:val="left" w:pos="1385"/>
          <w:tab w:val="left" w:pos="1948"/>
          <w:tab w:val="left" w:pos="2511"/>
          <w:tab w:val="left" w:pos="3074"/>
        </w:tabs>
        <w:spacing w:before="139"/>
        <w:ind w:left="258" w:right="0" w:firstLine="0"/>
        <w:jc w:val="left"/>
        <w:rPr>
          <w:rFonts w:ascii="Times New Roman"/>
          <w:sz w:val="18"/>
        </w:rPr>
      </w:pPr>
      <w:r>
        <w:rPr>
          <w:rFonts w:ascii="Times New Roman"/>
          <w:sz w:val="18"/>
        </w:rPr>
        <w:t>2016</w:t>
        <w:tab/>
        <w:t>2017</w:t>
        <w:tab/>
        <w:t>2018</w:t>
        <w:tab/>
        <w:t>2019</w:t>
        <w:tab/>
        <w:t>2020</w:t>
        <w:tab/>
      </w:r>
      <w:r>
        <w:rPr>
          <w:rFonts w:ascii="Times New Roman"/>
          <w:spacing w:val="-7"/>
          <w:sz w:val="18"/>
        </w:rPr>
        <w:t>2021</w:t>
      </w:r>
    </w:p>
    <w:p>
      <w:pPr>
        <w:spacing w:before="119"/>
        <w:ind w:left="214" w:right="0" w:firstLine="0"/>
        <w:jc w:val="left"/>
        <w:rPr>
          <w:rFonts w:ascii="Times New Roman"/>
          <w:sz w:val="18"/>
        </w:rPr>
      </w:pPr>
      <w:r>
        <w:br w:type="column"/>
      </w:r>
      <w:r>
        <w:rPr>
          <w:rFonts w:ascii="Times New Roman"/>
          <w:sz w:val="18"/>
        </w:rPr>
        <w:t>70%</w:t>
      </w:r>
    </w:p>
    <w:p>
      <w:pPr>
        <w:spacing w:before="127"/>
        <w:ind w:left="214" w:right="0" w:firstLine="0"/>
        <w:jc w:val="left"/>
        <w:rPr>
          <w:rFonts w:ascii="Times New Roman"/>
          <w:sz w:val="18"/>
        </w:rPr>
      </w:pPr>
      <w:r>
        <w:pict>
          <v:group id="_x0000_s1432" style="width:169.65pt;height:117.7pt;margin-top:-5.07pt;margin-left:332.54pt;mso-position-horizontal-relative:page;position:absolute;z-index:251721728" coordorigin="6651,-101" coordsize="3393,2354">
            <v:rect id="_x0000_s1433" style="width:226;height:388;left:6825;position:absolute;top:1856" filled="t" fillcolor="#9e3e3b" stroked="f">
              <v:fill type="solid"/>
            </v:rect>
            <v:rect id="_x0000_s1434" style="width:226;height:388;left:6825;position:absolute;top:1856" filled="f" stroked="t" strokecolor="#b34745" strokeweight="0.75pt">
              <v:stroke dashstyle="solid"/>
            </v:rect>
            <v:rect id="_x0000_s1435" style="width:221;height:643;left:7392;position:absolute;top:1602" filled="t" fillcolor="#9e3e3b" stroked="f">
              <v:fill type="solid"/>
            </v:rect>
            <v:rect id="_x0000_s1436" style="width:221;height:643;left:7392;position:absolute;top:1602" filled="f" stroked="t" strokecolor="#b34745" strokeweight="0.75pt">
              <v:stroke dashstyle="solid"/>
            </v:rect>
            <v:rect id="_x0000_s1437" style="width:226;height:993;left:7953;position:absolute;top:1251" filled="t" fillcolor="#9e3e3b" stroked="f">
              <v:fill type="solid"/>
            </v:rect>
            <v:rect id="_x0000_s1438" style="width:226;height:993;left:7953;position:absolute;top:1251" filled="f" stroked="t" strokecolor="#b34745" strokeweight="0.75pt">
              <v:stroke dashstyle="solid"/>
            </v:rect>
            <v:rect id="_x0000_s1439" style="width:226;height:1584;left:8515;position:absolute;top:661" filled="t" fillcolor="#9e3e3b" stroked="f">
              <v:fill type="solid"/>
            </v:rect>
            <v:rect id="_x0000_s1440" style="width:226;height:1584;left:8515;position:absolute;top:661" filled="f" stroked="t" strokecolor="#b34745" strokeweight="0.75pt">
              <v:stroke dashstyle="solid"/>
            </v:rect>
            <v:rect id="_x0000_s1441" style="width:226;height:1555;left:9076;position:absolute;top:690" filled="t" fillcolor="#9e3e3b" stroked="f">
              <v:fill type="solid"/>
            </v:rect>
            <v:rect id="_x0000_s1442" style="width:226;height:1555;left:9076;position:absolute;top:690" filled="f" stroked="t" strokecolor="#b34745" strokeweight="0.75pt">
              <v:stroke dashstyle="solid"/>
            </v:rect>
            <v:rect id="_x0000_s1443" style="width:226;height:1900;left:9643;position:absolute;top:344" filled="t" fillcolor="#9e3e3b" stroked="f">
              <v:fill type="solid"/>
            </v:rect>
            <v:rect id="_x0000_s1444" style="width:226;height:1900;left:9643;position:absolute;top:344" filled="f" stroked="t" strokecolor="#b34745" strokeweight="0.75pt">
              <v:stroke dashstyle="solid"/>
            </v:rect>
            <v:shape id="_x0000_s1445" style="width:3378;height:2339;left:6658;position:absolute;top:-94" coordorigin="6658,-94" coordsize="3378,2339" path="m10036,2244l10036,-94m9983,2244l10036,2244m9983,1909l10036,1909m9983,1578l10036,1578m9983,1242l10036,1242m9983,906l10036,906m9983,575l10036,575m9983,239l10036,239m9983,-94l10036,-94m6658,2244l6658,-94m6658,2244l6712,2244m6658,1775l6712,1775m6658,1309l6712,1309m6658,844l6712,844m6658,373l6712,373m6658,-94l6712,-94e" filled="f" stroked="t" strokecolor="#aeabab" strokeweight="0.75pt">
              <v:stroke dashstyle="solid"/>
              <v:path arrowok="t"/>
            </v:shape>
            <v:line id="_x0000_s1446" style="position:absolute" from="6658,2244" to="10036,2244" stroked="t" strokecolor="#d9d9d9" strokeweight="0.75pt">
              <v:stroke dashstyle="solid"/>
            </v:line>
            <v:shape id="_x0000_s1447" style="width:2252;height:1664;left:7502;position:absolute;top:79" coordorigin="7503,80" coordsize="2252,1664" path="m7503,80l8064,402,8630,1040,9192,1743,9754,1506e" filled="f" stroked="t" strokecolor="#e1b987" strokeweight="2.25pt">
              <v:stroke dashstyle="solid"/>
              <v:path arrowok="t"/>
            </v:shape>
            <v:shape id="_x0000_s1448" type="#_x0000_t202" style="width:385;height:202;left:9576;position:absolute;top:55" filled="f" stroked="f">
              <v:textbox inset="0,0,0,0">
                <w:txbxContent>
                  <w:p>
                    <w:pPr>
                      <w:spacing w:before="0" w:line="201" w:lineRule="exact"/>
                      <w:ind w:left="0" w:right="0" w:firstLine="0"/>
                      <w:jc w:val="left"/>
                      <w:rPr>
                        <w:rFonts w:ascii="Times New Roman"/>
                        <w:sz w:val="18"/>
                      </w:rPr>
                    </w:pPr>
                    <w:r>
                      <w:rPr>
                        <w:rFonts w:ascii="Times New Roman"/>
                        <w:sz w:val="18"/>
                      </w:rPr>
                      <w:t>8117</w:t>
                    </w:r>
                  </w:p>
                </w:txbxContent>
              </v:textbox>
            </v:shape>
            <v:shape id="_x0000_s1449" type="#_x0000_t202" style="width:949;height:234;left:8450;position:absolute;top:368" filled="f" stroked="f">
              <v:textbox inset="0,0,0,0">
                <w:txbxContent>
                  <w:p>
                    <w:pPr>
                      <w:spacing w:before="0" w:line="231" w:lineRule="exact"/>
                      <w:ind w:left="0" w:right="0" w:firstLine="0"/>
                      <w:jc w:val="left"/>
                      <w:rPr>
                        <w:rFonts w:ascii="Times New Roman"/>
                        <w:sz w:val="18"/>
                      </w:rPr>
                    </w:pPr>
                    <w:r>
                      <w:rPr>
                        <w:rFonts w:ascii="Times New Roman"/>
                        <w:sz w:val="18"/>
                      </w:rPr>
                      <w:t xml:space="preserve">6779 </w:t>
                    </w:r>
                    <w:r>
                      <w:rPr>
                        <w:rFonts w:ascii="Times New Roman"/>
                        <w:position w:val="-2"/>
                        <w:sz w:val="18"/>
                      </w:rPr>
                      <w:t>6646</w:t>
                    </w:r>
                  </w:p>
                </w:txbxContent>
              </v:textbox>
            </v:shape>
            <v:shape id="_x0000_s1450" type="#_x0000_t202" style="width:385;height:202;left:7886;position:absolute;top:960" filled="f" stroked="f">
              <v:textbox inset="0,0,0,0">
                <w:txbxContent>
                  <w:p>
                    <w:pPr>
                      <w:spacing w:before="0" w:line="201" w:lineRule="exact"/>
                      <w:ind w:left="0" w:right="0" w:firstLine="0"/>
                      <w:jc w:val="left"/>
                      <w:rPr>
                        <w:rFonts w:ascii="Times New Roman"/>
                        <w:sz w:val="18"/>
                      </w:rPr>
                    </w:pPr>
                    <w:r>
                      <w:rPr>
                        <w:rFonts w:ascii="Times New Roman"/>
                        <w:sz w:val="18"/>
                      </w:rPr>
                      <w:t>4250</w:t>
                    </w:r>
                  </w:p>
                </w:txbxContent>
              </v:textbox>
            </v:shape>
            <v:shape id="_x0000_s1451" type="#_x0000_t202" style="width:385;height:202;left:7323;position:absolute;top:1313" filled="f" stroked="f">
              <v:textbox inset="0,0,0,0">
                <w:txbxContent>
                  <w:p>
                    <w:pPr>
                      <w:spacing w:before="0" w:line="201" w:lineRule="exact"/>
                      <w:ind w:left="0" w:right="0" w:firstLine="0"/>
                      <w:jc w:val="left"/>
                      <w:rPr>
                        <w:rFonts w:ascii="Times New Roman"/>
                        <w:sz w:val="18"/>
                      </w:rPr>
                    </w:pPr>
                    <w:r>
                      <w:rPr>
                        <w:rFonts w:ascii="Times New Roman"/>
                        <w:sz w:val="18"/>
                      </w:rPr>
                      <w:t>2741</w:t>
                    </w:r>
                  </w:p>
                </w:txbxContent>
              </v:textbox>
            </v:shape>
            <v:shape id="_x0000_s1452" type="#_x0000_t202" style="width:387;height:203;left:6760;position:absolute;top:1564" filled="f" stroked="f">
              <v:textbox inset="0,0,0,0">
                <w:txbxContent>
                  <w:p>
                    <w:pPr>
                      <w:spacing w:before="0" w:line="202" w:lineRule="exact"/>
                      <w:ind w:left="0" w:right="0" w:firstLine="0"/>
                      <w:jc w:val="left"/>
                      <w:rPr>
                        <w:rFonts w:ascii="Times New Roman"/>
                        <w:sz w:val="18"/>
                      </w:rPr>
                    </w:pPr>
                    <w:r>
                      <w:rPr>
                        <w:rFonts w:ascii="Times New Roman"/>
                        <w:sz w:val="18"/>
                      </w:rPr>
                      <w:t>1663</w:t>
                    </w:r>
                  </w:p>
                </w:txbxContent>
              </v:textbox>
            </v:shape>
          </v:group>
        </w:pict>
      </w:r>
      <w:r>
        <w:rPr>
          <w:rFonts w:ascii="Times New Roman"/>
          <w:sz w:val="18"/>
        </w:rPr>
        <w:t>60%</w:t>
      </w:r>
    </w:p>
    <w:p>
      <w:pPr>
        <w:spacing w:before="127"/>
        <w:ind w:left="214" w:right="0" w:firstLine="0"/>
        <w:jc w:val="left"/>
        <w:rPr>
          <w:rFonts w:ascii="Times New Roman"/>
          <w:sz w:val="18"/>
        </w:rPr>
      </w:pPr>
      <w:r>
        <w:rPr>
          <w:rFonts w:ascii="Times New Roman"/>
          <w:sz w:val="18"/>
        </w:rPr>
        <w:t>50%</w:t>
      </w:r>
    </w:p>
    <w:p>
      <w:pPr>
        <w:spacing w:before="127"/>
        <w:ind w:left="214" w:right="0" w:firstLine="0"/>
        <w:jc w:val="left"/>
        <w:rPr>
          <w:rFonts w:ascii="Times New Roman"/>
          <w:sz w:val="18"/>
        </w:rPr>
      </w:pPr>
      <w:r>
        <w:rPr>
          <w:rFonts w:ascii="Times New Roman"/>
          <w:sz w:val="18"/>
        </w:rPr>
        <w:t>40%</w:t>
      </w:r>
    </w:p>
    <w:p>
      <w:pPr>
        <w:spacing w:before="127"/>
        <w:ind w:left="214" w:right="0" w:firstLine="0"/>
        <w:jc w:val="left"/>
        <w:rPr>
          <w:rFonts w:ascii="Times New Roman"/>
          <w:sz w:val="18"/>
        </w:rPr>
      </w:pPr>
      <w:r>
        <w:rPr>
          <w:rFonts w:ascii="Times New Roman"/>
          <w:sz w:val="18"/>
        </w:rPr>
        <w:t>30%</w:t>
      </w:r>
    </w:p>
    <w:p>
      <w:pPr>
        <w:spacing w:before="127"/>
        <w:ind w:left="214" w:right="0" w:firstLine="0"/>
        <w:jc w:val="left"/>
        <w:rPr>
          <w:rFonts w:ascii="Times New Roman"/>
          <w:sz w:val="18"/>
        </w:rPr>
      </w:pPr>
      <w:r>
        <w:rPr>
          <w:rFonts w:ascii="Times New Roman"/>
          <w:sz w:val="18"/>
        </w:rPr>
        <w:t>20%</w:t>
      </w:r>
    </w:p>
    <w:p>
      <w:pPr>
        <w:spacing w:before="128"/>
        <w:ind w:left="214" w:right="0" w:firstLine="0"/>
        <w:jc w:val="left"/>
        <w:rPr>
          <w:rFonts w:ascii="Times New Roman"/>
          <w:sz w:val="18"/>
        </w:rPr>
      </w:pPr>
      <w:r>
        <w:rPr>
          <w:rFonts w:ascii="Times New Roman"/>
          <w:sz w:val="18"/>
        </w:rPr>
        <w:t>10%</w:t>
      </w:r>
    </w:p>
    <w:p>
      <w:pPr>
        <w:spacing w:before="127"/>
        <w:ind w:left="214" w:right="0" w:firstLine="0"/>
        <w:jc w:val="left"/>
        <w:rPr>
          <w:rFonts w:ascii="Times New Roman"/>
          <w:sz w:val="18"/>
        </w:rPr>
      </w:pPr>
      <w:r>
        <w:rPr>
          <w:rFonts w:ascii="Times New Roman"/>
          <w:sz w:val="18"/>
        </w:rPr>
        <w:t>0%</w:t>
      </w:r>
    </w:p>
    <w:p>
      <w:pPr>
        <w:spacing w:after="0"/>
        <w:jc w:val="left"/>
        <w:rPr>
          <w:rFonts w:ascii="Times New Roman"/>
          <w:sz w:val="18"/>
        </w:rPr>
        <w:sectPr>
          <w:headerReference w:type="default" r:id="rId89"/>
          <w:footerReference w:type="default" r:id="rId90"/>
          <w:type w:val="continuous"/>
          <w:pgSz w:w="11910" w:h="16840"/>
          <w:pgMar w:top="1700" w:right="0" w:bottom="1500" w:left="440" w:header="708" w:footer="708"/>
          <w:pgNumType w:start="28"/>
          <w:cols w:num="6" w:space="708" w:equalWidth="0">
            <w:col w:w="801" w:space="40"/>
            <w:col w:w="3311" w:space="39"/>
            <w:col w:w="712" w:space="320"/>
            <w:col w:w="801" w:space="40"/>
            <w:col w:w="3435" w:space="39"/>
            <w:col w:w="1932" w:space="0"/>
          </w:cols>
        </w:sectPr>
      </w:pPr>
    </w:p>
    <w:p>
      <w:pPr>
        <w:pStyle w:val="BodyText"/>
        <w:spacing w:before="2"/>
        <w:rPr>
          <w:rFonts w:ascii="Times New Roman"/>
          <w:sz w:val="15"/>
        </w:rPr>
      </w:pPr>
    </w:p>
    <w:p>
      <w:pPr>
        <w:tabs>
          <w:tab w:val="left" w:pos="3388"/>
          <w:tab w:val="left" w:pos="6458"/>
          <w:tab w:val="left" w:pos="8611"/>
        </w:tabs>
        <w:spacing w:before="0"/>
        <w:ind w:left="1235" w:right="0" w:firstLine="0"/>
        <w:jc w:val="left"/>
        <w:rPr>
          <w:sz w:val="18"/>
        </w:rPr>
      </w:pPr>
      <w:r>
        <w:pict>
          <v:group id="_x0000_s1453" style="width:19.95pt;height:5.25pt;margin-top:3.29pt;margin-left:62.15pt;mso-position-horizontal-relative:page;position:absolute;z-index:251727872" coordorigin="1243,66" coordsize="399,105">
            <v:line id="_x0000_s1454" style="position:absolute" from="1251,118" to="1635,118" stroked="t" strokecolor="#9e3e3b" strokeweight="4.48pt">
              <v:stroke dashstyle="solid"/>
            </v:line>
            <v:rect id="_x0000_s1455" style="width:384;height:90;left:1250;position:absolute;top:73" filled="f" stroked="t" strokecolor="#b34745" strokeweight="0.75pt">
              <v:stroke dashstyle="solid"/>
            </v:rect>
          </v:group>
        </w:pict>
      </w:r>
      <w:r>
        <w:pict>
          <v:line id="_x0000_s1456" style="mso-position-horizontal-relative:page;position:absolute;z-index:-251593728" from="170.1pt,5.9pt" to="189.3pt,5.9pt" stroked="t" strokecolor="#e1b987" strokeweight="2.25pt">
            <v:stroke dashstyle="solid"/>
          </v:line>
        </w:pict>
      </w:r>
      <w:r>
        <w:pict>
          <v:group id="_x0000_s1457" style="width:19.95pt;height:5.25pt;margin-top:3.14pt;margin-left:323.2pt;mso-position-horizontal-relative:page;position:absolute;z-index:-251592704" coordorigin="6464,63" coordsize="399,105">
            <v:line id="_x0000_s1458" style="position:absolute" from="6471,115" to="6855,115" stroked="t" strokecolor="#9e3e3b" strokeweight="4.48pt">
              <v:stroke dashstyle="solid"/>
            </v:line>
            <v:rect id="_x0000_s1459" style="width:384;height:90;left:6471;position:absolute;top:70" filled="f" stroked="t" strokecolor="#b34745" strokeweight="0.75pt">
              <v:stroke dashstyle="solid"/>
            </v:rect>
          </v:group>
        </w:pict>
      </w:r>
      <w:r>
        <w:pict>
          <v:line id="_x0000_s1460" style="mso-position-horizontal-relative:page;position:absolute;z-index:-251591680" from="431.15pt,5.75pt" to="450.35pt,5.75pt" stroked="t" strokecolor="#e1b987" strokeweight="2.25pt">
            <v:stroke dashstyle="solid"/>
          </v:line>
        </w:pict>
      </w:r>
      <w:r>
        <w:rPr>
          <w:sz w:val="18"/>
        </w:rPr>
        <w:t>市场</w:t>
      </w:r>
      <w:r>
        <w:rPr>
          <w:spacing w:val="-6"/>
          <w:sz w:val="18"/>
        </w:rPr>
        <w:t>规</w:t>
      </w:r>
      <w:r>
        <w:rPr>
          <w:sz w:val="18"/>
        </w:rPr>
        <w:t>模</w:t>
      </w:r>
      <w:r>
        <w:rPr>
          <w:spacing w:val="-6"/>
          <w:sz w:val="18"/>
        </w:rPr>
        <w:t>（</w:t>
      </w:r>
      <w:r>
        <w:rPr>
          <w:sz w:val="18"/>
        </w:rPr>
        <w:t>亿</w:t>
      </w:r>
      <w:r>
        <w:rPr>
          <w:spacing w:val="-6"/>
          <w:sz w:val="18"/>
        </w:rPr>
        <w:t>元</w:t>
      </w:r>
      <w:r>
        <w:rPr>
          <w:sz w:val="18"/>
        </w:rPr>
        <w:t>）</w:t>
        <w:tab/>
        <w:t>增速</w:t>
      </w:r>
      <w:r>
        <w:rPr>
          <w:spacing w:val="-6"/>
          <w:sz w:val="18"/>
        </w:rPr>
        <w:t>（</w:t>
      </w:r>
      <w:r>
        <w:rPr>
          <w:sz w:val="18"/>
        </w:rPr>
        <w:t>右</w:t>
      </w:r>
      <w:r>
        <w:rPr>
          <w:spacing w:val="-6"/>
          <w:sz w:val="18"/>
        </w:rPr>
        <w:t>轴</w:t>
      </w:r>
      <w:r>
        <w:rPr>
          <w:sz w:val="18"/>
        </w:rPr>
        <w:t>）</w:t>
        <w:tab/>
        <w:t>市场</w:t>
      </w:r>
      <w:r>
        <w:rPr>
          <w:spacing w:val="-5"/>
          <w:sz w:val="18"/>
        </w:rPr>
        <w:t>规</w:t>
      </w:r>
      <w:r>
        <w:rPr>
          <w:sz w:val="18"/>
        </w:rPr>
        <w:t>模</w:t>
      </w:r>
      <w:r>
        <w:rPr>
          <w:spacing w:val="-5"/>
          <w:sz w:val="18"/>
        </w:rPr>
        <w:t>（</w:t>
      </w:r>
      <w:r>
        <w:rPr>
          <w:sz w:val="18"/>
        </w:rPr>
        <w:t>亿</w:t>
      </w:r>
      <w:r>
        <w:rPr>
          <w:spacing w:val="-5"/>
          <w:sz w:val="18"/>
        </w:rPr>
        <w:t>元</w:t>
      </w:r>
      <w:r>
        <w:rPr>
          <w:sz w:val="18"/>
        </w:rPr>
        <w:t>）</w:t>
        <w:tab/>
        <w:t>增速</w:t>
      </w:r>
      <w:r>
        <w:rPr>
          <w:spacing w:val="-5"/>
          <w:sz w:val="18"/>
        </w:rPr>
        <w:t>（</w:t>
      </w:r>
      <w:r>
        <w:rPr>
          <w:sz w:val="18"/>
        </w:rPr>
        <w:t>右</w:t>
      </w:r>
      <w:r>
        <w:rPr>
          <w:spacing w:val="-5"/>
          <w:sz w:val="18"/>
        </w:rPr>
        <w:t>轴</w:t>
      </w:r>
      <w:r>
        <w:rPr>
          <w:sz w:val="18"/>
        </w:rPr>
        <w:t>）</w:t>
      </w:r>
    </w:p>
    <w:p>
      <w:pPr>
        <w:pStyle w:val="BodyText"/>
        <w:spacing w:before="8"/>
        <w:rPr>
          <w:sz w:val="10"/>
        </w:rPr>
      </w:pPr>
      <w:r>
        <w:pict>
          <v:shape id="_x0000_s1461" style="width:249.5pt;height:0.1pt;margin-top:9.01pt;margin-left:27.6pt;mso-position-horizontal-relative:page;mso-wrap-distance-left:0;mso-wrap-distance-right:0;position:absolute;z-index:-251590656" coordorigin="552,180" coordsize="4990,0" path="m552,180l5542,180e" filled="f" stroked="t" strokecolor="#9c4a45" strokeweight="0.48pt">
            <v:stroke dashstyle="solid"/>
            <v:path arrowok="t"/>
            <w10:wrap type="topAndBottom"/>
          </v:shape>
        </w:pict>
      </w:r>
      <w:r>
        <w:pict>
          <v:shape id="_x0000_s1462" style="width:249.25pt;height:0.1pt;margin-top:9.01pt;margin-left:288.84pt;mso-position-horizontal-relative:page;mso-wrap-distance-left:0;mso-wrap-distance-right:0;position:absolute;z-index:-251589632" coordorigin="5777,180" coordsize="4985,0" path="m5777,180l10761,180e" filled="f" stroked="t" strokecolor="#9c4a45" strokeweight="0.48pt">
            <v:stroke dashstyle="solid"/>
            <v:path arrowok="t"/>
            <w10:wrap type="topAndBottom"/>
          </v:shape>
        </w:pict>
      </w:r>
    </w:p>
    <w:p>
      <w:pPr>
        <w:tabs>
          <w:tab w:val="left" w:pos="5336"/>
        </w:tabs>
        <w:spacing w:before="42"/>
        <w:ind w:left="112" w:right="0" w:firstLine="0"/>
        <w:jc w:val="left"/>
        <w:rPr>
          <w:sz w:val="15"/>
        </w:rPr>
      </w:pPr>
      <w:r>
        <w:t xml:space="preserve">数据来源：国家统计局、艾媒数据中心， </w:t>
        <w:tab/>
        <w:t xml:space="preserve">数据来源：华经产业研究院， </w:t>
      </w:r>
    </w:p>
    <w:p>
      <w:pPr>
        <w:pStyle w:val="BodyText"/>
        <w:spacing w:before="7"/>
        <w:rPr>
          <w:sz w:val="12"/>
        </w:rPr>
      </w:pPr>
    </w:p>
    <w:p>
      <w:pPr>
        <w:pStyle w:val="BodyText"/>
        <w:spacing w:before="72" w:line="328" w:lineRule="auto"/>
        <w:ind w:left="2964" w:right="1122"/>
        <w:jc w:val="both"/>
      </w:pPr>
      <w:r>
        <w:rPr>
          <w:b/>
          <w:spacing w:val="-2"/>
        </w:rPr>
        <w:t>餐饮连锁化率提升进一步带动复合调味品标准化需求。</w:t>
      </w:r>
      <w:r>
        <w:rPr>
          <w:spacing w:val="-5"/>
        </w:rPr>
        <w:t>据艾媒咨询数据显示，我</w:t>
      </w:r>
      <w:r>
        <w:rPr>
          <w:spacing w:val="-7"/>
        </w:rPr>
        <w:t xml:space="preserve">国餐饮行业连锁化率稳步提升，由 </w:t>
      </w:r>
      <w:r>
        <w:rPr>
          <w:rFonts w:ascii="Times New Roman" w:eastAsia="Times New Roman"/>
        </w:rPr>
        <w:t xml:space="preserve">2018 </w:t>
      </w:r>
      <w:r>
        <w:rPr>
          <w:spacing w:val="-18"/>
        </w:rPr>
        <w:t xml:space="preserve">年的 </w:t>
      </w:r>
      <w:r>
        <w:rPr>
          <w:rFonts w:ascii="Times New Roman" w:eastAsia="Times New Roman"/>
        </w:rPr>
        <w:t>12%</w:t>
      </w:r>
      <w:r>
        <w:rPr>
          <w:spacing w:val="-14"/>
        </w:rPr>
        <w:t xml:space="preserve">提升到 </w:t>
      </w:r>
      <w:r>
        <w:rPr>
          <w:rFonts w:ascii="Times New Roman" w:eastAsia="Times New Roman"/>
        </w:rPr>
        <w:t xml:space="preserve">2021 </w:t>
      </w:r>
      <w:r>
        <w:rPr>
          <w:spacing w:val="-18"/>
        </w:rPr>
        <w:t xml:space="preserve">年的 </w:t>
      </w:r>
      <w:r>
        <w:rPr>
          <w:rFonts w:ascii="Times New Roman" w:eastAsia="Times New Roman"/>
        </w:rPr>
        <w:t>18%</w:t>
      </w:r>
      <w:r>
        <w:rPr>
          <w:spacing w:val="-6"/>
        </w:rPr>
        <w:t>。美国和</w:t>
      </w:r>
      <w:r>
        <w:rPr>
          <w:spacing w:val="-8"/>
        </w:rPr>
        <w:t xml:space="preserve">日本 </w:t>
      </w:r>
      <w:r>
        <w:rPr>
          <w:rFonts w:ascii="Times New Roman" w:eastAsia="Times New Roman"/>
        </w:rPr>
        <w:t xml:space="preserve">2020 </w:t>
      </w:r>
      <w:r>
        <w:rPr>
          <w:spacing w:val="-6"/>
        </w:rPr>
        <w:t xml:space="preserve">年餐饮连锁化率分别为 </w:t>
      </w:r>
      <w:r>
        <w:rPr>
          <w:rFonts w:ascii="Times New Roman" w:eastAsia="Times New Roman"/>
        </w:rPr>
        <w:t>54%</w:t>
      </w:r>
      <w:r>
        <w:rPr>
          <w:spacing w:val="-11"/>
        </w:rPr>
        <w:t xml:space="preserve">和 </w:t>
      </w:r>
      <w:r>
        <w:rPr>
          <w:rFonts w:ascii="Times New Roman" w:eastAsia="Times New Roman"/>
        </w:rPr>
        <w:t>49%</w:t>
      </w:r>
      <w:r>
        <w:rPr>
          <w:spacing w:val="-6"/>
        </w:rPr>
        <w:t>，相较而言，我国餐饮连锁化率仍</w:t>
      </w:r>
      <w:r>
        <w:rPr>
          <w:spacing w:val="-16"/>
        </w:rPr>
        <w:t xml:space="preserve">有 </w:t>
      </w:r>
      <w:r>
        <w:rPr>
          <w:rFonts w:ascii="Times New Roman" w:eastAsia="Times New Roman"/>
        </w:rPr>
        <w:t xml:space="preserve">3~4 </w:t>
      </w:r>
      <w:r>
        <w:rPr>
          <w:spacing w:val="-6"/>
        </w:rPr>
        <w:t xml:space="preserve">倍的提升空间。此外，降本增效是餐饮企业实现连锁化扩张的必然要求， </w:t>
      </w:r>
      <w:r>
        <w:rPr>
          <w:spacing w:val="-5"/>
        </w:rPr>
        <w:t>例如减少后厨人员数量及菜品加工步骤，在保持高出餐速的同时保证菜品口味一</w:t>
      </w:r>
      <w:r>
        <w:rPr>
          <w:spacing w:val="-1"/>
        </w:rPr>
        <w:t>致性、稳定性、独特性。</w:t>
      </w:r>
      <w:r>
        <w:rPr>
          <w:spacing w:val="-4"/>
          <w:u w:val="single"/>
        </w:rPr>
        <w:t>复合调味品能满足餐饮企业上述需求，定制化解决方案</w:t>
      </w:r>
      <w:r>
        <w:rPr>
          <w:spacing w:val="-5"/>
          <w:u w:val="single"/>
        </w:rPr>
        <w:t>锁定口味，降低烹饪难度，助力打造中央厨房，标准化生产满足口味稳定性及大</w:t>
      </w:r>
      <w:r>
        <w:rPr>
          <w:spacing w:val="-192"/>
          <w:u w:val="single"/>
        </w:rPr>
        <w:t>量</w:t>
      </w:r>
      <w:r>
        <w:rPr>
          <w:spacing w:val="-5"/>
          <w:u w:val="single"/>
        </w:rPr>
        <w:t>需求。因此，标准化复合调味品有望在餐饮渠道进一步提高其渗透率。</w:t>
      </w:r>
    </w:p>
    <w:p>
      <w:pPr>
        <w:pStyle w:val="BodyText"/>
        <w:spacing w:before="8"/>
        <w:rPr>
          <w:sz w:val="22"/>
        </w:rPr>
      </w:pPr>
    </w:p>
    <w:p>
      <w:pPr>
        <w:pStyle w:val="BodyText"/>
        <w:tabs>
          <w:tab w:val="left" w:pos="5096"/>
          <w:tab w:val="left" w:pos="5336"/>
          <w:tab w:val="left" w:pos="10321"/>
        </w:tabs>
        <w:spacing w:before="79"/>
        <w:ind w:left="112"/>
      </w:pPr>
      <w:r>
        <w:pict>
          <v:group id="_x0000_s1463" style="width:197.2pt;height:121.85pt;margin-top:25.84pt;margin-left:324.27pt;mso-position-horizontal-relative:page;position:absolute;z-index:251728896" coordorigin="6485,517" coordsize="3944,2437">
            <v:rect id="_x0000_s1464" style="width:524;height:2142;left:6888;position:absolute;top:804" filled="t" fillcolor="#b34745" stroked="f">
              <v:fill type="solid"/>
            </v:rect>
            <v:rect id="_x0000_s1465" style="width:524;height:2142;left:6888;position:absolute;top:804" filled="f" stroked="t" strokecolor="#b34745" strokeweight="0.75pt">
              <v:stroke dashstyle="solid"/>
            </v:rect>
            <v:rect id="_x0000_s1466" style="width:524;height:1945;left:8198;position:absolute;top:1001" filled="t" fillcolor="#b34745" stroked="f">
              <v:fill type="solid"/>
            </v:rect>
            <v:rect id="_x0000_s1467" style="width:524;height:1945;left:8198;position:absolute;top:1001" filled="f" stroked="t" strokecolor="#b34745" strokeweight="0.75pt">
              <v:stroke dashstyle="solid"/>
            </v:rect>
            <v:rect id="_x0000_s1468" style="width:528;height:596;left:9508;position:absolute;top:2350" filled="t" fillcolor="#b34745" stroked="f">
              <v:fill type="solid"/>
            </v:rect>
            <v:rect id="_x0000_s1469" style="width:528;height:596;left:9508;position:absolute;top:2350" filled="f" stroked="t" strokecolor="#b34745" strokeweight="0.75pt">
              <v:stroke dashstyle="solid"/>
            </v:rect>
            <v:shape id="_x0000_s1470" style="width:54;height:2379;left:6493;position:absolute;top:567" coordorigin="6493,567" coordsize="54,2379" path="m6493,2946l6493,567m6493,2946l6546,2946m6493,2552l6546,2552m6493,2153l6546,2153m6493,1755l6546,1755m6493,1361l6546,1361m6493,963l6546,963m6493,567l6546,567e" filled="f" stroked="t" strokecolor="#aeabab" strokeweight="0.75pt">
              <v:stroke dashstyle="solid"/>
              <v:path arrowok="t"/>
            </v:shape>
            <v:line id="_x0000_s1471" style="position:absolute" from="6493,2946" to="10429,2946" stroked="t" strokecolor="#d9d9d9" strokeweight="0.75pt">
              <v:stroke dashstyle="solid"/>
            </v:line>
            <v:shape id="_x0000_s1472" type="#_x0000_t202" style="width:355;height:202;left:6984;position:absolute;top:516" filled="f" stroked="f">
              <v:textbox inset="0,0,0,0">
                <w:txbxContent>
                  <w:p>
                    <w:pPr>
                      <w:spacing w:before="0" w:line="201" w:lineRule="exact"/>
                      <w:ind w:left="0" w:right="0" w:firstLine="0"/>
                      <w:jc w:val="left"/>
                      <w:rPr>
                        <w:rFonts w:ascii="Times New Roman"/>
                        <w:sz w:val="18"/>
                      </w:rPr>
                    </w:pPr>
                    <w:r>
                      <w:rPr>
                        <w:rFonts w:ascii="Times New Roman"/>
                        <w:sz w:val="18"/>
                      </w:rPr>
                      <w:t>54%</w:t>
                    </w:r>
                  </w:p>
                </w:txbxContent>
              </v:textbox>
            </v:shape>
            <v:shape id="_x0000_s1473" type="#_x0000_t202" style="width:355;height:202;left:8296;position:absolute;top:715" filled="f" stroked="f">
              <v:textbox inset="0,0,0,0">
                <w:txbxContent>
                  <w:p>
                    <w:pPr>
                      <w:spacing w:before="0" w:line="201" w:lineRule="exact"/>
                      <w:ind w:left="0" w:right="0" w:firstLine="0"/>
                      <w:jc w:val="left"/>
                      <w:rPr>
                        <w:rFonts w:ascii="Times New Roman"/>
                        <w:sz w:val="18"/>
                      </w:rPr>
                    </w:pPr>
                    <w:r>
                      <w:rPr>
                        <w:rFonts w:ascii="Times New Roman"/>
                        <w:sz w:val="18"/>
                      </w:rPr>
                      <w:t>49%</w:t>
                    </w:r>
                  </w:p>
                </w:txbxContent>
              </v:textbox>
            </v:shape>
            <v:shape id="_x0000_s1474" type="#_x0000_t202" style="width:355;height:202;left:9609;position:absolute;top:2063" filled="f" stroked="f">
              <v:textbox inset="0,0,0,0">
                <w:txbxContent>
                  <w:p>
                    <w:pPr>
                      <w:spacing w:before="0" w:line="201" w:lineRule="exact"/>
                      <w:ind w:left="0" w:right="0" w:firstLine="0"/>
                      <w:jc w:val="left"/>
                      <w:rPr>
                        <w:rFonts w:ascii="Times New Roman"/>
                        <w:sz w:val="18"/>
                      </w:rPr>
                    </w:pPr>
                    <w:r>
                      <w:rPr>
                        <w:rFonts w:ascii="Times New Roman"/>
                        <w:sz w:val="18"/>
                      </w:rPr>
                      <w:t>15%</w:t>
                    </w:r>
                  </w:p>
                </w:txbxContent>
              </v:textbox>
            </v:shape>
          </v:group>
        </w:pict>
      </w:r>
      <w:r>
        <w:rPr>
          <w:color w:val="FFFFFF"/>
          <w:shd w:val="clear" w:color="auto" w:fill="9C4A45"/>
        </w:rPr>
        <w:t>图</w:t>
      </w:r>
      <w:r>
        <w:rPr>
          <w:rFonts w:ascii="Times New Roman" w:eastAsia="Times New Roman"/>
          <w:color w:val="FFFFFF"/>
          <w:shd w:val="clear" w:color="auto" w:fill="9C4A45"/>
        </w:rPr>
        <w:t>24.</w:t>
      </w:r>
      <w:r>
        <w:rPr>
          <w:color w:val="FFFFFF"/>
          <w:shd w:val="clear" w:color="auto" w:fill="9C4A45"/>
        </w:rPr>
        <w:t>中国餐饮</w:t>
      </w:r>
      <w:r>
        <w:rPr>
          <w:color w:val="FFFFFF"/>
          <w:spacing w:val="-5"/>
          <w:shd w:val="clear" w:color="auto" w:fill="9C4A45"/>
        </w:rPr>
        <w:t>连</w:t>
      </w:r>
      <w:r>
        <w:rPr>
          <w:color w:val="FFFFFF"/>
          <w:shd w:val="clear" w:color="auto" w:fill="9C4A45"/>
        </w:rPr>
        <w:t>锁化率</w:t>
      </w:r>
      <w:r>
        <w:rPr>
          <w:color w:val="FFFFFF"/>
          <w:spacing w:val="-5"/>
          <w:shd w:val="clear" w:color="auto" w:fill="9C4A45"/>
        </w:rPr>
        <w:t>稳</w:t>
      </w:r>
      <w:r>
        <w:rPr>
          <w:color w:val="FFFFFF"/>
          <w:shd w:val="clear" w:color="auto" w:fill="9C4A45"/>
        </w:rPr>
        <w:t>步提升</w:t>
        <w:tab/>
      </w:r>
      <w:r>
        <w:rPr>
          <w:color w:val="FFFFFF"/>
        </w:rPr>
        <w:tab/>
      </w:r>
      <w:r>
        <w:rPr>
          <w:color w:val="FFFFFF"/>
          <w:shd w:val="clear" w:color="auto" w:fill="9C4A45"/>
        </w:rPr>
        <w:t>图</w:t>
      </w:r>
      <w:r>
        <w:rPr>
          <w:rFonts w:ascii="Times New Roman" w:eastAsia="Times New Roman"/>
          <w:color w:val="FFFFFF"/>
          <w:shd w:val="clear" w:color="auto" w:fill="9C4A45"/>
        </w:rPr>
        <w:t>25.2020</w:t>
      </w:r>
      <w:r>
        <w:rPr>
          <w:rFonts w:ascii="Times New Roman" w:eastAsia="Times New Roman"/>
          <w:color w:val="FFFFFF"/>
          <w:spacing w:val="16"/>
          <w:shd w:val="clear" w:color="auto" w:fill="9C4A45"/>
        </w:rPr>
        <w:t xml:space="preserve"> </w:t>
      </w:r>
      <w:r>
        <w:rPr>
          <w:color w:val="FFFFFF"/>
          <w:shd w:val="clear" w:color="auto" w:fill="9C4A45"/>
        </w:rPr>
        <w:t>年美</w:t>
      </w:r>
      <w:r>
        <w:rPr>
          <w:color w:val="FFFFFF"/>
          <w:spacing w:val="-5"/>
          <w:shd w:val="clear" w:color="auto" w:fill="9C4A45"/>
        </w:rPr>
        <w:t>、</w:t>
      </w:r>
      <w:r>
        <w:rPr>
          <w:color w:val="FFFFFF"/>
          <w:shd w:val="clear" w:color="auto" w:fill="9C4A45"/>
        </w:rPr>
        <w:t>日、中</w:t>
      </w:r>
      <w:r>
        <w:rPr>
          <w:color w:val="FFFFFF"/>
          <w:spacing w:val="-5"/>
          <w:shd w:val="clear" w:color="auto" w:fill="9C4A45"/>
        </w:rPr>
        <w:t>餐</w:t>
      </w:r>
      <w:r>
        <w:rPr>
          <w:color w:val="FFFFFF"/>
          <w:shd w:val="clear" w:color="auto" w:fill="9C4A45"/>
        </w:rPr>
        <w:t>饮连锁</w:t>
      </w:r>
      <w:r>
        <w:rPr>
          <w:color w:val="FFFFFF"/>
          <w:spacing w:val="-5"/>
          <w:shd w:val="clear" w:color="auto" w:fill="9C4A45"/>
        </w:rPr>
        <w:t>化</w:t>
      </w:r>
      <w:r>
        <w:rPr>
          <w:color w:val="FFFFFF"/>
          <w:shd w:val="clear" w:color="auto" w:fill="9C4A45"/>
        </w:rPr>
        <w:t>率对比</w:t>
        <w:tab/>
      </w:r>
    </w:p>
    <w:p>
      <w:pPr>
        <w:spacing w:after="0"/>
        <w:sectPr>
          <w:headerReference w:type="default" r:id="rId91"/>
          <w:footerReference w:type="default" r:id="rId92"/>
          <w:type w:val="continuous"/>
          <w:pgSz w:w="11910" w:h="16840"/>
          <w:pgMar w:top="1700" w:right="0" w:bottom="1500" w:left="440" w:header="708" w:footer="708"/>
          <w:pgNumType w:start="29"/>
          <w:cols w:space="708"/>
        </w:sectPr>
      </w:pPr>
    </w:p>
    <w:p>
      <w:pPr>
        <w:spacing w:before="108"/>
        <w:ind w:left="349" w:right="0" w:firstLine="0"/>
        <w:jc w:val="left"/>
        <w:rPr>
          <w:rFonts w:ascii="Times New Roman"/>
          <w:sz w:val="18"/>
        </w:rPr>
      </w:pPr>
      <w:r>
        <w:rPr>
          <w:rFonts w:ascii="Times New Roman"/>
          <w:sz w:val="18"/>
        </w:rPr>
        <w:t>20%</w:t>
      </w:r>
    </w:p>
    <w:p>
      <w:pPr>
        <w:spacing w:before="34"/>
        <w:ind w:left="349" w:right="0" w:firstLine="0"/>
        <w:jc w:val="left"/>
        <w:rPr>
          <w:rFonts w:ascii="Times New Roman"/>
          <w:sz w:val="18"/>
        </w:rPr>
      </w:pPr>
      <w:r>
        <w:rPr>
          <w:rFonts w:ascii="Times New Roman"/>
          <w:sz w:val="18"/>
        </w:rPr>
        <w:t>18%</w:t>
      </w:r>
    </w:p>
    <w:p>
      <w:pPr>
        <w:spacing w:before="34"/>
        <w:ind w:left="349" w:right="0" w:firstLine="0"/>
        <w:jc w:val="left"/>
        <w:rPr>
          <w:rFonts w:ascii="Times New Roman"/>
          <w:sz w:val="18"/>
        </w:rPr>
      </w:pPr>
      <w:r>
        <w:rPr>
          <w:rFonts w:ascii="Times New Roman"/>
          <w:sz w:val="18"/>
        </w:rPr>
        <w:t>16%</w:t>
      </w:r>
    </w:p>
    <w:p>
      <w:pPr>
        <w:spacing w:before="35"/>
        <w:ind w:left="349" w:right="0" w:firstLine="0"/>
        <w:jc w:val="left"/>
        <w:rPr>
          <w:rFonts w:ascii="Times New Roman"/>
          <w:sz w:val="18"/>
        </w:rPr>
      </w:pPr>
      <w:r>
        <w:rPr>
          <w:rFonts w:ascii="Times New Roman"/>
          <w:sz w:val="18"/>
        </w:rPr>
        <w:t>14%</w:t>
      </w:r>
    </w:p>
    <w:p>
      <w:pPr>
        <w:spacing w:before="34"/>
        <w:ind w:left="349" w:right="0" w:firstLine="0"/>
        <w:jc w:val="left"/>
        <w:rPr>
          <w:rFonts w:ascii="Times New Roman"/>
          <w:sz w:val="18"/>
        </w:rPr>
      </w:pPr>
      <w:r>
        <w:rPr>
          <w:rFonts w:ascii="Times New Roman"/>
          <w:sz w:val="18"/>
        </w:rPr>
        <w:t>12%</w:t>
      </w:r>
    </w:p>
    <w:p>
      <w:pPr>
        <w:spacing w:before="35"/>
        <w:ind w:left="349" w:right="0" w:firstLine="0"/>
        <w:jc w:val="left"/>
        <w:rPr>
          <w:rFonts w:ascii="Times New Roman"/>
          <w:sz w:val="18"/>
        </w:rPr>
      </w:pPr>
      <w:r>
        <w:rPr>
          <w:rFonts w:ascii="Times New Roman"/>
          <w:sz w:val="18"/>
        </w:rPr>
        <w:t>10%</w:t>
      </w:r>
    </w:p>
    <w:p>
      <w:pPr>
        <w:spacing w:before="34"/>
        <w:ind w:left="439" w:right="0" w:firstLine="0"/>
        <w:jc w:val="left"/>
        <w:rPr>
          <w:rFonts w:ascii="Times New Roman"/>
          <w:sz w:val="18"/>
        </w:rPr>
      </w:pPr>
      <w:r>
        <w:rPr>
          <w:rFonts w:ascii="Times New Roman"/>
          <w:sz w:val="18"/>
        </w:rPr>
        <w:t>8%</w:t>
      </w:r>
    </w:p>
    <w:p>
      <w:pPr>
        <w:spacing w:before="35"/>
        <w:ind w:left="439" w:right="0" w:firstLine="0"/>
        <w:jc w:val="left"/>
        <w:rPr>
          <w:rFonts w:ascii="Times New Roman"/>
          <w:sz w:val="18"/>
        </w:rPr>
      </w:pPr>
      <w:r>
        <w:rPr>
          <w:rFonts w:ascii="Times New Roman"/>
          <w:sz w:val="18"/>
        </w:rPr>
        <w:t>6%</w:t>
      </w:r>
    </w:p>
    <w:p>
      <w:pPr>
        <w:spacing w:before="34"/>
        <w:ind w:left="439" w:right="0" w:firstLine="0"/>
        <w:jc w:val="left"/>
        <w:rPr>
          <w:rFonts w:ascii="Times New Roman"/>
          <w:sz w:val="18"/>
        </w:rPr>
      </w:pPr>
      <w:r>
        <w:rPr>
          <w:rFonts w:ascii="Times New Roman"/>
          <w:sz w:val="18"/>
        </w:rPr>
        <w:t>4%</w:t>
      </w:r>
    </w:p>
    <w:p>
      <w:pPr>
        <w:spacing w:before="35"/>
        <w:ind w:left="439" w:right="0" w:firstLine="0"/>
        <w:jc w:val="left"/>
        <w:rPr>
          <w:rFonts w:ascii="Times New Roman"/>
          <w:sz w:val="18"/>
        </w:rPr>
      </w:pPr>
      <w:r>
        <w:rPr>
          <w:rFonts w:ascii="Times New Roman"/>
          <w:sz w:val="18"/>
        </w:rPr>
        <w:t>2%</w:t>
      </w:r>
    </w:p>
    <w:p>
      <w:pPr>
        <w:spacing w:before="34"/>
        <w:ind w:left="439" w:right="0" w:firstLine="0"/>
        <w:jc w:val="left"/>
        <w:rPr>
          <w:rFonts w:ascii="Times New Roman"/>
          <w:sz w:val="18"/>
        </w:rPr>
      </w:pPr>
      <w:r>
        <w:rPr>
          <w:rFonts w:ascii="Times New Roman"/>
          <w:sz w:val="18"/>
        </w:rPr>
        <w:t>0%</w:t>
      </w:r>
    </w:p>
    <w:p>
      <w:pPr>
        <w:pStyle w:val="BodyText"/>
        <w:spacing w:before="10" w:after="1"/>
        <w:rPr>
          <w:rFonts w:ascii="Times New Roman"/>
          <w:sz w:val="14"/>
        </w:rPr>
      </w:pPr>
      <w:r>
        <w:br w:type="column"/>
      </w:r>
    </w:p>
    <w:p>
      <w:pPr>
        <w:pStyle w:val="BodyText"/>
        <w:ind w:left="28" w:right="-332"/>
        <w:rPr>
          <w:rFonts w:ascii="Times New Roman"/>
          <w:sz w:val="20"/>
        </w:rPr>
      </w:pPr>
      <w:r>
        <w:rPr>
          <w:rFonts w:ascii="Times New Roman"/>
          <w:sz w:val="20"/>
        </w:rPr>
        <w:pict>
          <v:group id="_x0000_i1475" style="width:197.2pt;height:123.45pt;mso-position-horizontal-relative:char;mso-position-vertical-relative:line" coordorigin="0,0" coordsize="3944,2469">
            <v:rect id="_x0000_s1476" style="width:394;height:1447;left:305;position:absolute;top:1014" filled="t" fillcolor="#b34745" stroked="f">
              <v:fill type="solid"/>
            </v:rect>
            <v:rect id="_x0000_s1477" style="width:394;height:1447;left:305;position:absolute;top:1014" filled="f" stroked="t" strokecolor="#b34745" strokeweight="0.75pt">
              <v:stroke dashstyle="solid"/>
            </v:rect>
            <v:rect id="_x0000_s1478" style="width:394;height:1567;left:1289;position:absolute;top:894" filled="t" fillcolor="#b34745" stroked="f">
              <v:fill type="solid"/>
            </v:rect>
            <v:rect id="_x0000_s1479" style="width:394;height:1567;left:1289;position:absolute;top:894" filled="f" stroked="t" strokecolor="#b34745" strokeweight="0.75pt">
              <v:stroke dashstyle="solid"/>
            </v:rect>
            <v:rect id="_x0000_s1480" style="width:394;height:1812;left:2273;position:absolute;top:649" filled="t" fillcolor="#b34745" stroked="f">
              <v:fill type="solid"/>
            </v:rect>
            <v:rect id="_x0000_s1481" style="width:394;height:1812;left:2273;position:absolute;top:649" filled="f" stroked="t" strokecolor="#b34745" strokeweight="0.75pt">
              <v:stroke dashstyle="solid"/>
            </v:rect>
            <v:rect id="_x0000_s1482" style="width:394;height:2172;left:3257;position:absolute;top:289" filled="t" fillcolor="#b34745" stroked="f">
              <v:fill type="solid"/>
            </v:rect>
            <v:rect id="_x0000_s1483" style="width:394;height:2172;left:3257;position:absolute;top:289" filled="f" stroked="t" strokecolor="#b34745" strokeweight="0.75pt">
              <v:stroke dashstyle="solid"/>
            </v:rect>
            <v:line id="_x0000_s1484" style="position:absolute" from="8,2461" to="8,47" stroked="t" strokecolor="#aeabab" strokeweight="0.75pt">
              <v:stroke dashstyle="solid"/>
            </v:line>
            <v:line id="_x0000_s1485" style="position:absolute" from="8,2461" to="61,2461" stroked="t" strokecolor="#aeabab" strokeweight="0.75pt">
              <v:stroke dashstyle="solid"/>
            </v:line>
            <v:line id="_x0000_s1486" style="position:absolute" from="8,2219" to="61,2219" stroked="t" strokecolor="#aeabab" strokeweight="0.75pt">
              <v:stroke dashstyle="solid"/>
            </v:line>
            <v:line id="_x0000_s1487" style="position:absolute" from="8,1979" to="61,1979" stroked="t" strokecolor="#aeabab" strokeweight="0.75pt">
              <v:stroke dashstyle="solid"/>
            </v:line>
            <v:line id="_x0000_s1488" style="position:absolute" from="8,1739" to="61,1739" stroked="t" strokecolor="#aeabab" strokeweight="0.75pt">
              <v:stroke dashstyle="solid"/>
            </v:line>
            <v:line id="_x0000_s1489" style="position:absolute" from="8,1494" to="61,1494" stroked="t" strokecolor="#aeabab" strokeweight="0.75pt">
              <v:stroke dashstyle="solid"/>
            </v:line>
            <v:line id="_x0000_s1490" style="position:absolute" from="8,1254" to="61,1254" stroked="t" strokecolor="#aeabab" strokeweight="0.75pt">
              <v:stroke dashstyle="solid"/>
            </v:line>
            <v:line id="_x0000_s1491" style="position:absolute" from="8,1014" to="61,1014" stroked="t" strokecolor="#aeabab" strokeweight="0.75pt">
              <v:stroke dashstyle="solid"/>
            </v:line>
            <v:line id="_x0000_s1492" style="position:absolute" from="8,769" to="61,769" stroked="t" strokecolor="#aeabab" strokeweight="0.75pt">
              <v:stroke dashstyle="solid"/>
            </v:line>
            <v:line id="_x0000_s1493" style="position:absolute" from="8,529" to="61,529" stroked="t" strokecolor="#aeabab" strokeweight="0.75pt">
              <v:stroke dashstyle="solid"/>
            </v:line>
            <v:line id="_x0000_s1494" style="position:absolute" from="8,289" to="61,289" stroked="t" strokecolor="#aeabab" strokeweight="0.75pt">
              <v:stroke dashstyle="solid"/>
            </v:line>
            <v:line id="_x0000_s1495" style="position:absolute" from="8,47" to="61,47" stroked="t" strokecolor="#aeabab" strokeweight="0.75pt">
              <v:stroke dashstyle="solid"/>
            </v:line>
            <v:line id="_x0000_s1496" style="position:absolute" from="8,2461" to="3943,2461" stroked="t" strokecolor="#d9d9d9" strokeweight="0.75pt">
              <v:stroke dashstyle="solid"/>
            </v:line>
            <v:shape id="_x0000_s1497" type="#_x0000_t202" style="width:355;height:202;left:3285;position:absolute" filled="f" stroked="f">
              <v:textbox inset="0,0,0,0">
                <w:txbxContent>
                  <w:p>
                    <w:pPr>
                      <w:spacing w:before="0" w:line="201" w:lineRule="exact"/>
                      <w:ind w:left="0" w:right="0" w:firstLine="0"/>
                      <w:jc w:val="left"/>
                      <w:rPr>
                        <w:rFonts w:ascii="Times New Roman"/>
                        <w:sz w:val="18"/>
                      </w:rPr>
                    </w:pPr>
                    <w:r>
                      <w:rPr>
                        <w:rFonts w:ascii="Times New Roman"/>
                        <w:sz w:val="18"/>
                      </w:rPr>
                      <w:t>18%</w:t>
                    </w:r>
                  </w:p>
                </w:txbxContent>
              </v:textbox>
            </v:shape>
            <v:shape id="_x0000_s1498" type="#_x0000_t202" style="width:356;height:203;left:2301;position:absolute;top:361" filled="f" stroked="f">
              <v:textbox inset="0,0,0,0">
                <w:txbxContent>
                  <w:p>
                    <w:pPr>
                      <w:spacing w:before="0" w:line="202" w:lineRule="exact"/>
                      <w:ind w:left="0" w:right="0" w:firstLine="0"/>
                      <w:jc w:val="left"/>
                      <w:rPr>
                        <w:rFonts w:ascii="Times New Roman"/>
                        <w:sz w:val="18"/>
                      </w:rPr>
                    </w:pPr>
                    <w:r>
                      <w:rPr>
                        <w:rFonts w:ascii="Times New Roman"/>
                        <w:sz w:val="18"/>
                      </w:rPr>
                      <w:t>15%</w:t>
                    </w:r>
                  </w:p>
                </w:txbxContent>
              </v:textbox>
            </v:shape>
            <v:shape id="_x0000_s1499" type="#_x0000_t202" style="width:355;height:202;left:332;position:absolute;top:724" filled="f" stroked="f">
              <v:textbox inset="0,0,0,0">
                <w:txbxContent>
                  <w:p>
                    <w:pPr>
                      <w:spacing w:before="0" w:line="201" w:lineRule="exact"/>
                      <w:ind w:left="0" w:right="0" w:firstLine="0"/>
                      <w:jc w:val="left"/>
                      <w:rPr>
                        <w:rFonts w:ascii="Times New Roman"/>
                        <w:sz w:val="18"/>
                      </w:rPr>
                    </w:pPr>
                    <w:r>
                      <w:rPr>
                        <w:rFonts w:ascii="Times New Roman"/>
                        <w:sz w:val="18"/>
                      </w:rPr>
                      <w:t>12%</w:t>
                    </w:r>
                  </w:p>
                </w:txbxContent>
              </v:textbox>
            </v:shape>
            <v:shape id="_x0000_s1500" type="#_x0000_t202" style="width:355;height:203;left:1317;position:absolute;top:602" filled="f" stroked="f">
              <v:textbox inset="0,0,0,0">
                <w:txbxContent>
                  <w:p>
                    <w:pPr>
                      <w:spacing w:before="0" w:line="202" w:lineRule="exact"/>
                      <w:ind w:left="0" w:right="0" w:firstLine="0"/>
                      <w:jc w:val="left"/>
                      <w:rPr>
                        <w:rFonts w:ascii="Times New Roman"/>
                        <w:sz w:val="18"/>
                      </w:rPr>
                    </w:pPr>
                    <w:r>
                      <w:rPr>
                        <w:rFonts w:ascii="Times New Roman"/>
                        <w:sz w:val="18"/>
                      </w:rPr>
                      <w:t>13%</w:t>
                    </w:r>
                  </w:p>
                </w:txbxContent>
              </v:textbox>
            </v:shape>
            <w10:wrap type="none"/>
          </v:group>
        </w:pict>
      </w:r>
    </w:p>
    <w:p>
      <w:pPr>
        <w:tabs>
          <w:tab w:val="left" w:pos="1333"/>
          <w:tab w:val="left" w:pos="2317"/>
          <w:tab w:val="left" w:pos="3302"/>
        </w:tabs>
        <w:spacing w:before="66"/>
        <w:ind w:left="349" w:right="0" w:firstLine="0"/>
        <w:jc w:val="left"/>
        <w:rPr>
          <w:rFonts w:ascii="Times New Roman"/>
          <w:sz w:val="18"/>
        </w:rPr>
      </w:pPr>
      <w:r>
        <w:rPr>
          <w:rFonts w:ascii="Times New Roman"/>
          <w:sz w:val="18"/>
        </w:rPr>
        <w:t>2018</w:t>
        <w:tab/>
        <w:t>2019</w:t>
        <w:tab/>
        <w:t>2020</w:t>
        <w:tab/>
        <w:t>2021</w:t>
      </w:r>
    </w:p>
    <w:p>
      <w:pPr>
        <w:spacing w:before="108"/>
        <w:ind w:left="349" w:right="0" w:firstLine="0"/>
        <w:jc w:val="left"/>
        <w:rPr>
          <w:rFonts w:ascii="Times New Roman"/>
          <w:sz w:val="18"/>
        </w:rPr>
      </w:pPr>
      <w:r>
        <w:br w:type="column"/>
      </w:r>
      <w:r>
        <w:rPr>
          <w:rFonts w:ascii="Times New Roman"/>
          <w:sz w:val="18"/>
        </w:rPr>
        <w:t>60%</w:t>
      </w:r>
    </w:p>
    <w:p>
      <w:pPr>
        <w:pStyle w:val="BodyText"/>
        <w:spacing w:before="5"/>
        <w:rPr>
          <w:rFonts w:ascii="Times New Roman"/>
          <w:sz w:val="16"/>
        </w:rPr>
      </w:pPr>
    </w:p>
    <w:p>
      <w:pPr>
        <w:spacing w:before="0"/>
        <w:ind w:left="349" w:right="0" w:firstLine="0"/>
        <w:jc w:val="left"/>
        <w:rPr>
          <w:rFonts w:ascii="Times New Roman"/>
          <w:sz w:val="18"/>
        </w:rPr>
      </w:pPr>
      <w:r>
        <w:rPr>
          <w:rFonts w:ascii="Times New Roman"/>
          <w:sz w:val="18"/>
        </w:rPr>
        <w:t>50%</w:t>
      </w:r>
    </w:p>
    <w:p>
      <w:pPr>
        <w:pStyle w:val="BodyText"/>
        <w:spacing w:before="5"/>
        <w:rPr>
          <w:rFonts w:ascii="Times New Roman"/>
          <w:sz w:val="16"/>
        </w:rPr>
      </w:pPr>
    </w:p>
    <w:p>
      <w:pPr>
        <w:spacing w:before="1"/>
        <w:ind w:left="349" w:right="0" w:firstLine="0"/>
        <w:jc w:val="left"/>
        <w:rPr>
          <w:rFonts w:ascii="Times New Roman"/>
          <w:sz w:val="18"/>
        </w:rPr>
      </w:pPr>
      <w:r>
        <w:rPr>
          <w:rFonts w:ascii="Times New Roman"/>
          <w:sz w:val="18"/>
        </w:rPr>
        <w:t>40%</w:t>
      </w:r>
    </w:p>
    <w:p>
      <w:pPr>
        <w:pStyle w:val="BodyText"/>
        <w:spacing w:before="5"/>
        <w:rPr>
          <w:rFonts w:ascii="Times New Roman"/>
          <w:sz w:val="16"/>
        </w:rPr>
      </w:pPr>
    </w:p>
    <w:p>
      <w:pPr>
        <w:spacing w:before="1"/>
        <w:ind w:left="349" w:right="0" w:firstLine="0"/>
        <w:jc w:val="left"/>
        <w:rPr>
          <w:rFonts w:ascii="Times New Roman"/>
          <w:sz w:val="18"/>
        </w:rPr>
      </w:pPr>
      <w:r>
        <w:rPr>
          <w:rFonts w:ascii="Times New Roman"/>
          <w:sz w:val="18"/>
        </w:rPr>
        <w:t>30%</w:t>
      </w:r>
    </w:p>
    <w:p>
      <w:pPr>
        <w:pStyle w:val="BodyText"/>
        <w:spacing w:before="5"/>
        <w:rPr>
          <w:rFonts w:ascii="Times New Roman"/>
          <w:sz w:val="16"/>
        </w:rPr>
      </w:pPr>
    </w:p>
    <w:p>
      <w:pPr>
        <w:spacing w:before="0"/>
        <w:ind w:left="349" w:right="0" w:firstLine="0"/>
        <w:jc w:val="left"/>
        <w:rPr>
          <w:rFonts w:ascii="Times New Roman"/>
          <w:sz w:val="18"/>
        </w:rPr>
      </w:pPr>
      <w:r>
        <w:rPr>
          <w:rFonts w:ascii="Times New Roman"/>
          <w:sz w:val="18"/>
        </w:rPr>
        <w:t>20%</w:t>
      </w:r>
    </w:p>
    <w:p>
      <w:pPr>
        <w:pStyle w:val="BodyText"/>
        <w:spacing w:before="5"/>
        <w:rPr>
          <w:rFonts w:ascii="Times New Roman"/>
          <w:sz w:val="16"/>
        </w:rPr>
      </w:pPr>
    </w:p>
    <w:p>
      <w:pPr>
        <w:spacing w:before="1"/>
        <w:ind w:left="349" w:right="0" w:firstLine="0"/>
        <w:jc w:val="left"/>
        <w:rPr>
          <w:rFonts w:ascii="Times New Roman"/>
          <w:sz w:val="18"/>
        </w:rPr>
      </w:pPr>
      <w:r>
        <w:rPr>
          <w:rFonts w:ascii="Times New Roman"/>
          <w:sz w:val="18"/>
        </w:rPr>
        <w:t>10%</w:t>
      </w:r>
    </w:p>
    <w:p>
      <w:pPr>
        <w:pStyle w:val="BodyText"/>
        <w:spacing w:before="5"/>
        <w:rPr>
          <w:rFonts w:ascii="Times New Roman"/>
          <w:sz w:val="16"/>
        </w:rPr>
      </w:pPr>
    </w:p>
    <w:p>
      <w:pPr>
        <w:spacing w:before="0"/>
        <w:ind w:left="438" w:right="0" w:firstLine="0"/>
        <w:jc w:val="left"/>
        <w:rPr>
          <w:rFonts w:ascii="Times New Roman"/>
          <w:sz w:val="18"/>
        </w:rPr>
      </w:pPr>
      <w:r>
        <w:rPr>
          <w:rFonts w:ascii="Times New Roman"/>
          <w:sz w:val="18"/>
        </w:rPr>
        <w:t>0%</w:t>
      </w:r>
    </w:p>
    <w:p>
      <w:pPr>
        <w:pStyle w:val="BodyText"/>
        <w:rPr>
          <w:rFonts w:ascii="Times New Roman"/>
          <w:sz w:val="18"/>
        </w:rPr>
      </w:pPr>
      <w:r>
        <w:br w:type="column"/>
      </w: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spacing w:before="8"/>
        <w:rPr>
          <w:rFonts w:ascii="Times New Roman"/>
          <w:sz w:val="19"/>
        </w:rPr>
      </w:pPr>
    </w:p>
    <w:p>
      <w:pPr>
        <w:tabs>
          <w:tab w:val="left" w:pos="1661"/>
          <w:tab w:val="left" w:pos="2974"/>
        </w:tabs>
        <w:spacing w:before="0"/>
        <w:ind w:left="349" w:right="0" w:firstLine="0"/>
        <w:jc w:val="left"/>
        <w:rPr>
          <w:sz w:val="18"/>
        </w:rPr>
      </w:pPr>
      <w:r>
        <w:rPr>
          <w:sz w:val="18"/>
        </w:rPr>
        <w:t>美国</w:t>
        <w:tab/>
        <w:t>日本</w:t>
        <w:tab/>
        <w:t>中国</w:t>
      </w:r>
    </w:p>
    <w:p>
      <w:pPr>
        <w:spacing w:after="0"/>
        <w:jc w:val="left"/>
        <w:rPr>
          <w:sz w:val="18"/>
        </w:rPr>
        <w:sectPr>
          <w:headerReference w:type="default" r:id="rId93"/>
          <w:footerReference w:type="default" r:id="rId94"/>
          <w:type w:val="continuous"/>
          <w:pgSz w:w="11910" w:h="16840"/>
          <w:pgMar w:top="1700" w:right="0" w:bottom="1500" w:left="440" w:header="708" w:footer="708"/>
          <w:pgNumType w:start="30"/>
          <w:cols w:num="4" w:space="708" w:equalWidth="0">
            <w:col w:w="724" w:space="71"/>
            <w:col w:w="3703" w:space="725"/>
            <w:col w:w="724" w:space="235"/>
            <w:col w:w="5288" w:space="0"/>
          </w:cols>
        </w:sectPr>
      </w:pPr>
    </w:p>
    <w:p>
      <w:pPr>
        <w:pStyle w:val="BodyText"/>
        <w:spacing w:before="4"/>
        <w:rPr>
          <w:sz w:val="13"/>
        </w:rPr>
      </w:pPr>
    </w:p>
    <w:p>
      <w:pPr>
        <w:tabs>
          <w:tab w:val="left" w:pos="7204"/>
        </w:tabs>
        <w:spacing w:before="0"/>
        <w:ind w:left="1981" w:right="0" w:firstLine="0"/>
        <w:jc w:val="left"/>
        <w:rPr>
          <w:sz w:val="18"/>
        </w:rPr>
      </w:pPr>
      <w:r>
        <w:pict>
          <v:group id="_x0000_s1501" style="width:5.25pt;height:5.25pt;margin-top:3.17pt;margin-left:114.3pt;mso-position-horizontal-relative:page;position:absolute;z-index:251732992" coordorigin="2286,63" coordsize="105,105">
            <v:rect id="_x0000_s1502" style="width:90;height:90;left:2293;position:absolute;top:70" filled="t" fillcolor="#b34745" stroked="f">
              <v:fill type="solid"/>
            </v:rect>
            <v:rect id="_x0000_s1503" style="width:90;height:90;left:2293;position:absolute;top:70" filled="f" stroked="t" strokecolor="#b34745" strokeweight="0.75pt">
              <v:stroke dashstyle="solid"/>
            </v:rect>
          </v:group>
        </w:pict>
      </w:r>
      <w:r>
        <w:pict>
          <v:group id="_x0000_s1504" style="width:5.25pt;height:5.25pt;margin-top:3.17pt;margin-left:375.36pt;mso-position-horizontal-relative:page;position:absolute;z-index:-251586560" coordorigin="7507,63" coordsize="105,105">
            <v:rect id="_x0000_s1505" style="width:90;height:90;left:7514;position:absolute;top:70" filled="t" fillcolor="#b34745" stroked="f">
              <v:fill type="solid"/>
            </v:rect>
            <v:rect id="_x0000_s1506" style="width:90;height:90;left:7514;position:absolute;top:70" filled="f" stroked="t" strokecolor="#b34745" strokeweight="0.75pt">
              <v:stroke dashstyle="solid"/>
            </v:rect>
          </v:group>
        </w:pict>
      </w:r>
      <w:r>
        <w:rPr>
          <w:sz w:val="18"/>
        </w:rPr>
        <w:t>中国</w:t>
      </w:r>
      <w:r>
        <w:rPr>
          <w:spacing w:val="-5"/>
          <w:sz w:val="18"/>
        </w:rPr>
        <w:t>餐</w:t>
      </w:r>
      <w:r>
        <w:rPr>
          <w:sz w:val="18"/>
        </w:rPr>
        <w:t>饮</w:t>
      </w:r>
      <w:r>
        <w:rPr>
          <w:spacing w:val="-5"/>
          <w:sz w:val="18"/>
        </w:rPr>
        <w:t>连</w:t>
      </w:r>
      <w:r>
        <w:rPr>
          <w:sz w:val="18"/>
        </w:rPr>
        <w:t>锁</w:t>
      </w:r>
      <w:r>
        <w:rPr>
          <w:spacing w:val="-5"/>
          <w:sz w:val="18"/>
        </w:rPr>
        <w:t>化</w:t>
      </w:r>
      <w:r>
        <w:rPr>
          <w:sz w:val="18"/>
        </w:rPr>
        <w:t>率</w:t>
        <w:tab/>
        <w:t>餐饮</w:t>
      </w:r>
      <w:r>
        <w:rPr>
          <w:spacing w:val="-5"/>
          <w:sz w:val="18"/>
        </w:rPr>
        <w:t>企</w:t>
      </w:r>
      <w:r>
        <w:rPr>
          <w:sz w:val="18"/>
        </w:rPr>
        <w:t>业</w:t>
      </w:r>
      <w:r>
        <w:rPr>
          <w:spacing w:val="-4"/>
          <w:sz w:val="18"/>
        </w:rPr>
        <w:t>连</w:t>
      </w:r>
      <w:r>
        <w:rPr>
          <w:sz w:val="18"/>
        </w:rPr>
        <w:t>锁</w:t>
      </w:r>
      <w:r>
        <w:rPr>
          <w:spacing w:val="-4"/>
          <w:sz w:val="18"/>
        </w:rPr>
        <w:t>化</w:t>
      </w:r>
      <w:r>
        <w:rPr>
          <w:sz w:val="18"/>
        </w:rPr>
        <w:t>率</w:t>
      </w:r>
    </w:p>
    <w:p>
      <w:pPr>
        <w:pStyle w:val="BodyText"/>
        <w:spacing w:before="3"/>
        <w:rPr>
          <w:sz w:val="10"/>
        </w:rPr>
      </w:pPr>
      <w:r>
        <w:pict>
          <v:shape id="_x0000_s1507" style="width:249.5pt;height:0.1pt;margin-top:8.79pt;margin-left:27.6pt;mso-position-horizontal-relative:page;mso-wrap-distance-left:0;mso-wrap-distance-right:0;position:absolute;z-index:-251585536" coordorigin="552,176" coordsize="4990,0" path="m552,176l5542,176e" filled="f" stroked="t" strokecolor="#9c4a45" strokeweight="0.48pt">
            <v:stroke dashstyle="solid"/>
            <v:path arrowok="t"/>
            <w10:wrap type="topAndBottom"/>
          </v:shape>
        </w:pict>
      </w:r>
      <w:r>
        <w:pict>
          <v:shape id="_x0000_s1508" style="width:249.25pt;height:0.1pt;margin-top:8.79pt;margin-left:288.84pt;mso-position-horizontal-relative:page;mso-wrap-distance-left:0;mso-wrap-distance-right:0;position:absolute;z-index:-251584512" coordorigin="5777,176" coordsize="4985,0" path="m5777,176l10761,176e" filled="f" stroked="t" strokecolor="#9c4a45" strokeweight="0.48pt">
            <v:stroke dashstyle="solid"/>
            <v:path arrowok="t"/>
            <w10:wrap type="topAndBottom"/>
          </v:shape>
        </w:pict>
      </w:r>
    </w:p>
    <w:p>
      <w:pPr>
        <w:tabs>
          <w:tab w:val="left" w:pos="5336"/>
        </w:tabs>
        <w:spacing w:before="46"/>
        <w:ind w:left="112" w:right="0" w:firstLine="0"/>
        <w:jc w:val="left"/>
        <w:rPr>
          <w:sz w:val="15"/>
        </w:rPr>
      </w:pPr>
      <w:r>
        <w:t xml:space="preserve">数据来源：艾媒数据中心， </w:t>
        <w:tab/>
        <w:t xml:space="preserve">数据来源：观研天下， </w:t>
      </w:r>
    </w:p>
    <w:p>
      <w:pPr>
        <w:pStyle w:val="BodyText"/>
        <w:spacing w:before="2"/>
        <w:rPr>
          <w:sz w:val="12"/>
        </w:rPr>
      </w:pPr>
    </w:p>
    <w:p>
      <w:pPr>
        <w:spacing w:before="72" w:line="328" w:lineRule="auto"/>
        <w:ind w:left="2964" w:right="1117" w:firstLine="0"/>
        <w:jc w:val="both"/>
        <w:rPr>
          <w:rFonts w:ascii="Times New Roman" w:eastAsia="Times New Roman" w:hAnsi="Times New Roman"/>
          <w:sz w:val="21"/>
        </w:rPr>
        <w:sectPr>
          <w:headerReference w:type="default" r:id="rId95"/>
          <w:footerReference w:type="default" r:id="rId96"/>
          <w:type w:val="continuous"/>
          <w:pgSz w:w="11910" w:h="16840"/>
          <w:pgMar w:top="1700" w:right="0" w:bottom="1500" w:left="440" w:header="708" w:footer="708"/>
          <w:pgNumType w:start="31"/>
          <w:cols w:space="708"/>
        </w:sectPr>
      </w:pPr>
      <w:r>
        <w:t>本土品牌西式快餐崛起，“自主开发</w:t>
      </w:r>
      <w:r>
        <w:t xml:space="preserve"> ”带来供应链机会，复合调味品增长可见新动能。随着中国经济的快速发展，消费者对西式快餐的需求不断增加,各西式快餐品牌都在加快开店步伐。据艾媒咨询数据，2021</w:t>
      </w:r>
    </w:p>
    <w:p>
      <w:pPr>
        <w:spacing w:before="72" w:line="328" w:lineRule="auto"/>
        <w:ind w:left="2964" w:right="1117" w:firstLine="0"/>
        <w:jc w:val="both"/>
        <w:rPr>
          <w:rFonts w:ascii="Times New Roman" w:eastAsia="Times New Roman" w:hAnsi="Times New Roman"/>
          <w:sz w:val="21"/>
        </w:rPr>
      </w:pPr>
      <w:r>
        <w:t xml:space="preserve"> 年中国西式快餐市场规模为</w:t>
      </w:r>
      <w:r>
        <w:t xml:space="preserve"> 2800.7</w:t>
      </w:r>
    </w:p>
    <w:p>
      <w:pPr>
        <w:spacing w:after="0" w:line="328" w:lineRule="auto"/>
        <w:jc w:val="both"/>
        <w:rPr>
          <w:rFonts w:ascii="Times New Roman" w:eastAsia="Times New Roman" w:hAnsi="Times New Roman"/>
          <w:sz w:val="21"/>
        </w:rPr>
      </w:pPr>
      <w:r>
        <w:rPr>
          <w:rFonts w:ascii="Times New Roman" w:eastAsia="Times New Roman" w:hAnsi="Times New Roman"/>
          <w:sz w:val="21"/>
        </w:rPr>
        <w:br/>
      </w:r>
      <w:r>
        <w:rPr>
          <w:rFonts w:ascii="Times New Roman" w:eastAsia="Times New Roman" w:hAnsi="Times New Roman"/>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7" w:history="1">
        <w:r>
          <w:rPr>
            <w:rFonts w:ascii="SimSun" w:eastAsia="SimSun" w:hAnsi="SimSun" w:cs="SimSun"/>
            <w:b/>
            <w:bCs/>
            <w:color w:val="0000EE"/>
            <w:sz w:val="30"/>
            <w:szCs w:val="30"/>
            <w:u w:val="single" w:color="0000EE"/>
          </w:rPr>
          <w:t>https://d.book118.com/927004026040006054</w:t>
        </w:r>
      </w:hyperlink>
    </w:p>
    <w:p>
      <w:pPr>
        <w:spacing w:after="0" w:line="328" w:lineRule="auto"/>
        <w:jc w:val="both"/>
        <w:rPr>
          <w:rFonts w:ascii="Times New Roman" w:eastAsia="Times New Roman" w:hAnsi="Times New Roman"/>
          <w:sz w:val="21"/>
        </w:rPr>
      </w:pPr>
    </w:p>
    <w:sectPr>
      <w:headerReference w:type="default" r:id="rId98"/>
      <w:footerReference w:type="default" r:id="rId99"/>
      <w:type w:val="nextPage"/>
      <w:pgSz w:w="11910" w:h="16840"/>
      <w:pgMar w:top="1700" w:right="0" w:bottom="1500" w:left="440" w:header="708" w:footer="708"/>
      <w:pgNumType w:start="32"/>
      <w:cols w:space="708"/>
      <w:titlePg w:val="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 w:name="等线">
    <w:altName w:val="等线"/>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7C16D6"/>
    <w:multiLevelType w:val="hybridMultilevel"/>
    <w:tmpl w:val="00000000"/>
    <w:lvl w:ilvl="0">
      <w:start w:val="1"/>
      <w:numFmt w:val="decimal"/>
      <w:lvlText w:val="%1"/>
      <w:lvlJc w:val="left"/>
      <w:pPr>
        <w:ind w:left="3391" w:hanging="428"/>
        <w:jc w:val="left"/>
      </w:pPr>
      <w:rPr>
        <w:rFonts w:ascii="Times New Roman" w:eastAsia="Times New Roman" w:hAnsi="Times New Roman" w:cs="Times New Roman" w:hint="default"/>
        <w:b/>
        <w:bCs/>
        <w:color w:val="9C4A45"/>
        <w:w w:val="100"/>
        <w:sz w:val="32"/>
        <w:szCs w:val="32"/>
        <w:lang w:val="zh-CN" w:eastAsia="zh-CN" w:bidi="zh-CN"/>
      </w:rPr>
    </w:lvl>
    <w:lvl w:ilvl="1">
      <w:start w:val="1"/>
      <w:numFmt w:val="decimal"/>
      <w:lvlText w:val="%1.%2"/>
      <w:lvlJc w:val="left"/>
      <w:pPr>
        <w:ind w:left="3391" w:hanging="428"/>
        <w:jc w:val="left"/>
      </w:pPr>
      <w:rPr>
        <w:rFonts w:ascii="Times New Roman" w:eastAsia="Times New Roman" w:hAnsi="Times New Roman" w:cs="Times New Roman" w:hint="default"/>
        <w:b/>
        <w:bCs/>
        <w:color w:val="9C4A45"/>
        <w:w w:val="99"/>
        <w:sz w:val="24"/>
        <w:szCs w:val="24"/>
        <w:lang w:val="zh-CN" w:eastAsia="zh-CN" w:bidi="zh-CN"/>
      </w:rPr>
    </w:lvl>
    <w:lvl w:ilvl="2">
      <w:start w:val="1"/>
      <w:numFmt w:val="decimal"/>
      <w:lvlText w:val="%1.%2.%3"/>
      <w:lvlJc w:val="left"/>
      <w:pPr>
        <w:ind w:left="3804" w:hanging="840"/>
        <w:jc w:val="left"/>
      </w:pPr>
      <w:rPr>
        <w:rFonts w:ascii="Times New Roman" w:eastAsia="Times New Roman" w:hAnsi="Times New Roman" w:cs="Times New Roman" w:hint="default"/>
        <w:b/>
        <w:bCs/>
        <w:color w:val="9C4A45"/>
        <w:w w:val="100"/>
        <w:sz w:val="21"/>
        <w:szCs w:val="21"/>
        <w:lang w:val="zh-CN" w:eastAsia="zh-CN" w:bidi="zh-CN"/>
      </w:rPr>
    </w:lvl>
    <w:lvl w:ilvl="3">
      <w:start w:val="0"/>
      <w:numFmt w:val="bullet"/>
      <w:lvlText w:val="•"/>
      <w:lvlJc w:val="left"/>
      <w:pPr>
        <w:ind w:left="5503" w:hanging="840"/>
      </w:pPr>
      <w:rPr>
        <w:rFonts w:hint="default"/>
        <w:lang w:val="zh-CN" w:eastAsia="zh-CN" w:bidi="zh-CN"/>
      </w:rPr>
    </w:lvl>
    <w:lvl w:ilvl="4">
      <w:start w:val="0"/>
      <w:numFmt w:val="bullet"/>
      <w:lvlText w:val="•"/>
      <w:lvlJc w:val="left"/>
      <w:pPr>
        <w:ind w:left="6354" w:hanging="840"/>
      </w:pPr>
      <w:rPr>
        <w:rFonts w:hint="default"/>
        <w:lang w:val="zh-CN" w:eastAsia="zh-CN" w:bidi="zh-CN"/>
      </w:rPr>
    </w:lvl>
    <w:lvl w:ilvl="5">
      <w:start w:val="0"/>
      <w:numFmt w:val="bullet"/>
      <w:lvlText w:val="•"/>
      <w:lvlJc w:val="left"/>
      <w:pPr>
        <w:ind w:left="7206" w:hanging="840"/>
      </w:pPr>
      <w:rPr>
        <w:rFonts w:hint="default"/>
        <w:lang w:val="zh-CN" w:eastAsia="zh-CN" w:bidi="zh-CN"/>
      </w:rPr>
    </w:lvl>
    <w:lvl w:ilvl="6">
      <w:start w:val="0"/>
      <w:numFmt w:val="bullet"/>
      <w:lvlText w:val="•"/>
      <w:lvlJc w:val="left"/>
      <w:pPr>
        <w:ind w:left="8057" w:hanging="840"/>
      </w:pPr>
      <w:rPr>
        <w:rFonts w:hint="default"/>
        <w:lang w:val="zh-CN" w:eastAsia="zh-CN" w:bidi="zh-CN"/>
      </w:rPr>
    </w:lvl>
    <w:lvl w:ilvl="7">
      <w:start w:val="0"/>
      <w:numFmt w:val="bullet"/>
      <w:lvlText w:val="•"/>
      <w:lvlJc w:val="left"/>
      <w:pPr>
        <w:ind w:left="8909" w:hanging="840"/>
      </w:pPr>
      <w:rPr>
        <w:rFonts w:hint="default"/>
        <w:lang w:val="zh-CN" w:eastAsia="zh-CN" w:bidi="zh-CN"/>
      </w:rPr>
    </w:lvl>
    <w:lvl w:ilvl="8">
      <w:start w:val="0"/>
      <w:numFmt w:val="bullet"/>
      <w:lvlText w:val="•"/>
      <w:lvlJc w:val="left"/>
      <w:pPr>
        <w:ind w:left="9760" w:hanging="840"/>
      </w:pPr>
      <w:rPr>
        <w:rFonts w:hint="default"/>
        <w:lang w:val="zh-CN" w:eastAsia="zh-CN" w:bidi="zh-CN"/>
      </w:rPr>
    </w:lvl>
  </w:abstractNum>
  <w:abstractNum w:abstractNumId="1">
    <w:nsid w:val="10FFF7F5"/>
    <w:multiLevelType w:val="hybridMultilevel"/>
    <w:tmpl w:val="00000000"/>
    <w:lvl w:ilvl="0">
      <w:start w:val="0"/>
      <w:numFmt w:val="bullet"/>
      <w:lvlText w:val=""/>
      <w:lvlJc w:val="left"/>
      <w:pPr>
        <w:ind w:left="422" w:hanging="423"/>
      </w:pPr>
      <w:rPr>
        <w:rFonts w:ascii="Wingdings" w:eastAsia="Wingdings" w:hAnsi="Wingdings" w:cs="Wingdings" w:hint="default"/>
        <w:w w:val="99"/>
        <w:sz w:val="15"/>
        <w:szCs w:val="15"/>
        <w:lang w:val="zh-CN" w:eastAsia="zh-CN" w:bidi="zh-CN"/>
      </w:rPr>
    </w:lvl>
    <w:lvl w:ilvl="1">
      <w:start w:val="0"/>
      <w:numFmt w:val="bullet"/>
      <w:lvlText w:val="•"/>
      <w:lvlJc w:val="left"/>
      <w:pPr>
        <w:ind w:left="452" w:hanging="423"/>
      </w:pPr>
      <w:rPr>
        <w:rFonts w:hint="default"/>
        <w:lang w:val="zh-CN" w:eastAsia="zh-CN" w:bidi="zh-CN"/>
      </w:rPr>
    </w:lvl>
    <w:lvl w:ilvl="2">
      <w:start w:val="0"/>
      <w:numFmt w:val="bullet"/>
      <w:lvlText w:val="•"/>
      <w:lvlJc w:val="left"/>
      <w:pPr>
        <w:ind w:left="484" w:hanging="423"/>
      </w:pPr>
      <w:rPr>
        <w:rFonts w:hint="default"/>
        <w:lang w:val="zh-CN" w:eastAsia="zh-CN" w:bidi="zh-CN"/>
      </w:rPr>
    </w:lvl>
    <w:lvl w:ilvl="3">
      <w:start w:val="0"/>
      <w:numFmt w:val="bullet"/>
      <w:lvlText w:val="•"/>
      <w:lvlJc w:val="left"/>
      <w:pPr>
        <w:ind w:left="516" w:hanging="423"/>
      </w:pPr>
      <w:rPr>
        <w:rFonts w:hint="default"/>
        <w:lang w:val="zh-CN" w:eastAsia="zh-CN" w:bidi="zh-CN"/>
      </w:rPr>
    </w:lvl>
    <w:lvl w:ilvl="4">
      <w:start w:val="0"/>
      <w:numFmt w:val="bullet"/>
      <w:lvlText w:val="•"/>
      <w:lvlJc w:val="left"/>
      <w:pPr>
        <w:ind w:left="548" w:hanging="423"/>
      </w:pPr>
      <w:rPr>
        <w:rFonts w:hint="default"/>
        <w:lang w:val="zh-CN" w:eastAsia="zh-CN" w:bidi="zh-CN"/>
      </w:rPr>
    </w:lvl>
    <w:lvl w:ilvl="5">
      <w:start w:val="0"/>
      <w:numFmt w:val="bullet"/>
      <w:lvlText w:val="•"/>
      <w:lvlJc w:val="left"/>
      <w:pPr>
        <w:ind w:left="580" w:hanging="423"/>
      </w:pPr>
      <w:rPr>
        <w:rFonts w:hint="default"/>
        <w:lang w:val="zh-CN" w:eastAsia="zh-CN" w:bidi="zh-CN"/>
      </w:rPr>
    </w:lvl>
    <w:lvl w:ilvl="6">
      <w:start w:val="0"/>
      <w:numFmt w:val="bullet"/>
      <w:lvlText w:val="•"/>
      <w:lvlJc w:val="left"/>
      <w:pPr>
        <w:ind w:left="612" w:hanging="423"/>
      </w:pPr>
      <w:rPr>
        <w:rFonts w:hint="default"/>
        <w:lang w:val="zh-CN" w:eastAsia="zh-CN" w:bidi="zh-CN"/>
      </w:rPr>
    </w:lvl>
    <w:lvl w:ilvl="7">
      <w:start w:val="0"/>
      <w:numFmt w:val="bullet"/>
      <w:lvlText w:val="•"/>
      <w:lvlJc w:val="left"/>
      <w:pPr>
        <w:ind w:left="644" w:hanging="423"/>
      </w:pPr>
      <w:rPr>
        <w:rFonts w:hint="default"/>
        <w:lang w:val="zh-CN" w:eastAsia="zh-CN" w:bidi="zh-CN"/>
      </w:rPr>
    </w:lvl>
    <w:lvl w:ilvl="8">
      <w:start w:val="0"/>
      <w:numFmt w:val="bullet"/>
      <w:lvlText w:val="•"/>
      <w:lvlJc w:val="left"/>
      <w:pPr>
        <w:ind w:left="676" w:hanging="423"/>
      </w:pPr>
      <w:rPr>
        <w:rFonts w:hint="default"/>
        <w:lang w:val="zh-CN" w:eastAsia="zh-CN" w:bidi="zh-CN"/>
      </w:rPr>
    </w:lvl>
  </w:abstractNum>
  <w:abstractNum w:abstractNumId="2">
    <w:nsid w:val="24AB6408"/>
    <w:multiLevelType w:val="hybridMultilevel"/>
    <w:tmpl w:val="00000000"/>
    <w:lvl w:ilvl="0">
      <w:start w:val="0"/>
      <w:numFmt w:val="bullet"/>
      <w:lvlText w:val=""/>
      <w:lvlJc w:val="left"/>
      <w:pPr>
        <w:ind w:left="422" w:hanging="423"/>
      </w:pPr>
      <w:rPr>
        <w:rFonts w:ascii="Wingdings" w:eastAsia="Wingdings" w:hAnsi="Wingdings" w:cs="Wingdings" w:hint="default"/>
        <w:w w:val="99"/>
        <w:sz w:val="15"/>
        <w:szCs w:val="15"/>
        <w:lang w:val="zh-CN" w:eastAsia="zh-CN" w:bidi="zh-CN"/>
      </w:rPr>
    </w:lvl>
    <w:lvl w:ilvl="1">
      <w:start w:val="0"/>
      <w:numFmt w:val="bullet"/>
      <w:lvlText w:val="•"/>
      <w:lvlJc w:val="left"/>
      <w:pPr>
        <w:ind w:left="482" w:hanging="423"/>
      </w:pPr>
      <w:rPr>
        <w:rFonts w:hint="default"/>
        <w:lang w:val="zh-CN" w:eastAsia="zh-CN" w:bidi="zh-CN"/>
      </w:rPr>
    </w:lvl>
    <w:lvl w:ilvl="2">
      <w:start w:val="0"/>
      <w:numFmt w:val="bullet"/>
      <w:lvlText w:val="•"/>
      <w:lvlJc w:val="left"/>
      <w:pPr>
        <w:ind w:left="544" w:hanging="423"/>
      </w:pPr>
      <w:rPr>
        <w:rFonts w:hint="default"/>
        <w:lang w:val="zh-CN" w:eastAsia="zh-CN" w:bidi="zh-CN"/>
      </w:rPr>
    </w:lvl>
    <w:lvl w:ilvl="3">
      <w:start w:val="0"/>
      <w:numFmt w:val="bullet"/>
      <w:lvlText w:val="•"/>
      <w:lvlJc w:val="left"/>
      <w:pPr>
        <w:ind w:left="606" w:hanging="423"/>
      </w:pPr>
      <w:rPr>
        <w:rFonts w:hint="default"/>
        <w:lang w:val="zh-CN" w:eastAsia="zh-CN" w:bidi="zh-CN"/>
      </w:rPr>
    </w:lvl>
    <w:lvl w:ilvl="4">
      <w:start w:val="0"/>
      <w:numFmt w:val="bullet"/>
      <w:lvlText w:val="•"/>
      <w:lvlJc w:val="left"/>
      <w:pPr>
        <w:ind w:left="669" w:hanging="423"/>
      </w:pPr>
      <w:rPr>
        <w:rFonts w:hint="default"/>
        <w:lang w:val="zh-CN" w:eastAsia="zh-CN" w:bidi="zh-CN"/>
      </w:rPr>
    </w:lvl>
    <w:lvl w:ilvl="5">
      <w:start w:val="0"/>
      <w:numFmt w:val="bullet"/>
      <w:lvlText w:val="•"/>
      <w:lvlJc w:val="left"/>
      <w:pPr>
        <w:ind w:left="731" w:hanging="423"/>
      </w:pPr>
      <w:rPr>
        <w:rFonts w:hint="default"/>
        <w:lang w:val="zh-CN" w:eastAsia="zh-CN" w:bidi="zh-CN"/>
      </w:rPr>
    </w:lvl>
    <w:lvl w:ilvl="6">
      <w:start w:val="0"/>
      <w:numFmt w:val="bullet"/>
      <w:lvlText w:val="•"/>
      <w:lvlJc w:val="left"/>
      <w:pPr>
        <w:ind w:left="793" w:hanging="423"/>
      </w:pPr>
      <w:rPr>
        <w:rFonts w:hint="default"/>
        <w:lang w:val="zh-CN" w:eastAsia="zh-CN" w:bidi="zh-CN"/>
      </w:rPr>
    </w:lvl>
    <w:lvl w:ilvl="7">
      <w:start w:val="0"/>
      <w:numFmt w:val="bullet"/>
      <w:lvlText w:val="•"/>
      <w:lvlJc w:val="left"/>
      <w:pPr>
        <w:ind w:left="855" w:hanging="423"/>
      </w:pPr>
      <w:rPr>
        <w:rFonts w:hint="default"/>
        <w:lang w:val="zh-CN" w:eastAsia="zh-CN" w:bidi="zh-CN"/>
      </w:rPr>
    </w:lvl>
    <w:lvl w:ilvl="8">
      <w:start w:val="0"/>
      <w:numFmt w:val="bullet"/>
      <w:lvlText w:val="•"/>
      <w:lvlJc w:val="left"/>
      <w:pPr>
        <w:ind w:left="918" w:hanging="423"/>
      </w:pPr>
      <w:rPr>
        <w:rFonts w:hint="default"/>
        <w:lang w:val="zh-CN" w:eastAsia="zh-CN" w:bidi="zh-CN"/>
      </w:rPr>
    </w:lvl>
  </w:abstractNum>
  <w:abstractNum w:abstractNumId="3">
    <w:nsid w:val="2E0507DC"/>
    <w:multiLevelType w:val="hybridMultilevel"/>
    <w:tmpl w:val="00000000"/>
    <w:lvl w:ilvl="0">
      <w:start w:val="0"/>
      <w:numFmt w:val="bullet"/>
      <w:lvlText w:val=""/>
      <w:lvlJc w:val="left"/>
      <w:pPr>
        <w:ind w:left="422" w:hanging="423"/>
      </w:pPr>
      <w:rPr>
        <w:rFonts w:ascii="Wingdings" w:eastAsia="Wingdings" w:hAnsi="Wingdings" w:cs="Wingdings" w:hint="default"/>
        <w:w w:val="99"/>
        <w:sz w:val="15"/>
        <w:szCs w:val="15"/>
        <w:lang w:val="zh-CN" w:eastAsia="zh-CN" w:bidi="zh-CN"/>
      </w:rPr>
    </w:lvl>
    <w:lvl w:ilvl="1">
      <w:start w:val="0"/>
      <w:numFmt w:val="bullet"/>
      <w:lvlText w:val="•"/>
      <w:lvlJc w:val="left"/>
      <w:pPr>
        <w:ind w:left="452" w:hanging="423"/>
      </w:pPr>
      <w:rPr>
        <w:rFonts w:hint="default"/>
        <w:lang w:val="zh-CN" w:eastAsia="zh-CN" w:bidi="zh-CN"/>
      </w:rPr>
    </w:lvl>
    <w:lvl w:ilvl="2">
      <w:start w:val="0"/>
      <w:numFmt w:val="bullet"/>
      <w:lvlText w:val="•"/>
      <w:lvlJc w:val="left"/>
      <w:pPr>
        <w:ind w:left="484" w:hanging="423"/>
      </w:pPr>
      <w:rPr>
        <w:rFonts w:hint="default"/>
        <w:lang w:val="zh-CN" w:eastAsia="zh-CN" w:bidi="zh-CN"/>
      </w:rPr>
    </w:lvl>
    <w:lvl w:ilvl="3">
      <w:start w:val="0"/>
      <w:numFmt w:val="bullet"/>
      <w:lvlText w:val="•"/>
      <w:lvlJc w:val="left"/>
      <w:pPr>
        <w:ind w:left="516" w:hanging="423"/>
      </w:pPr>
      <w:rPr>
        <w:rFonts w:hint="default"/>
        <w:lang w:val="zh-CN" w:eastAsia="zh-CN" w:bidi="zh-CN"/>
      </w:rPr>
    </w:lvl>
    <w:lvl w:ilvl="4">
      <w:start w:val="0"/>
      <w:numFmt w:val="bullet"/>
      <w:lvlText w:val="•"/>
      <w:lvlJc w:val="left"/>
      <w:pPr>
        <w:ind w:left="548" w:hanging="423"/>
      </w:pPr>
      <w:rPr>
        <w:rFonts w:hint="default"/>
        <w:lang w:val="zh-CN" w:eastAsia="zh-CN" w:bidi="zh-CN"/>
      </w:rPr>
    </w:lvl>
    <w:lvl w:ilvl="5">
      <w:start w:val="0"/>
      <w:numFmt w:val="bullet"/>
      <w:lvlText w:val="•"/>
      <w:lvlJc w:val="left"/>
      <w:pPr>
        <w:ind w:left="580" w:hanging="423"/>
      </w:pPr>
      <w:rPr>
        <w:rFonts w:hint="default"/>
        <w:lang w:val="zh-CN" w:eastAsia="zh-CN" w:bidi="zh-CN"/>
      </w:rPr>
    </w:lvl>
    <w:lvl w:ilvl="6">
      <w:start w:val="0"/>
      <w:numFmt w:val="bullet"/>
      <w:lvlText w:val="•"/>
      <w:lvlJc w:val="left"/>
      <w:pPr>
        <w:ind w:left="612" w:hanging="423"/>
      </w:pPr>
      <w:rPr>
        <w:rFonts w:hint="default"/>
        <w:lang w:val="zh-CN" w:eastAsia="zh-CN" w:bidi="zh-CN"/>
      </w:rPr>
    </w:lvl>
    <w:lvl w:ilvl="7">
      <w:start w:val="0"/>
      <w:numFmt w:val="bullet"/>
      <w:lvlText w:val="•"/>
      <w:lvlJc w:val="left"/>
      <w:pPr>
        <w:ind w:left="644" w:hanging="423"/>
      </w:pPr>
      <w:rPr>
        <w:rFonts w:hint="default"/>
        <w:lang w:val="zh-CN" w:eastAsia="zh-CN" w:bidi="zh-CN"/>
      </w:rPr>
    </w:lvl>
    <w:lvl w:ilvl="8">
      <w:start w:val="0"/>
      <w:numFmt w:val="bullet"/>
      <w:lvlText w:val="•"/>
      <w:lvlJc w:val="left"/>
      <w:pPr>
        <w:ind w:left="676" w:hanging="423"/>
      </w:pPr>
      <w:rPr>
        <w:rFonts w:hint="default"/>
        <w:lang w:val="zh-CN" w:eastAsia="zh-CN" w:bidi="zh-CN"/>
      </w:rPr>
    </w:lvl>
  </w:abstractNum>
  <w:abstractNum w:abstractNumId="4">
    <w:nsid w:val="30D4DCDB"/>
    <w:multiLevelType w:val="hybridMultilevel"/>
    <w:tmpl w:val="00000000"/>
    <w:lvl w:ilvl="0">
      <w:start w:val="0"/>
      <w:numFmt w:val="bullet"/>
      <w:lvlText w:val=""/>
      <w:lvlJc w:val="left"/>
      <w:pPr>
        <w:ind w:left="3387" w:hanging="423"/>
      </w:pPr>
      <w:rPr>
        <w:rFonts w:ascii="Wingdings" w:eastAsia="Wingdings" w:hAnsi="Wingdings" w:cs="Wingdings" w:hint="default"/>
        <w:w w:val="100"/>
        <w:sz w:val="21"/>
        <w:szCs w:val="21"/>
        <w:lang w:val="zh-CN" w:eastAsia="zh-CN" w:bidi="zh-CN"/>
      </w:rPr>
    </w:lvl>
    <w:lvl w:ilvl="1">
      <w:start w:val="0"/>
      <w:numFmt w:val="bullet"/>
      <w:lvlText w:val="•"/>
      <w:lvlJc w:val="left"/>
      <w:pPr>
        <w:ind w:left="4188" w:hanging="423"/>
      </w:pPr>
      <w:rPr>
        <w:rFonts w:hint="default"/>
        <w:lang w:val="zh-CN" w:eastAsia="zh-CN" w:bidi="zh-CN"/>
      </w:rPr>
    </w:lvl>
    <w:lvl w:ilvl="2">
      <w:start w:val="0"/>
      <w:numFmt w:val="bullet"/>
      <w:lvlText w:val="•"/>
      <w:lvlJc w:val="left"/>
      <w:pPr>
        <w:ind w:left="4996" w:hanging="423"/>
      </w:pPr>
      <w:rPr>
        <w:rFonts w:hint="default"/>
        <w:lang w:val="zh-CN" w:eastAsia="zh-CN" w:bidi="zh-CN"/>
      </w:rPr>
    </w:lvl>
    <w:lvl w:ilvl="3">
      <w:start w:val="0"/>
      <w:numFmt w:val="bullet"/>
      <w:lvlText w:val="•"/>
      <w:lvlJc w:val="left"/>
      <w:pPr>
        <w:ind w:left="5805" w:hanging="423"/>
      </w:pPr>
      <w:rPr>
        <w:rFonts w:hint="default"/>
        <w:lang w:val="zh-CN" w:eastAsia="zh-CN" w:bidi="zh-CN"/>
      </w:rPr>
    </w:lvl>
    <w:lvl w:ilvl="4">
      <w:start w:val="0"/>
      <w:numFmt w:val="bullet"/>
      <w:lvlText w:val="•"/>
      <w:lvlJc w:val="left"/>
      <w:pPr>
        <w:ind w:left="6613" w:hanging="423"/>
      </w:pPr>
      <w:rPr>
        <w:rFonts w:hint="default"/>
        <w:lang w:val="zh-CN" w:eastAsia="zh-CN" w:bidi="zh-CN"/>
      </w:rPr>
    </w:lvl>
    <w:lvl w:ilvl="5">
      <w:start w:val="0"/>
      <w:numFmt w:val="bullet"/>
      <w:lvlText w:val="•"/>
      <w:lvlJc w:val="left"/>
      <w:pPr>
        <w:ind w:left="7422" w:hanging="423"/>
      </w:pPr>
      <w:rPr>
        <w:rFonts w:hint="default"/>
        <w:lang w:val="zh-CN" w:eastAsia="zh-CN" w:bidi="zh-CN"/>
      </w:rPr>
    </w:lvl>
    <w:lvl w:ilvl="6">
      <w:start w:val="0"/>
      <w:numFmt w:val="bullet"/>
      <w:lvlText w:val="•"/>
      <w:lvlJc w:val="left"/>
      <w:pPr>
        <w:ind w:left="8230" w:hanging="423"/>
      </w:pPr>
      <w:rPr>
        <w:rFonts w:hint="default"/>
        <w:lang w:val="zh-CN" w:eastAsia="zh-CN" w:bidi="zh-CN"/>
      </w:rPr>
    </w:lvl>
    <w:lvl w:ilvl="7">
      <w:start w:val="0"/>
      <w:numFmt w:val="bullet"/>
      <w:lvlText w:val="•"/>
      <w:lvlJc w:val="left"/>
      <w:pPr>
        <w:ind w:left="9038" w:hanging="423"/>
      </w:pPr>
      <w:rPr>
        <w:rFonts w:hint="default"/>
        <w:lang w:val="zh-CN" w:eastAsia="zh-CN" w:bidi="zh-CN"/>
      </w:rPr>
    </w:lvl>
    <w:lvl w:ilvl="8">
      <w:start w:val="0"/>
      <w:numFmt w:val="bullet"/>
      <w:lvlText w:val="•"/>
      <w:lvlJc w:val="left"/>
      <w:pPr>
        <w:ind w:left="9847" w:hanging="423"/>
      </w:pPr>
      <w:rPr>
        <w:rFonts w:hint="default"/>
        <w:lang w:val="zh-CN" w:eastAsia="zh-CN" w:bidi="zh-CN"/>
      </w:rPr>
    </w:lvl>
  </w:abstractNum>
  <w:abstractNum w:abstractNumId="5">
    <w:nsid w:val="32089A05"/>
    <w:multiLevelType w:val="hybridMultilevel"/>
    <w:tmpl w:val="00000000"/>
    <w:lvl w:ilvl="0">
      <w:start w:val="0"/>
      <w:numFmt w:val="bullet"/>
      <w:lvlText w:val=""/>
      <w:lvlJc w:val="left"/>
      <w:pPr>
        <w:ind w:left="422" w:hanging="423"/>
      </w:pPr>
      <w:rPr>
        <w:rFonts w:ascii="Wingdings" w:eastAsia="Wingdings" w:hAnsi="Wingdings" w:cs="Wingdings" w:hint="default"/>
        <w:w w:val="99"/>
        <w:sz w:val="15"/>
        <w:szCs w:val="15"/>
        <w:lang w:val="zh-CN" w:eastAsia="zh-CN" w:bidi="zh-CN"/>
      </w:rPr>
    </w:lvl>
    <w:lvl w:ilvl="1">
      <w:start w:val="0"/>
      <w:numFmt w:val="bullet"/>
      <w:lvlText w:val="•"/>
      <w:lvlJc w:val="left"/>
      <w:pPr>
        <w:ind w:left="497" w:hanging="423"/>
      </w:pPr>
      <w:rPr>
        <w:rFonts w:hint="default"/>
        <w:lang w:val="zh-CN" w:eastAsia="zh-CN" w:bidi="zh-CN"/>
      </w:rPr>
    </w:lvl>
    <w:lvl w:ilvl="2">
      <w:start w:val="0"/>
      <w:numFmt w:val="bullet"/>
      <w:lvlText w:val="•"/>
      <w:lvlJc w:val="left"/>
      <w:pPr>
        <w:ind w:left="574" w:hanging="423"/>
      </w:pPr>
      <w:rPr>
        <w:rFonts w:hint="default"/>
        <w:lang w:val="zh-CN" w:eastAsia="zh-CN" w:bidi="zh-CN"/>
      </w:rPr>
    </w:lvl>
    <w:lvl w:ilvl="3">
      <w:start w:val="0"/>
      <w:numFmt w:val="bullet"/>
      <w:lvlText w:val="•"/>
      <w:lvlJc w:val="left"/>
      <w:pPr>
        <w:ind w:left="651" w:hanging="423"/>
      </w:pPr>
      <w:rPr>
        <w:rFonts w:hint="default"/>
        <w:lang w:val="zh-CN" w:eastAsia="zh-CN" w:bidi="zh-CN"/>
      </w:rPr>
    </w:lvl>
    <w:lvl w:ilvl="4">
      <w:start w:val="0"/>
      <w:numFmt w:val="bullet"/>
      <w:lvlText w:val="•"/>
      <w:lvlJc w:val="left"/>
      <w:pPr>
        <w:ind w:left="728" w:hanging="423"/>
      </w:pPr>
      <w:rPr>
        <w:rFonts w:hint="default"/>
        <w:lang w:val="zh-CN" w:eastAsia="zh-CN" w:bidi="zh-CN"/>
      </w:rPr>
    </w:lvl>
    <w:lvl w:ilvl="5">
      <w:start w:val="0"/>
      <w:numFmt w:val="bullet"/>
      <w:lvlText w:val="•"/>
      <w:lvlJc w:val="left"/>
      <w:pPr>
        <w:ind w:left="805" w:hanging="423"/>
      </w:pPr>
      <w:rPr>
        <w:rFonts w:hint="default"/>
        <w:lang w:val="zh-CN" w:eastAsia="zh-CN" w:bidi="zh-CN"/>
      </w:rPr>
    </w:lvl>
    <w:lvl w:ilvl="6">
      <w:start w:val="0"/>
      <w:numFmt w:val="bullet"/>
      <w:lvlText w:val="•"/>
      <w:lvlJc w:val="left"/>
      <w:pPr>
        <w:ind w:left="882" w:hanging="423"/>
      </w:pPr>
      <w:rPr>
        <w:rFonts w:hint="default"/>
        <w:lang w:val="zh-CN" w:eastAsia="zh-CN" w:bidi="zh-CN"/>
      </w:rPr>
    </w:lvl>
    <w:lvl w:ilvl="7">
      <w:start w:val="0"/>
      <w:numFmt w:val="bullet"/>
      <w:lvlText w:val="•"/>
      <w:lvlJc w:val="left"/>
      <w:pPr>
        <w:ind w:left="959" w:hanging="423"/>
      </w:pPr>
      <w:rPr>
        <w:rFonts w:hint="default"/>
        <w:lang w:val="zh-CN" w:eastAsia="zh-CN" w:bidi="zh-CN"/>
      </w:rPr>
    </w:lvl>
    <w:lvl w:ilvl="8">
      <w:start w:val="0"/>
      <w:numFmt w:val="bullet"/>
      <w:lvlText w:val="•"/>
      <w:lvlJc w:val="left"/>
      <w:pPr>
        <w:ind w:left="1036" w:hanging="423"/>
      </w:pPr>
      <w:rPr>
        <w:rFonts w:hint="default"/>
        <w:lang w:val="zh-CN" w:eastAsia="zh-CN" w:bidi="zh-CN"/>
      </w:rPr>
    </w:lvl>
  </w:abstractNum>
  <w:abstractNum w:abstractNumId="6">
    <w:nsid w:val="3342C2D0"/>
    <w:multiLevelType w:val="hybridMultilevel"/>
    <w:tmpl w:val="00000000"/>
    <w:lvl w:ilvl="0">
      <w:start w:val="1"/>
      <w:numFmt w:val="decimal"/>
      <w:lvlText w:val="%1"/>
      <w:lvlJc w:val="left"/>
      <w:pPr>
        <w:ind w:left="3391" w:hanging="428"/>
        <w:jc w:val="left"/>
      </w:pPr>
      <w:rPr>
        <w:rFonts w:ascii="Times New Roman" w:eastAsia="Times New Roman" w:hAnsi="Times New Roman" w:cs="Times New Roman" w:hint="default"/>
        <w:b/>
        <w:bCs/>
        <w:color w:val="9C4A45"/>
        <w:w w:val="100"/>
        <w:sz w:val="32"/>
        <w:szCs w:val="32"/>
        <w:lang w:val="zh-CN" w:eastAsia="zh-CN" w:bidi="zh-CN"/>
      </w:rPr>
    </w:lvl>
    <w:lvl w:ilvl="1">
      <w:start w:val="1"/>
      <w:numFmt w:val="decimal"/>
      <w:lvlText w:val="%1.%2"/>
      <w:lvlJc w:val="left"/>
      <w:pPr>
        <w:ind w:left="3391" w:hanging="428"/>
        <w:jc w:val="left"/>
      </w:pPr>
      <w:rPr>
        <w:rFonts w:ascii="Times New Roman" w:eastAsia="Times New Roman" w:hAnsi="Times New Roman" w:cs="Times New Roman" w:hint="default"/>
        <w:b/>
        <w:bCs/>
        <w:color w:val="9C4A45"/>
        <w:w w:val="99"/>
        <w:sz w:val="24"/>
        <w:szCs w:val="24"/>
        <w:lang w:val="zh-CN" w:eastAsia="zh-CN" w:bidi="zh-CN"/>
      </w:rPr>
    </w:lvl>
    <w:lvl w:ilvl="2">
      <w:start w:val="1"/>
      <w:numFmt w:val="decimal"/>
      <w:lvlText w:val="%1.%2.%3"/>
      <w:lvlJc w:val="left"/>
      <w:pPr>
        <w:ind w:left="3804" w:hanging="840"/>
        <w:jc w:val="left"/>
      </w:pPr>
      <w:rPr>
        <w:rFonts w:ascii="Times New Roman" w:eastAsia="Times New Roman" w:hAnsi="Times New Roman" w:cs="Times New Roman" w:hint="default"/>
        <w:b/>
        <w:bCs/>
        <w:color w:val="9C4A45"/>
        <w:w w:val="100"/>
        <w:sz w:val="21"/>
        <w:szCs w:val="21"/>
        <w:lang w:val="zh-CN" w:eastAsia="zh-CN" w:bidi="zh-CN"/>
      </w:rPr>
    </w:lvl>
    <w:lvl w:ilvl="3">
      <w:start w:val="0"/>
      <w:numFmt w:val="bullet"/>
      <w:lvlText w:val="•"/>
      <w:lvlJc w:val="left"/>
      <w:pPr>
        <w:ind w:left="5503" w:hanging="840"/>
      </w:pPr>
      <w:rPr>
        <w:rFonts w:hint="default"/>
        <w:lang w:val="zh-CN" w:eastAsia="zh-CN" w:bidi="zh-CN"/>
      </w:rPr>
    </w:lvl>
    <w:lvl w:ilvl="4">
      <w:start w:val="0"/>
      <w:numFmt w:val="bullet"/>
      <w:lvlText w:val="•"/>
      <w:lvlJc w:val="left"/>
      <w:pPr>
        <w:ind w:left="6354" w:hanging="840"/>
      </w:pPr>
      <w:rPr>
        <w:rFonts w:hint="default"/>
        <w:lang w:val="zh-CN" w:eastAsia="zh-CN" w:bidi="zh-CN"/>
      </w:rPr>
    </w:lvl>
    <w:lvl w:ilvl="5">
      <w:start w:val="0"/>
      <w:numFmt w:val="bullet"/>
      <w:lvlText w:val="•"/>
      <w:lvlJc w:val="left"/>
      <w:pPr>
        <w:ind w:left="7206" w:hanging="840"/>
      </w:pPr>
      <w:rPr>
        <w:rFonts w:hint="default"/>
        <w:lang w:val="zh-CN" w:eastAsia="zh-CN" w:bidi="zh-CN"/>
      </w:rPr>
    </w:lvl>
    <w:lvl w:ilvl="6">
      <w:start w:val="0"/>
      <w:numFmt w:val="bullet"/>
      <w:lvlText w:val="•"/>
      <w:lvlJc w:val="left"/>
      <w:pPr>
        <w:ind w:left="8057" w:hanging="840"/>
      </w:pPr>
      <w:rPr>
        <w:rFonts w:hint="default"/>
        <w:lang w:val="zh-CN" w:eastAsia="zh-CN" w:bidi="zh-CN"/>
      </w:rPr>
    </w:lvl>
    <w:lvl w:ilvl="7">
      <w:start w:val="0"/>
      <w:numFmt w:val="bullet"/>
      <w:lvlText w:val="•"/>
      <w:lvlJc w:val="left"/>
      <w:pPr>
        <w:ind w:left="8909" w:hanging="840"/>
      </w:pPr>
      <w:rPr>
        <w:rFonts w:hint="default"/>
        <w:lang w:val="zh-CN" w:eastAsia="zh-CN" w:bidi="zh-CN"/>
      </w:rPr>
    </w:lvl>
    <w:lvl w:ilvl="8">
      <w:start w:val="0"/>
      <w:numFmt w:val="bullet"/>
      <w:lvlText w:val="•"/>
      <w:lvlJc w:val="left"/>
      <w:pPr>
        <w:ind w:left="9760" w:hanging="840"/>
      </w:pPr>
      <w:rPr>
        <w:rFonts w:hint="default"/>
        <w:lang w:val="zh-CN" w:eastAsia="zh-CN" w:bidi="zh-CN"/>
      </w:rPr>
    </w:lvl>
  </w:abstractNum>
  <w:abstractNum w:abstractNumId="7">
    <w:nsid w:val="4F1BD076"/>
    <w:multiLevelType w:val="hybridMultilevel"/>
    <w:tmpl w:val="00000000"/>
    <w:lvl w:ilvl="0">
      <w:start w:val="0"/>
      <w:numFmt w:val="bullet"/>
      <w:lvlText w:val="•"/>
      <w:lvlJc w:val="left"/>
      <w:pPr>
        <w:ind w:left="463" w:hanging="92"/>
      </w:pPr>
      <w:rPr>
        <w:rFonts w:ascii="Times New Roman" w:eastAsia="Times New Roman" w:hAnsi="Times New Roman" w:cs="Times New Roman" w:hint="default"/>
        <w:w w:val="99"/>
        <w:sz w:val="14"/>
        <w:szCs w:val="14"/>
        <w:lang w:val="zh-CN" w:eastAsia="zh-CN" w:bidi="zh-CN"/>
      </w:rPr>
    </w:lvl>
    <w:lvl w:ilvl="1">
      <w:start w:val="0"/>
      <w:numFmt w:val="bullet"/>
      <w:lvlText w:val="•"/>
      <w:lvlJc w:val="left"/>
      <w:pPr>
        <w:ind w:left="882" w:hanging="92"/>
      </w:pPr>
      <w:rPr>
        <w:rFonts w:hint="default"/>
        <w:lang w:val="zh-CN" w:eastAsia="zh-CN" w:bidi="zh-CN"/>
      </w:rPr>
    </w:lvl>
    <w:lvl w:ilvl="2">
      <w:start w:val="0"/>
      <w:numFmt w:val="bullet"/>
      <w:lvlText w:val="•"/>
      <w:lvlJc w:val="left"/>
      <w:pPr>
        <w:ind w:left="1304" w:hanging="92"/>
      </w:pPr>
      <w:rPr>
        <w:rFonts w:hint="default"/>
        <w:lang w:val="zh-CN" w:eastAsia="zh-CN" w:bidi="zh-CN"/>
      </w:rPr>
    </w:lvl>
    <w:lvl w:ilvl="3">
      <w:start w:val="0"/>
      <w:numFmt w:val="bullet"/>
      <w:lvlText w:val="•"/>
      <w:lvlJc w:val="left"/>
      <w:pPr>
        <w:ind w:left="1726" w:hanging="92"/>
      </w:pPr>
      <w:rPr>
        <w:rFonts w:hint="default"/>
        <w:lang w:val="zh-CN" w:eastAsia="zh-CN" w:bidi="zh-CN"/>
      </w:rPr>
    </w:lvl>
    <w:lvl w:ilvl="4">
      <w:start w:val="0"/>
      <w:numFmt w:val="bullet"/>
      <w:lvlText w:val="•"/>
      <w:lvlJc w:val="left"/>
      <w:pPr>
        <w:ind w:left="2149" w:hanging="92"/>
      </w:pPr>
      <w:rPr>
        <w:rFonts w:hint="default"/>
        <w:lang w:val="zh-CN" w:eastAsia="zh-CN" w:bidi="zh-CN"/>
      </w:rPr>
    </w:lvl>
    <w:lvl w:ilvl="5">
      <w:start w:val="0"/>
      <w:numFmt w:val="bullet"/>
      <w:lvlText w:val="•"/>
      <w:lvlJc w:val="left"/>
      <w:pPr>
        <w:ind w:left="2571" w:hanging="92"/>
      </w:pPr>
      <w:rPr>
        <w:rFonts w:hint="default"/>
        <w:lang w:val="zh-CN" w:eastAsia="zh-CN" w:bidi="zh-CN"/>
      </w:rPr>
    </w:lvl>
    <w:lvl w:ilvl="6">
      <w:start w:val="0"/>
      <w:numFmt w:val="bullet"/>
      <w:lvlText w:val="•"/>
      <w:lvlJc w:val="left"/>
      <w:pPr>
        <w:ind w:left="2993" w:hanging="92"/>
      </w:pPr>
      <w:rPr>
        <w:rFonts w:hint="default"/>
        <w:lang w:val="zh-CN" w:eastAsia="zh-CN" w:bidi="zh-CN"/>
      </w:rPr>
    </w:lvl>
    <w:lvl w:ilvl="7">
      <w:start w:val="0"/>
      <w:numFmt w:val="bullet"/>
      <w:lvlText w:val="•"/>
      <w:lvlJc w:val="left"/>
      <w:pPr>
        <w:ind w:left="3416" w:hanging="92"/>
      </w:pPr>
      <w:rPr>
        <w:rFonts w:hint="default"/>
        <w:lang w:val="zh-CN" w:eastAsia="zh-CN" w:bidi="zh-CN"/>
      </w:rPr>
    </w:lvl>
    <w:lvl w:ilvl="8">
      <w:start w:val="0"/>
      <w:numFmt w:val="bullet"/>
      <w:lvlText w:val="•"/>
      <w:lvlJc w:val="left"/>
      <w:pPr>
        <w:ind w:left="3838" w:hanging="92"/>
      </w:pPr>
      <w:rPr>
        <w:rFonts w:hint="default"/>
        <w:lang w:val="zh-CN" w:eastAsia="zh-CN" w:bidi="zh-CN"/>
      </w:rPr>
    </w:lvl>
  </w:abstractNum>
  <w:abstractNum w:abstractNumId="8">
    <w:nsid w:val="562304D7"/>
    <w:multiLevelType w:val="hybridMultilevel"/>
    <w:tmpl w:val="00000000"/>
    <w:lvl w:ilvl="0">
      <w:start w:val="0"/>
      <w:numFmt w:val="bullet"/>
      <w:lvlText w:val=""/>
      <w:lvlJc w:val="left"/>
      <w:pPr>
        <w:ind w:left="422" w:hanging="423"/>
      </w:pPr>
      <w:rPr>
        <w:rFonts w:ascii="Wingdings" w:eastAsia="Wingdings" w:hAnsi="Wingdings" w:cs="Wingdings" w:hint="default"/>
        <w:w w:val="99"/>
        <w:sz w:val="15"/>
        <w:szCs w:val="15"/>
        <w:lang w:val="zh-CN" w:eastAsia="zh-CN" w:bidi="zh-CN"/>
      </w:rPr>
    </w:lvl>
    <w:lvl w:ilvl="1">
      <w:start w:val="0"/>
      <w:numFmt w:val="bullet"/>
      <w:lvlText w:val="•"/>
      <w:lvlJc w:val="left"/>
      <w:pPr>
        <w:ind w:left="467" w:hanging="423"/>
      </w:pPr>
      <w:rPr>
        <w:rFonts w:hint="default"/>
        <w:lang w:val="zh-CN" w:eastAsia="zh-CN" w:bidi="zh-CN"/>
      </w:rPr>
    </w:lvl>
    <w:lvl w:ilvl="2">
      <w:start w:val="0"/>
      <w:numFmt w:val="bullet"/>
      <w:lvlText w:val="•"/>
      <w:lvlJc w:val="left"/>
      <w:pPr>
        <w:ind w:left="514" w:hanging="423"/>
      </w:pPr>
      <w:rPr>
        <w:rFonts w:hint="default"/>
        <w:lang w:val="zh-CN" w:eastAsia="zh-CN" w:bidi="zh-CN"/>
      </w:rPr>
    </w:lvl>
    <w:lvl w:ilvl="3">
      <w:start w:val="0"/>
      <w:numFmt w:val="bullet"/>
      <w:lvlText w:val="•"/>
      <w:lvlJc w:val="left"/>
      <w:pPr>
        <w:ind w:left="562" w:hanging="423"/>
      </w:pPr>
      <w:rPr>
        <w:rFonts w:hint="default"/>
        <w:lang w:val="zh-CN" w:eastAsia="zh-CN" w:bidi="zh-CN"/>
      </w:rPr>
    </w:lvl>
    <w:lvl w:ilvl="4">
      <w:start w:val="0"/>
      <w:numFmt w:val="bullet"/>
      <w:lvlText w:val="•"/>
      <w:lvlJc w:val="left"/>
      <w:pPr>
        <w:ind w:left="609" w:hanging="423"/>
      </w:pPr>
      <w:rPr>
        <w:rFonts w:hint="default"/>
        <w:lang w:val="zh-CN" w:eastAsia="zh-CN" w:bidi="zh-CN"/>
      </w:rPr>
    </w:lvl>
    <w:lvl w:ilvl="5">
      <w:start w:val="0"/>
      <w:numFmt w:val="bullet"/>
      <w:lvlText w:val="•"/>
      <w:lvlJc w:val="left"/>
      <w:pPr>
        <w:ind w:left="656" w:hanging="423"/>
      </w:pPr>
      <w:rPr>
        <w:rFonts w:hint="default"/>
        <w:lang w:val="zh-CN" w:eastAsia="zh-CN" w:bidi="zh-CN"/>
      </w:rPr>
    </w:lvl>
    <w:lvl w:ilvl="6">
      <w:start w:val="0"/>
      <w:numFmt w:val="bullet"/>
      <w:lvlText w:val="•"/>
      <w:lvlJc w:val="left"/>
      <w:pPr>
        <w:ind w:left="704" w:hanging="423"/>
      </w:pPr>
      <w:rPr>
        <w:rFonts w:hint="default"/>
        <w:lang w:val="zh-CN" w:eastAsia="zh-CN" w:bidi="zh-CN"/>
      </w:rPr>
    </w:lvl>
    <w:lvl w:ilvl="7">
      <w:start w:val="0"/>
      <w:numFmt w:val="bullet"/>
      <w:lvlText w:val="•"/>
      <w:lvlJc w:val="left"/>
      <w:pPr>
        <w:ind w:left="751" w:hanging="423"/>
      </w:pPr>
      <w:rPr>
        <w:rFonts w:hint="default"/>
        <w:lang w:val="zh-CN" w:eastAsia="zh-CN" w:bidi="zh-CN"/>
      </w:rPr>
    </w:lvl>
    <w:lvl w:ilvl="8">
      <w:start w:val="0"/>
      <w:numFmt w:val="bullet"/>
      <w:lvlText w:val="•"/>
      <w:lvlJc w:val="left"/>
      <w:pPr>
        <w:ind w:left="799" w:hanging="423"/>
      </w:pPr>
      <w:rPr>
        <w:rFonts w:hint="default"/>
        <w:lang w:val="zh-CN" w:eastAsia="zh-CN" w:bidi="zh-CN"/>
      </w:rPr>
    </w:lvl>
  </w:abstractNum>
  <w:abstractNum w:abstractNumId="9">
    <w:nsid w:val="586FF928"/>
    <w:multiLevelType w:val="hybridMultilevel"/>
    <w:tmpl w:val="00000000"/>
    <w:lvl w:ilvl="0">
      <w:start w:val="0"/>
      <w:numFmt w:val="bullet"/>
      <w:lvlText w:val=""/>
      <w:lvlJc w:val="left"/>
      <w:pPr>
        <w:ind w:left="3387" w:hanging="423"/>
      </w:pPr>
      <w:rPr>
        <w:rFonts w:ascii="Wingdings" w:eastAsia="Wingdings" w:hAnsi="Wingdings" w:cs="Wingdings" w:hint="default"/>
        <w:w w:val="100"/>
        <w:sz w:val="21"/>
        <w:szCs w:val="21"/>
        <w:lang w:val="zh-CN" w:eastAsia="zh-CN" w:bidi="zh-CN"/>
      </w:rPr>
    </w:lvl>
    <w:lvl w:ilvl="1">
      <w:start w:val="0"/>
      <w:numFmt w:val="bullet"/>
      <w:lvlText w:val="•"/>
      <w:lvlJc w:val="left"/>
      <w:pPr>
        <w:ind w:left="4188" w:hanging="423"/>
      </w:pPr>
      <w:rPr>
        <w:rFonts w:hint="default"/>
        <w:lang w:val="zh-CN" w:eastAsia="zh-CN" w:bidi="zh-CN"/>
      </w:rPr>
    </w:lvl>
    <w:lvl w:ilvl="2">
      <w:start w:val="0"/>
      <w:numFmt w:val="bullet"/>
      <w:lvlText w:val="•"/>
      <w:lvlJc w:val="left"/>
      <w:pPr>
        <w:ind w:left="4996" w:hanging="423"/>
      </w:pPr>
      <w:rPr>
        <w:rFonts w:hint="default"/>
        <w:lang w:val="zh-CN" w:eastAsia="zh-CN" w:bidi="zh-CN"/>
      </w:rPr>
    </w:lvl>
    <w:lvl w:ilvl="3">
      <w:start w:val="0"/>
      <w:numFmt w:val="bullet"/>
      <w:lvlText w:val="•"/>
      <w:lvlJc w:val="left"/>
      <w:pPr>
        <w:ind w:left="5805" w:hanging="423"/>
      </w:pPr>
      <w:rPr>
        <w:rFonts w:hint="default"/>
        <w:lang w:val="zh-CN" w:eastAsia="zh-CN" w:bidi="zh-CN"/>
      </w:rPr>
    </w:lvl>
    <w:lvl w:ilvl="4">
      <w:start w:val="0"/>
      <w:numFmt w:val="bullet"/>
      <w:lvlText w:val="•"/>
      <w:lvlJc w:val="left"/>
      <w:pPr>
        <w:ind w:left="6613" w:hanging="423"/>
      </w:pPr>
      <w:rPr>
        <w:rFonts w:hint="default"/>
        <w:lang w:val="zh-CN" w:eastAsia="zh-CN" w:bidi="zh-CN"/>
      </w:rPr>
    </w:lvl>
    <w:lvl w:ilvl="5">
      <w:start w:val="0"/>
      <w:numFmt w:val="bullet"/>
      <w:lvlText w:val="•"/>
      <w:lvlJc w:val="left"/>
      <w:pPr>
        <w:ind w:left="7422" w:hanging="423"/>
      </w:pPr>
      <w:rPr>
        <w:rFonts w:hint="default"/>
        <w:lang w:val="zh-CN" w:eastAsia="zh-CN" w:bidi="zh-CN"/>
      </w:rPr>
    </w:lvl>
    <w:lvl w:ilvl="6">
      <w:start w:val="0"/>
      <w:numFmt w:val="bullet"/>
      <w:lvlText w:val="•"/>
      <w:lvlJc w:val="left"/>
      <w:pPr>
        <w:ind w:left="8230" w:hanging="423"/>
      </w:pPr>
      <w:rPr>
        <w:rFonts w:hint="default"/>
        <w:lang w:val="zh-CN" w:eastAsia="zh-CN" w:bidi="zh-CN"/>
      </w:rPr>
    </w:lvl>
    <w:lvl w:ilvl="7">
      <w:start w:val="0"/>
      <w:numFmt w:val="bullet"/>
      <w:lvlText w:val="•"/>
      <w:lvlJc w:val="left"/>
      <w:pPr>
        <w:ind w:left="9038" w:hanging="423"/>
      </w:pPr>
      <w:rPr>
        <w:rFonts w:hint="default"/>
        <w:lang w:val="zh-CN" w:eastAsia="zh-CN" w:bidi="zh-CN"/>
      </w:rPr>
    </w:lvl>
    <w:lvl w:ilvl="8">
      <w:start w:val="0"/>
      <w:numFmt w:val="bullet"/>
      <w:lvlText w:val="•"/>
      <w:lvlJc w:val="left"/>
      <w:pPr>
        <w:ind w:left="9847" w:hanging="423"/>
      </w:pPr>
      <w:rPr>
        <w:rFonts w:hint="default"/>
        <w:lang w:val="zh-CN" w:eastAsia="zh-CN" w:bidi="zh-CN"/>
      </w:rPr>
    </w:lvl>
  </w:abstractNum>
  <w:abstractNum w:abstractNumId="10">
    <w:nsid w:val="61347606"/>
    <w:multiLevelType w:val="hybridMultilevel"/>
    <w:tmpl w:val="00000000"/>
    <w:lvl w:ilvl="0">
      <w:start w:val="0"/>
      <w:numFmt w:val="bullet"/>
      <w:lvlText w:val=""/>
      <w:lvlJc w:val="left"/>
      <w:pPr>
        <w:ind w:left="3387" w:hanging="423"/>
      </w:pPr>
      <w:rPr>
        <w:rFonts w:ascii="Wingdings" w:eastAsia="Wingdings" w:hAnsi="Wingdings" w:cs="Wingdings" w:hint="default"/>
        <w:w w:val="100"/>
        <w:sz w:val="21"/>
        <w:szCs w:val="21"/>
        <w:lang w:val="zh-CN" w:eastAsia="zh-CN" w:bidi="zh-CN"/>
      </w:rPr>
    </w:lvl>
    <w:lvl w:ilvl="1">
      <w:start w:val="0"/>
      <w:numFmt w:val="bullet"/>
      <w:lvlText w:val="•"/>
      <w:lvlJc w:val="left"/>
      <w:pPr>
        <w:ind w:left="4188" w:hanging="423"/>
      </w:pPr>
      <w:rPr>
        <w:rFonts w:hint="default"/>
        <w:lang w:val="zh-CN" w:eastAsia="zh-CN" w:bidi="zh-CN"/>
      </w:rPr>
    </w:lvl>
    <w:lvl w:ilvl="2">
      <w:start w:val="0"/>
      <w:numFmt w:val="bullet"/>
      <w:lvlText w:val="•"/>
      <w:lvlJc w:val="left"/>
      <w:pPr>
        <w:ind w:left="4996" w:hanging="423"/>
      </w:pPr>
      <w:rPr>
        <w:rFonts w:hint="default"/>
        <w:lang w:val="zh-CN" w:eastAsia="zh-CN" w:bidi="zh-CN"/>
      </w:rPr>
    </w:lvl>
    <w:lvl w:ilvl="3">
      <w:start w:val="0"/>
      <w:numFmt w:val="bullet"/>
      <w:lvlText w:val="•"/>
      <w:lvlJc w:val="left"/>
      <w:pPr>
        <w:ind w:left="5805" w:hanging="423"/>
      </w:pPr>
      <w:rPr>
        <w:rFonts w:hint="default"/>
        <w:lang w:val="zh-CN" w:eastAsia="zh-CN" w:bidi="zh-CN"/>
      </w:rPr>
    </w:lvl>
    <w:lvl w:ilvl="4">
      <w:start w:val="0"/>
      <w:numFmt w:val="bullet"/>
      <w:lvlText w:val="•"/>
      <w:lvlJc w:val="left"/>
      <w:pPr>
        <w:ind w:left="6613" w:hanging="423"/>
      </w:pPr>
      <w:rPr>
        <w:rFonts w:hint="default"/>
        <w:lang w:val="zh-CN" w:eastAsia="zh-CN" w:bidi="zh-CN"/>
      </w:rPr>
    </w:lvl>
    <w:lvl w:ilvl="5">
      <w:start w:val="0"/>
      <w:numFmt w:val="bullet"/>
      <w:lvlText w:val="•"/>
      <w:lvlJc w:val="left"/>
      <w:pPr>
        <w:ind w:left="7422" w:hanging="423"/>
      </w:pPr>
      <w:rPr>
        <w:rFonts w:hint="default"/>
        <w:lang w:val="zh-CN" w:eastAsia="zh-CN" w:bidi="zh-CN"/>
      </w:rPr>
    </w:lvl>
    <w:lvl w:ilvl="6">
      <w:start w:val="0"/>
      <w:numFmt w:val="bullet"/>
      <w:lvlText w:val="•"/>
      <w:lvlJc w:val="left"/>
      <w:pPr>
        <w:ind w:left="8230" w:hanging="423"/>
      </w:pPr>
      <w:rPr>
        <w:rFonts w:hint="default"/>
        <w:lang w:val="zh-CN" w:eastAsia="zh-CN" w:bidi="zh-CN"/>
      </w:rPr>
    </w:lvl>
    <w:lvl w:ilvl="7">
      <w:start w:val="0"/>
      <w:numFmt w:val="bullet"/>
      <w:lvlText w:val="•"/>
      <w:lvlJc w:val="left"/>
      <w:pPr>
        <w:ind w:left="9038" w:hanging="423"/>
      </w:pPr>
      <w:rPr>
        <w:rFonts w:hint="default"/>
        <w:lang w:val="zh-CN" w:eastAsia="zh-CN" w:bidi="zh-CN"/>
      </w:rPr>
    </w:lvl>
    <w:lvl w:ilvl="8">
      <w:start w:val="0"/>
      <w:numFmt w:val="bullet"/>
      <w:lvlText w:val="•"/>
      <w:lvlJc w:val="left"/>
      <w:pPr>
        <w:ind w:left="9847" w:hanging="423"/>
      </w:pPr>
      <w:rPr>
        <w:rFonts w:hint="default"/>
        <w:lang w:val="zh-CN" w:eastAsia="zh-CN" w:bidi="zh-CN"/>
      </w:rPr>
    </w:lvl>
  </w:abstractNum>
  <w:abstractNum w:abstractNumId="11">
    <w:nsid w:val="63277282"/>
    <w:multiLevelType w:val="hybridMultilevel"/>
    <w:tmpl w:val="00000000"/>
    <w:lvl w:ilvl="0">
      <w:start w:val="2"/>
      <w:numFmt w:val="decimal"/>
      <w:lvlText w:val="%1"/>
      <w:lvlJc w:val="left"/>
      <w:pPr>
        <w:ind w:left="3804" w:hanging="840"/>
        <w:jc w:val="left"/>
      </w:pPr>
      <w:rPr>
        <w:rFonts w:hint="default"/>
        <w:lang w:val="zh-CN" w:eastAsia="zh-CN" w:bidi="zh-CN"/>
      </w:rPr>
    </w:lvl>
    <w:lvl w:ilvl="1">
      <w:start w:val="2"/>
      <w:numFmt w:val="decimal"/>
      <w:lvlText w:val="%1.%2"/>
      <w:lvlJc w:val="left"/>
      <w:pPr>
        <w:ind w:left="3804" w:hanging="840"/>
        <w:jc w:val="left"/>
      </w:pPr>
      <w:rPr>
        <w:rFonts w:hint="default"/>
        <w:lang w:val="zh-CN" w:eastAsia="zh-CN" w:bidi="zh-CN"/>
      </w:rPr>
    </w:lvl>
    <w:lvl w:ilvl="2">
      <w:start w:val="3"/>
      <w:numFmt w:val="decimal"/>
      <w:lvlText w:val="%1.%2.%3"/>
      <w:lvlJc w:val="left"/>
      <w:pPr>
        <w:ind w:left="3804" w:hanging="840"/>
        <w:jc w:val="left"/>
      </w:pPr>
      <w:rPr>
        <w:rFonts w:ascii="Times New Roman" w:eastAsia="Times New Roman" w:hAnsi="Times New Roman" w:cs="Times New Roman" w:hint="default"/>
        <w:b/>
        <w:bCs/>
        <w:color w:val="9C4A45"/>
        <w:w w:val="100"/>
        <w:sz w:val="21"/>
        <w:szCs w:val="21"/>
        <w:lang w:val="zh-CN" w:eastAsia="zh-CN" w:bidi="zh-CN"/>
      </w:rPr>
    </w:lvl>
    <w:lvl w:ilvl="3">
      <w:start w:val="0"/>
      <w:numFmt w:val="bullet"/>
      <w:lvlText w:val="•"/>
      <w:lvlJc w:val="left"/>
      <w:pPr>
        <w:ind w:left="6099" w:hanging="840"/>
      </w:pPr>
      <w:rPr>
        <w:rFonts w:hint="default"/>
        <w:lang w:val="zh-CN" w:eastAsia="zh-CN" w:bidi="zh-CN"/>
      </w:rPr>
    </w:lvl>
    <w:lvl w:ilvl="4">
      <w:start w:val="0"/>
      <w:numFmt w:val="bullet"/>
      <w:lvlText w:val="•"/>
      <w:lvlJc w:val="left"/>
      <w:pPr>
        <w:ind w:left="6865" w:hanging="840"/>
      </w:pPr>
      <w:rPr>
        <w:rFonts w:hint="default"/>
        <w:lang w:val="zh-CN" w:eastAsia="zh-CN" w:bidi="zh-CN"/>
      </w:rPr>
    </w:lvl>
    <w:lvl w:ilvl="5">
      <w:start w:val="0"/>
      <w:numFmt w:val="bullet"/>
      <w:lvlText w:val="•"/>
      <w:lvlJc w:val="left"/>
      <w:pPr>
        <w:ind w:left="7632" w:hanging="840"/>
      </w:pPr>
      <w:rPr>
        <w:rFonts w:hint="default"/>
        <w:lang w:val="zh-CN" w:eastAsia="zh-CN" w:bidi="zh-CN"/>
      </w:rPr>
    </w:lvl>
    <w:lvl w:ilvl="6">
      <w:start w:val="0"/>
      <w:numFmt w:val="bullet"/>
      <w:lvlText w:val="•"/>
      <w:lvlJc w:val="left"/>
      <w:pPr>
        <w:ind w:left="8398" w:hanging="840"/>
      </w:pPr>
      <w:rPr>
        <w:rFonts w:hint="default"/>
        <w:lang w:val="zh-CN" w:eastAsia="zh-CN" w:bidi="zh-CN"/>
      </w:rPr>
    </w:lvl>
    <w:lvl w:ilvl="7">
      <w:start w:val="0"/>
      <w:numFmt w:val="bullet"/>
      <w:lvlText w:val="•"/>
      <w:lvlJc w:val="left"/>
      <w:pPr>
        <w:ind w:left="9164" w:hanging="840"/>
      </w:pPr>
      <w:rPr>
        <w:rFonts w:hint="default"/>
        <w:lang w:val="zh-CN" w:eastAsia="zh-CN" w:bidi="zh-CN"/>
      </w:rPr>
    </w:lvl>
    <w:lvl w:ilvl="8">
      <w:start w:val="0"/>
      <w:numFmt w:val="bullet"/>
      <w:lvlText w:val="•"/>
      <w:lvlJc w:val="left"/>
      <w:pPr>
        <w:ind w:left="9931" w:hanging="840"/>
      </w:pPr>
      <w:rPr>
        <w:rFonts w:hint="default"/>
        <w:lang w:val="zh-CN" w:eastAsia="zh-CN" w:bidi="zh-CN"/>
      </w:rPr>
    </w:lvl>
  </w:abstractNum>
  <w:abstractNum w:abstractNumId="12">
    <w:nsid w:val="75BB1EA2"/>
    <w:multiLevelType w:val="hybridMultilevel"/>
    <w:tmpl w:val="00000000"/>
    <w:lvl w:ilvl="0">
      <w:start w:val="1"/>
      <w:numFmt w:val="decimal"/>
      <w:lvlText w:val="%1"/>
      <w:lvlJc w:val="left"/>
      <w:pPr>
        <w:ind w:left="1509" w:hanging="419"/>
        <w:jc w:val="left"/>
      </w:pPr>
      <w:rPr>
        <w:rFonts w:ascii="Times New Roman" w:eastAsia="Times New Roman" w:hAnsi="Times New Roman" w:cs="Times New Roman" w:hint="default"/>
        <w:b/>
        <w:bCs/>
        <w:w w:val="100"/>
        <w:sz w:val="21"/>
        <w:szCs w:val="21"/>
        <w:lang w:val="zh-CN" w:eastAsia="zh-CN" w:bidi="zh-CN"/>
      </w:rPr>
    </w:lvl>
    <w:lvl w:ilvl="1">
      <w:start w:val="1"/>
      <w:numFmt w:val="decimal"/>
      <w:lvlText w:val="%1.%2"/>
      <w:lvlJc w:val="left"/>
      <w:pPr>
        <w:ind w:left="1721" w:hanging="630"/>
        <w:jc w:val="left"/>
      </w:pPr>
      <w:rPr>
        <w:rFonts w:ascii="Times New Roman" w:eastAsia="Times New Roman" w:hAnsi="Times New Roman" w:cs="Times New Roman" w:hint="default"/>
        <w:b/>
        <w:bCs/>
        <w:w w:val="100"/>
        <w:sz w:val="21"/>
        <w:szCs w:val="21"/>
        <w:lang w:val="zh-CN" w:eastAsia="zh-CN" w:bidi="zh-CN"/>
      </w:rPr>
    </w:lvl>
    <w:lvl w:ilvl="2">
      <w:start w:val="1"/>
      <w:numFmt w:val="decimal"/>
      <w:lvlText w:val="%1.%2.%3"/>
      <w:lvlJc w:val="left"/>
      <w:pPr>
        <w:ind w:left="1932" w:hanging="841"/>
        <w:jc w:val="left"/>
      </w:pPr>
      <w:rPr>
        <w:rFonts w:ascii="Times New Roman" w:eastAsia="Times New Roman" w:hAnsi="Times New Roman" w:cs="Times New Roman" w:hint="default"/>
        <w:b/>
        <w:bCs/>
        <w:w w:val="100"/>
        <w:sz w:val="21"/>
        <w:szCs w:val="21"/>
        <w:lang w:val="zh-CN" w:eastAsia="zh-CN" w:bidi="zh-CN"/>
      </w:rPr>
    </w:lvl>
    <w:lvl w:ilvl="3">
      <w:start w:val="0"/>
      <w:numFmt w:val="bullet"/>
      <w:lvlText w:val="•"/>
      <w:lvlJc w:val="left"/>
      <w:pPr>
        <w:ind w:left="3130" w:hanging="841"/>
      </w:pPr>
      <w:rPr>
        <w:rFonts w:hint="default"/>
        <w:lang w:val="zh-CN" w:eastAsia="zh-CN" w:bidi="zh-CN"/>
      </w:rPr>
    </w:lvl>
    <w:lvl w:ilvl="4">
      <w:start w:val="0"/>
      <w:numFmt w:val="bullet"/>
      <w:lvlText w:val="•"/>
      <w:lvlJc w:val="left"/>
      <w:pPr>
        <w:ind w:left="4321" w:hanging="841"/>
      </w:pPr>
      <w:rPr>
        <w:rFonts w:hint="default"/>
        <w:lang w:val="zh-CN" w:eastAsia="zh-CN" w:bidi="zh-CN"/>
      </w:rPr>
    </w:lvl>
    <w:lvl w:ilvl="5">
      <w:start w:val="0"/>
      <w:numFmt w:val="bullet"/>
      <w:lvlText w:val="•"/>
      <w:lvlJc w:val="left"/>
      <w:pPr>
        <w:ind w:left="5511" w:hanging="841"/>
      </w:pPr>
      <w:rPr>
        <w:rFonts w:hint="default"/>
        <w:lang w:val="zh-CN" w:eastAsia="zh-CN" w:bidi="zh-CN"/>
      </w:rPr>
    </w:lvl>
    <w:lvl w:ilvl="6">
      <w:start w:val="0"/>
      <w:numFmt w:val="bullet"/>
      <w:lvlText w:val="•"/>
      <w:lvlJc w:val="left"/>
      <w:pPr>
        <w:ind w:left="6702" w:hanging="841"/>
      </w:pPr>
      <w:rPr>
        <w:rFonts w:hint="default"/>
        <w:lang w:val="zh-CN" w:eastAsia="zh-CN" w:bidi="zh-CN"/>
      </w:rPr>
    </w:lvl>
    <w:lvl w:ilvl="7">
      <w:start w:val="0"/>
      <w:numFmt w:val="bullet"/>
      <w:lvlText w:val="•"/>
      <w:lvlJc w:val="left"/>
      <w:pPr>
        <w:ind w:left="7892" w:hanging="841"/>
      </w:pPr>
      <w:rPr>
        <w:rFonts w:hint="default"/>
        <w:lang w:val="zh-CN" w:eastAsia="zh-CN" w:bidi="zh-CN"/>
      </w:rPr>
    </w:lvl>
    <w:lvl w:ilvl="8">
      <w:start w:val="0"/>
      <w:numFmt w:val="bullet"/>
      <w:lvlText w:val="•"/>
      <w:lvlJc w:val="left"/>
      <w:pPr>
        <w:ind w:left="9083" w:hanging="841"/>
      </w:pPr>
      <w:rPr>
        <w:rFonts w:hint="default"/>
        <w:lang w:val="zh-CN" w:eastAsia="zh-CN" w:bidi="zh-CN"/>
      </w:rPr>
    </w:lvl>
  </w:abstractNum>
  <w:abstractNum w:abstractNumId="13">
    <w:nsid w:val="7CC1BDFE"/>
    <w:multiLevelType w:val="hybridMultilevel"/>
    <w:tmpl w:val="00000000"/>
    <w:lvl w:ilvl="0">
      <w:start w:val="0"/>
      <w:numFmt w:val="bullet"/>
      <w:lvlText w:val=""/>
      <w:lvlJc w:val="left"/>
      <w:pPr>
        <w:ind w:left="3387" w:hanging="423"/>
      </w:pPr>
      <w:rPr>
        <w:rFonts w:ascii="Wingdings" w:eastAsia="Wingdings" w:hAnsi="Wingdings" w:cs="Wingdings" w:hint="default"/>
        <w:w w:val="100"/>
        <w:sz w:val="21"/>
        <w:szCs w:val="21"/>
        <w:lang w:val="zh-CN" w:eastAsia="zh-CN" w:bidi="zh-CN"/>
      </w:rPr>
    </w:lvl>
    <w:lvl w:ilvl="1">
      <w:start w:val="0"/>
      <w:numFmt w:val="bullet"/>
      <w:lvlText w:val="•"/>
      <w:lvlJc w:val="left"/>
      <w:pPr>
        <w:ind w:left="4188" w:hanging="423"/>
      </w:pPr>
      <w:rPr>
        <w:rFonts w:hint="default"/>
        <w:lang w:val="zh-CN" w:eastAsia="zh-CN" w:bidi="zh-CN"/>
      </w:rPr>
    </w:lvl>
    <w:lvl w:ilvl="2">
      <w:start w:val="0"/>
      <w:numFmt w:val="bullet"/>
      <w:lvlText w:val="•"/>
      <w:lvlJc w:val="left"/>
      <w:pPr>
        <w:ind w:left="4996" w:hanging="423"/>
      </w:pPr>
      <w:rPr>
        <w:rFonts w:hint="default"/>
        <w:lang w:val="zh-CN" w:eastAsia="zh-CN" w:bidi="zh-CN"/>
      </w:rPr>
    </w:lvl>
    <w:lvl w:ilvl="3">
      <w:start w:val="0"/>
      <w:numFmt w:val="bullet"/>
      <w:lvlText w:val="•"/>
      <w:lvlJc w:val="left"/>
      <w:pPr>
        <w:ind w:left="5805" w:hanging="423"/>
      </w:pPr>
      <w:rPr>
        <w:rFonts w:hint="default"/>
        <w:lang w:val="zh-CN" w:eastAsia="zh-CN" w:bidi="zh-CN"/>
      </w:rPr>
    </w:lvl>
    <w:lvl w:ilvl="4">
      <w:start w:val="0"/>
      <w:numFmt w:val="bullet"/>
      <w:lvlText w:val="•"/>
      <w:lvlJc w:val="left"/>
      <w:pPr>
        <w:ind w:left="6613" w:hanging="423"/>
      </w:pPr>
      <w:rPr>
        <w:rFonts w:hint="default"/>
        <w:lang w:val="zh-CN" w:eastAsia="zh-CN" w:bidi="zh-CN"/>
      </w:rPr>
    </w:lvl>
    <w:lvl w:ilvl="5">
      <w:start w:val="0"/>
      <w:numFmt w:val="bullet"/>
      <w:lvlText w:val="•"/>
      <w:lvlJc w:val="left"/>
      <w:pPr>
        <w:ind w:left="7422" w:hanging="423"/>
      </w:pPr>
      <w:rPr>
        <w:rFonts w:hint="default"/>
        <w:lang w:val="zh-CN" w:eastAsia="zh-CN" w:bidi="zh-CN"/>
      </w:rPr>
    </w:lvl>
    <w:lvl w:ilvl="6">
      <w:start w:val="0"/>
      <w:numFmt w:val="bullet"/>
      <w:lvlText w:val="•"/>
      <w:lvlJc w:val="left"/>
      <w:pPr>
        <w:ind w:left="8230" w:hanging="423"/>
      </w:pPr>
      <w:rPr>
        <w:rFonts w:hint="default"/>
        <w:lang w:val="zh-CN" w:eastAsia="zh-CN" w:bidi="zh-CN"/>
      </w:rPr>
    </w:lvl>
    <w:lvl w:ilvl="7">
      <w:start w:val="0"/>
      <w:numFmt w:val="bullet"/>
      <w:lvlText w:val="•"/>
      <w:lvlJc w:val="left"/>
      <w:pPr>
        <w:ind w:left="9038" w:hanging="423"/>
      </w:pPr>
      <w:rPr>
        <w:rFonts w:hint="default"/>
        <w:lang w:val="zh-CN" w:eastAsia="zh-CN" w:bidi="zh-CN"/>
      </w:rPr>
    </w:lvl>
    <w:lvl w:ilvl="8">
      <w:start w:val="0"/>
      <w:numFmt w:val="bullet"/>
      <w:lvlText w:val="•"/>
      <w:lvlJc w:val="left"/>
      <w:pPr>
        <w:ind w:left="9847" w:hanging="423"/>
      </w:pPr>
      <w:rPr>
        <w:rFonts w:hint="default"/>
        <w:lang w:val="zh-CN" w:eastAsia="zh-CN" w:bidi="zh-CN"/>
      </w:rPr>
    </w:lvl>
  </w:abstractNum>
  <w:num w:numId="1">
    <w:abstractNumId w:val="9"/>
  </w:num>
  <w:num w:numId="2">
    <w:abstractNumId w:val="3"/>
  </w:num>
  <w:num w:numId="3">
    <w:abstractNumId w:val="1"/>
  </w:num>
  <w:num w:numId="4">
    <w:abstractNumId w:val="5"/>
  </w:num>
  <w:num w:numId="5">
    <w:abstractNumId w:val="8"/>
  </w:num>
  <w:num w:numId="6">
    <w:abstractNumId w:val="2"/>
  </w:num>
  <w:num w:numId="7">
    <w:abstractNumId w:val="7"/>
  </w:num>
  <w:num w:numId="8">
    <w:abstractNumId w:val="11"/>
  </w:num>
  <w:num w:numId="9">
    <w:abstractNumId w:val="10"/>
  </w:num>
  <w:num w:numId="10">
    <w:abstractNumId w:val="4"/>
  </w:num>
  <w:num w:numId="11">
    <w:abstractNumId w:val="6"/>
  </w:num>
  <w:num w:numId="12">
    <w:abstractNumId w:val="12"/>
  </w:num>
  <w:num w:numId="13">
    <w:abstractNumId w:val="13"/>
  </w:num>
  <w:num w:numId="1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lang w:val="zh-CN" w:eastAsia="zh-CN" w:bidi="zh-CN"/>
    </w:rPr>
  </w:style>
  <w:style w:type="paragraph" w:styleId="Heading1">
    <w:name w:val="heading 1"/>
    <w:basedOn w:val="Normal"/>
    <w:uiPriority w:val="1"/>
    <w:qFormat/>
    <w:pPr>
      <w:ind w:left="3391" w:hanging="428"/>
      <w:outlineLvl w:val="0"/>
    </w:pPr>
    <w:rPr>
      <w:rFonts w:ascii="楷体" w:eastAsia="楷体" w:hAnsi="楷体" w:cs="楷体"/>
      <w:b/>
      <w:bCs/>
      <w:sz w:val="32"/>
      <w:szCs w:val="32"/>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39"/>
      <w:ind w:left="1932" w:hanging="842"/>
    </w:pPr>
    <w:rPr>
      <w:rFonts w:ascii="楷体" w:eastAsia="楷体" w:hAnsi="楷体" w:cs="楷体"/>
      <w:b/>
      <w:bCs/>
      <w:sz w:val="21"/>
      <w:szCs w:val="21"/>
      <w:lang w:val="zh-CN" w:eastAsia="zh-CN" w:bidi="zh-CN"/>
    </w:rPr>
  </w:style>
  <w:style w:type="paragraph" w:styleId="BodyText">
    <w:name w:val="Body Text"/>
    <w:basedOn w:val="Normal"/>
    <w:uiPriority w:val="1"/>
    <w:qFormat/>
    <w:rPr>
      <w:rFonts w:ascii="楷体" w:eastAsia="楷体" w:hAnsi="楷体" w:cs="楷体"/>
      <w:sz w:val="21"/>
      <w:szCs w:val="21"/>
      <w:lang w:val="zh-CN" w:eastAsia="zh-CN" w:bidi="zh-CN"/>
    </w:rPr>
  </w:style>
  <w:style w:type="paragraph" w:styleId="ListParagraph">
    <w:name w:val="List Paragraph"/>
    <w:basedOn w:val="Normal"/>
    <w:uiPriority w:val="1"/>
    <w:qFormat/>
    <w:pPr>
      <w:spacing w:before="139"/>
      <w:ind w:left="3387" w:hanging="423"/>
    </w:pPr>
    <w:rPr>
      <w:rFonts w:ascii="楷体" w:eastAsia="楷体" w:hAnsi="楷体" w:cs="楷体"/>
      <w:lang w:val="zh-CN" w:eastAsia="zh-CN" w:bidi="zh-CN"/>
    </w:rPr>
  </w:style>
  <w:style w:type="paragraph" w:customStyle="1" w:styleId="TableParagraph">
    <w:name w:val="Table Paragraph"/>
    <w:basedOn w:val="Normal"/>
    <w:uiPriority w:val="1"/>
    <w:qFormat/>
    <w:rPr>
      <w:rFonts w:ascii="Times New Roman" w:eastAsia="Times New Roman" w:hAnsi="Times New Roman" w:cs="Times New Roman"/>
      <w:lang w:val="zh-CN" w:eastAsia="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00" Type="http://schemas.openxmlformats.org/officeDocument/2006/relationships/theme" Target="theme/theme1.xml" /><Relationship Id="rId101" Type="http://schemas.openxmlformats.org/officeDocument/2006/relationships/numbering" Target="numbering.xml" /><Relationship Id="rId102" Type="http://schemas.openxmlformats.org/officeDocument/2006/relationships/styles" Target="styles.xml" /><Relationship Id="rId11" Type="http://schemas.openxmlformats.org/officeDocument/2006/relationships/header" Target="header2.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image" Target="media/image6.png"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1.xml" /><Relationship Id="rId32" Type="http://schemas.openxmlformats.org/officeDocument/2006/relationships/footer" Target="footer11.xml" /><Relationship Id="rId33" Type="http://schemas.openxmlformats.org/officeDocument/2006/relationships/image" Target="media/image8.png" /><Relationship Id="rId34" Type="http://schemas.openxmlformats.org/officeDocument/2006/relationships/image" Target="media/image9.png" /><Relationship Id="rId35" Type="http://schemas.openxmlformats.org/officeDocument/2006/relationships/image" Target="media/image10.png" /><Relationship Id="rId36" Type="http://schemas.openxmlformats.org/officeDocument/2006/relationships/image" Target="media/image11.png" /><Relationship Id="rId37" Type="http://schemas.openxmlformats.org/officeDocument/2006/relationships/image" Target="media/image12.png" /><Relationship Id="rId38" Type="http://schemas.openxmlformats.org/officeDocument/2006/relationships/image" Target="media/image13.png" /><Relationship Id="rId39" Type="http://schemas.openxmlformats.org/officeDocument/2006/relationships/image" Target="media/image14.png" /><Relationship Id="rId4" Type="http://schemas.openxmlformats.org/officeDocument/2006/relationships/image" Target="media/image1.png" /><Relationship Id="rId40" Type="http://schemas.openxmlformats.org/officeDocument/2006/relationships/image" Target="media/image15.png" /><Relationship Id="rId41" Type="http://schemas.openxmlformats.org/officeDocument/2006/relationships/image" Target="media/image16.png" /><Relationship Id="rId42" Type="http://schemas.openxmlformats.org/officeDocument/2006/relationships/header" Target="header12.xml" /><Relationship Id="rId43" Type="http://schemas.openxmlformats.org/officeDocument/2006/relationships/footer" Target="footer12.xml" /><Relationship Id="rId44" Type="http://schemas.openxmlformats.org/officeDocument/2006/relationships/image" Target="media/image17.png" /><Relationship Id="rId45" Type="http://schemas.openxmlformats.org/officeDocument/2006/relationships/header" Target="header13.xml" /><Relationship Id="rId46" Type="http://schemas.openxmlformats.org/officeDocument/2006/relationships/footer" Target="footer13.xml" /><Relationship Id="rId47" Type="http://schemas.openxmlformats.org/officeDocument/2006/relationships/header" Target="header14.xml" /><Relationship Id="rId48" Type="http://schemas.openxmlformats.org/officeDocument/2006/relationships/footer" Target="footer14.xml" /><Relationship Id="rId49" Type="http://schemas.openxmlformats.org/officeDocument/2006/relationships/header" Target="header15.xml" /><Relationship Id="rId5" Type="http://schemas.openxmlformats.org/officeDocument/2006/relationships/image" Target="media/image2.png" /><Relationship Id="rId50" Type="http://schemas.openxmlformats.org/officeDocument/2006/relationships/footer" Target="footer15.xml" /><Relationship Id="rId51" Type="http://schemas.openxmlformats.org/officeDocument/2006/relationships/header" Target="header16.xml" /><Relationship Id="rId52" Type="http://schemas.openxmlformats.org/officeDocument/2006/relationships/footer" Target="footer16.xml" /><Relationship Id="rId53" Type="http://schemas.openxmlformats.org/officeDocument/2006/relationships/image" Target="media/image18.png" /><Relationship Id="rId54" Type="http://schemas.openxmlformats.org/officeDocument/2006/relationships/header" Target="header17.xml" /><Relationship Id="rId55" Type="http://schemas.openxmlformats.org/officeDocument/2006/relationships/footer" Target="footer17.xml" /><Relationship Id="rId56" Type="http://schemas.openxmlformats.org/officeDocument/2006/relationships/header" Target="header18.xml" /><Relationship Id="rId57" Type="http://schemas.openxmlformats.org/officeDocument/2006/relationships/footer" Target="footer18.xml" /><Relationship Id="rId58" Type="http://schemas.openxmlformats.org/officeDocument/2006/relationships/image" Target="media/image19.png" /><Relationship Id="rId59" Type="http://schemas.openxmlformats.org/officeDocument/2006/relationships/image" Target="media/image20.png" /><Relationship Id="rId6" Type="http://schemas.openxmlformats.org/officeDocument/2006/relationships/image" Target="media/image3.png" /><Relationship Id="rId60" Type="http://schemas.openxmlformats.org/officeDocument/2006/relationships/image" Target="media/image21.png" /><Relationship Id="rId61" Type="http://schemas.openxmlformats.org/officeDocument/2006/relationships/header" Target="header19.xml" /><Relationship Id="rId62" Type="http://schemas.openxmlformats.org/officeDocument/2006/relationships/footer" Target="footer19.xml" /><Relationship Id="rId63" Type="http://schemas.openxmlformats.org/officeDocument/2006/relationships/header" Target="header20.xml" /><Relationship Id="rId64" Type="http://schemas.openxmlformats.org/officeDocument/2006/relationships/footer" Target="footer20.xml" /><Relationship Id="rId65" Type="http://schemas.openxmlformats.org/officeDocument/2006/relationships/image" Target="media/image22.jpeg" /><Relationship Id="rId66" Type="http://schemas.openxmlformats.org/officeDocument/2006/relationships/header" Target="header21.xml" /><Relationship Id="rId67" Type="http://schemas.openxmlformats.org/officeDocument/2006/relationships/footer" Target="footer21.xml" /><Relationship Id="rId68" Type="http://schemas.openxmlformats.org/officeDocument/2006/relationships/header" Target="header22.xml" /><Relationship Id="rId69" Type="http://schemas.openxmlformats.org/officeDocument/2006/relationships/footer" Target="footer22.xml" /><Relationship Id="rId7" Type="http://schemas.openxmlformats.org/officeDocument/2006/relationships/image" Target="media/image4.png" /><Relationship Id="rId70" Type="http://schemas.openxmlformats.org/officeDocument/2006/relationships/header" Target="header23.xml" /><Relationship Id="rId71" Type="http://schemas.openxmlformats.org/officeDocument/2006/relationships/footer" Target="footer23.xml" /><Relationship Id="rId72" Type="http://schemas.openxmlformats.org/officeDocument/2006/relationships/header" Target="header24.xml" /><Relationship Id="rId73" Type="http://schemas.openxmlformats.org/officeDocument/2006/relationships/footer" Target="footer24.xml" /><Relationship Id="rId74" Type="http://schemas.openxmlformats.org/officeDocument/2006/relationships/header" Target="header25.xml" /><Relationship Id="rId75" Type="http://schemas.openxmlformats.org/officeDocument/2006/relationships/footer" Target="footer25.xml" /><Relationship Id="rId76" Type="http://schemas.openxmlformats.org/officeDocument/2006/relationships/image" Target="media/image23.jpeg" /><Relationship Id="rId77" Type="http://schemas.openxmlformats.org/officeDocument/2006/relationships/header" Target="header26.xml" /><Relationship Id="rId78" Type="http://schemas.openxmlformats.org/officeDocument/2006/relationships/footer" Target="footer26.xml" /><Relationship Id="rId79" Type="http://schemas.openxmlformats.org/officeDocument/2006/relationships/header" Target="header27.xml" /><Relationship Id="rId8" Type="http://schemas.openxmlformats.org/officeDocument/2006/relationships/image" Target="media/image5.png" /><Relationship Id="rId80" Type="http://schemas.openxmlformats.org/officeDocument/2006/relationships/footer" Target="footer27.xml" /><Relationship Id="rId81" Type="http://schemas.openxmlformats.org/officeDocument/2006/relationships/image" Target="media/image24.png" /><Relationship Id="rId82" Type="http://schemas.openxmlformats.org/officeDocument/2006/relationships/image" Target="media/image25.png" /><Relationship Id="rId83" Type="http://schemas.openxmlformats.org/officeDocument/2006/relationships/image" Target="media/image26.png" /><Relationship Id="rId84" Type="http://schemas.openxmlformats.org/officeDocument/2006/relationships/image" Target="media/image27.png" /><Relationship Id="rId85" Type="http://schemas.openxmlformats.org/officeDocument/2006/relationships/image" Target="media/image28.png" /><Relationship Id="rId86" Type="http://schemas.openxmlformats.org/officeDocument/2006/relationships/image" Target="media/image29.png" /><Relationship Id="rId87" Type="http://schemas.openxmlformats.org/officeDocument/2006/relationships/image" Target="media/image30.png" /><Relationship Id="rId88" Type="http://schemas.openxmlformats.org/officeDocument/2006/relationships/image" Target="media/image31.png" /><Relationship Id="rId89" Type="http://schemas.openxmlformats.org/officeDocument/2006/relationships/header" Target="header28.xml" /><Relationship Id="rId9" Type="http://schemas.openxmlformats.org/officeDocument/2006/relationships/header" Target="header1.xml" /><Relationship Id="rId90" Type="http://schemas.openxmlformats.org/officeDocument/2006/relationships/footer" Target="footer28.xml" /><Relationship Id="rId91" Type="http://schemas.openxmlformats.org/officeDocument/2006/relationships/header" Target="header29.xml" /><Relationship Id="rId92" Type="http://schemas.openxmlformats.org/officeDocument/2006/relationships/footer" Target="footer29.xml" /><Relationship Id="rId93" Type="http://schemas.openxmlformats.org/officeDocument/2006/relationships/header" Target="header30.xml" /><Relationship Id="rId94" Type="http://schemas.openxmlformats.org/officeDocument/2006/relationships/footer" Target="footer30.xml" /><Relationship Id="rId95" Type="http://schemas.openxmlformats.org/officeDocument/2006/relationships/header" Target="header31.xml" /><Relationship Id="rId96" Type="http://schemas.openxmlformats.org/officeDocument/2006/relationships/footer" Target="footer31.xml" /><Relationship Id="rId97" Type="http://schemas.openxmlformats.org/officeDocument/2006/relationships/hyperlink" Target="https://d.book118.com/927004026040006054" TargetMode="External" /><Relationship Id="rId98" Type="http://schemas.openxmlformats.org/officeDocument/2006/relationships/header" Target="header32.xml" /><Relationship Id="rId99" Type="http://schemas.openxmlformats.org/officeDocument/2006/relationships/footer" Target="footer3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2024-03-19T05:03:05Z</dcterms:created>
  <dcterms:modified xsi:type="dcterms:W3CDTF">2024-03-19T05:03:05Z</dcterms:modified>
</cp:coreProperties>
</file>