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家具项目投资建议书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一、家具项目规划进度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(一)、家具项目进度安排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(二)、家具项目实施保障措施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(四)、家具项目进度监控与调整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二、建设规模分析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_Toc11736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三、风险应对评估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" w:history="1">
        <w:r>
          <w:rPr>
            <w:rFonts w:ascii="仿宋" w:eastAsia="仿宋" w:hAnsi="仿宋" w:cs="仿宋" w:hint="eastAsia"/>
            <w:lang w:eastAsia="zh-CN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_Toc202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6" w:history="1">
        <w:r>
          <w:rPr>
            <w:rFonts w:ascii="仿宋" w:eastAsia="仿宋" w:hAnsi="仿宋" w:cs="仿宋" w:hint="eastAsia"/>
            <w:lang w:eastAsia="zh-CN"/>
          </w:rPr>
          <w:t>五、家具项目基本情况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(一)、家具项目名称及家具项目单位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eastAsia="zh-CN"/>
          </w:rPr>
          <w:t>(二)、家具项目建设地点</w:t>
        </w:r>
        <w:r>
          <w:tab/>
        </w:r>
        <w:r>
          <w:fldChar w:fldCharType="begin"/>
        </w:r>
        <w:r>
          <w:instrText xml:space="preserve"> PAGEREF _Toc16506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(六)、家具项目建设进展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(十)、1家具项目关键技术与经济指标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六、公司概况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七、家具行业行业发展形势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8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_Toc27528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八、家具项目概况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(一)、家具项目基本情况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(三)、家具项目建设选址及用地规模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(四)、家具项目总投资及资金构成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(五)、家具项目资本金筹措方案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(七)、家具项目预期经济效益规划目标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eastAsia="zh-CN"/>
          </w:rPr>
          <w:t>(八)、家具项目建设进度规划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_Toc6005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十、法律法规及审批程序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_Toc24186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(一)、家具项目风险分析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(二)、家具项目风险对策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十二、家具项目总结与建议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十三、招标方案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(一)、家具项目招标依据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(二)、家具项目招标范围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十四、环境可持续性管理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59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9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_Toc6217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十七、法人治理结构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十八、家具供应链管理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6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十九、沟通与团队协作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二十、员工满意度调查与提升策略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8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_Toc20118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二十一、生产控制的方式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二十二战略钟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10"/>
      <w:r>
        <w:rPr>
          <w:rFonts w:ascii="仿宋" w:eastAsia="仿宋" w:hAnsi="仿宋" w:cs="仿宋" w:hint="eastAsia"/>
          <w:sz w:val="28"/>
          <w:lang w:eastAsia="zh-CN"/>
        </w:rPr>
        <w:t>一、家具项目规划进度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25"/>
      <w:r>
        <w:rPr>
          <w:rFonts w:ascii="仿宋" w:eastAsia="仿宋" w:hAnsi="仿宋" w:cs="仿宋" w:hint="eastAsia"/>
          <w:lang w:eastAsia="zh-CN"/>
        </w:rPr>
        <w:t>(一)、家具项目进度安排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为确保家具项目按计划有序推进，xxx（集团）有限公司精心设计了详细的家具项目实施计划，分为多个关键阶段：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阶段一：前期准备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在家具项目启动初期，我们将进行综合的前期准备工作，包括家具项目可行性研究、土地评估和法规遵循。这一阶段的成功将为家具项目的后续进展奠定坚实基础。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阶段二：工程勘察与设计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深入的工程勘察和科学的设计是家具项目成功的关键。我们将确保家具项目方案的合理性，为后续的施工提供准确的指导。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阶段三：土建工程施工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https://d.book118.com/927026013016006050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家具项目投资建议书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1D417A"/>
    <w:rsid w:val="3F1D417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26013016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2024-03-04T16:21:00Z</dcterms:created>
  <dcterms:modified xsi:type="dcterms:W3CDTF">2024-03-04T16:21:55Z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D0EA8286D8B64A9885CB6253E171349F_11</vt:lpwstr>
  </property>
  <property fmtid="{D5CDD505-2E9C-101B-9397-08002B2CF9AE}" pid="3" name="KSOProductBuildVer">
    <vt:lpwstr>2052-12.1.0.16399</vt:lpwstr>
  </property>
</Properties>
</file>