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2018-2023年山西经贸职业学院高职单招（数学／语文／英语）历年常考试题库含答案解析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《背影》一文的结构线索是（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A.横式结构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B.纵式结构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C.自由结构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D.纵横结合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D.七言歌行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《论快乐》一文驳斥了这样的观点，即把快乐分成（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A.感性的和理性的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B.苦和乐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C.肉体的和精神的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D.短暂的和永恒的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《报刘一丈书》本文主旨是（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A.赞美刘一丈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B.讽刺官场腐败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C.讽刺“才德称位”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D.赞美“上下相孚”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A.战百万日滋之师。滋：滋养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B.人卒九州，谷食之所生。卒：到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C.间道经其门。间：间或，偶尔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D.凌余阵兮躐余行。凌：超过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6.</w:t>
      </w:r>
      <w:r>
        <w:rPr>
          <w:rFonts w:ascii="黑体" w:eastAsia="黑体" w:hAnsi="黑体" w:cs="Times New Roman"/>
          <w:sz w:val="24"/>
          <w:lang w:val="en-US" w:eastAsia="ja-JP" w:bidi="ar-SA"/>
        </w:rPr>
        <w:t>《大同》论证理想社会时主要运用了（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5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《水调歌头》“明月几时有”一词怀念的对象是（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A.父亲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B.朋友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C.妻子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D.弟弟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下面不属于《论学问》一文提出的读书四种方法是（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A.精读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B.快速阅读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C.选读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D.全读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《背影》本文为刻画一个慈父形象所选取的描写重点是（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A.人物的面貌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B.人物的行动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C.人物的背影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D.人物的语言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茅盾的《香市》是一篇（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A.记事散文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C.写景的散文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D.回忆性的抒情散文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《谏逐客书》本文中，作者用“五帝三王之所以无敌”的做法来论证秦王的错误，这里采用的论证方法是（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《关山月》是以什么为线索来抒情的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A.笛声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B.月夜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C.歌舞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下列关于作家、作品搭配错误的是（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A.鲁迅——《灯下漫笔》、《论毅力》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B.茅盾——《子夜》、《香市》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C.巴金——《爱尔克的灯光》、《家》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D.曹禺——《雷雨》、《日出》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孟子《寡人之于国也》认为使民加多的根本措施是（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A.鼓励生育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B.发展教育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C.军事扩张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https://d.book118.com/927042046156006044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27042046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