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  <w:bookmarkStart w:id="0" w:name="_GoBack"/>
      <w:bookmarkEnd w:id="0"/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  <w:r>
        <w:rPr>
          <w:rFonts w:ascii="微软雅黑" w:eastAsia="微软雅黑" w:hAnsi="微软雅黑" w:cs="微软雅黑"/>
          <w:b/>
          <w:bCs/>
          <w:color w:val="2D54A0"/>
          <w:spacing w:val="9"/>
          <w:sz w:val="59"/>
          <w:szCs w:val="59"/>
        </w:rPr>
        <w:t>2024年门窗挂钩行业趋势报</w:t>
      </w:r>
      <w:r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  <w:t>告</w:t>
      </w: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 w:hint="default"/>
          <w:b/>
          <w:bCs/>
          <w:color w:val="2D54A0"/>
          <w:spacing w:val="8"/>
          <w:sz w:val="44"/>
          <w:szCs w:val="44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b/>
          <w:bCs/>
          <w:color w:val="2D54A0"/>
          <w:spacing w:val="8"/>
          <w:sz w:val="44"/>
          <w:szCs w:val="44"/>
          <w:lang w:val="en-US" w:eastAsia="zh-CN"/>
        </w:rPr>
        <w:t>《2024年最新评估分析》</w:t>
      </w:r>
    </w:p>
    <w:p>
      <w:pPr>
        <w:spacing w:line="360" w:lineRule="auto"/>
        <w:jc w:val="center"/>
        <w:rPr>
          <w:rFonts w:ascii="微软雅黑" w:eastAsia="微软雅黑" w:hAnsi="微软雅黑" w:cs="微软雅黑" w:hint="eastAsia"/>
          <w:b/>
          <w:bCs w:val="0"/>
          <w:color w:val="2E54A1" w:themeColor="accent1" w:themeShade="BF"/>
          <w:sz w:val="40"/>
        </w:rPr>
      </w:pPr>
      <w:r>
        <w:rPr>
          <w:rFonts w:ascii="微软雅黑" w:eastAsia="微软雅黑" w:hAnsi="微软雅黑" w:cs="微软雅黑" w:hint="eastAsia"/>
          <w:b/>
          <w:bCs w:val="0"/>
          <w:color w:val="2E54A1" w:themeColor="accent1" w:themeShade="BF"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320" w:history="1">
        <w:r>
          <w:rPr>
            <w:rFonts w:ascii="微软雅黑" w:eastAsia="微软雅黑" w:hAnsi="微软雅黑" w:cs="微软雅黑" w:hint="eastAsia"/>
            <w:color w:val="001CAC" w:themeColor="hyperlink" w:themeShade="BF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_Toc12320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73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一、制度运行与优化</w:t>
        </w:r>
        <w:r>
          <w:tab/>
        </w:r>
        <w:r>
          <w:fldChar w:fldCharType="begin"/>
        </w:r>
        <w:r>
          <w:instrText xml:space="preserve"> PAGEREF _Toc9373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5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(一)、制度执行与监督</w:t>
        </w:r>
        <w:r>
          <w:tab/>
        </w:r>
        <w:r>
          <w:fldChar w:fldCharType="begin"/>
        </w:r>
        <w:r>
          <w:instrText xml:space="preserve"> PAGEREF _Toc14552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0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(二)、制度优化与更新</w:t>
        </w:r>
        <w:r>
          <w:tab/>
        </w:r>
        <w:r>
          <w:fldChar w:fldCharType="begin"/>
        </w:r>
        <w:r>
          <w:instrText xml:space="preserve"> PAGEREF _Toc30407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91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二、可持续发展与绿色经营</w:t>
        </w:r>
        <w:r>
          <w:tab/>
        </w:r>
        <w:r>
          <w:fldChar w:fldCharType="begin"/>
        </w:r>
        <w:r>
          <w:instrText xml:space="preserve"> PAGEREF _Toc7691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5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(一)、可持续发展战略与目标</w:t>
        </w:r>
        <w:r>
          <w:tab/>
        </w:r>
        <w:r>
          <w:fldChar w:fldCharType="begin"/>
        </w:r>
        <w:r>
          <w:instrText xml:space="preserve"> PAGEREF _Toc21050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3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(二)、环保政策与实践</w:t>
        </w:r>
        <w:r>
          <w:tab/>
        </w:r>
        <w:r>
          <w:fldChar w:fldCharType="begin"/>
        </w:r>
        <w:r>
          <w:instrText xml:space="preserve"> PAGEREF _Toc4139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4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(三)、资源利用与循环经济</w:t>
        </w:r>
        <w:r>
          <w:tab/>
        </w:r>
        <w:r>
          <w:fldChar w:fldCharType="begin"/>
        </w:r>
        <w:r>
          <w:instrText xml:space="preserve"> PAGEREF _Toc32141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7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(四)、碳中和与生态足迹</w:t>
        </w:r>
        <w:r>
          <w:tab/>
        </w:r>
        <w:r>
          <w:fldChar w:fldCharType="begin"/>
        </w:r>
        <w:r>
          <w:instrText xml:space="preserve"> PAGEREF _Toc23477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81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三、领导力发展与企业文化</w:t>
        </w:r>
        <w:r>
          <w:tab/>
        </w:r>
        <w:r>
          <w:fldChar w:fldCharType="begin"/>
        </w:r>
        <w:r>
          <w:instrText xml:space="preserve"> PAGEREF _Toc14981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9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(一)、高效团队建设原则</w:t>
        </w:r>
        <w:r>
          <w:tab/>
        </w:r>
        <w:r>
          <w:fldChar w:fldCharType="begin"/>
        </w:r>
        <w:r>
          <w:instrText xml:space="preserve"> PAGEREF _Toc11693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6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(二)、团队文化与价值观塑造</w:t>
        </w:r>
        <w:r>
          <w:tab/>
        </w:r>
        <w:r>
          <w:fldChar w:fldCharType="begin"/>
        </w:r>
        <w:r>
          <w:instrText xml:space="preserve"> PAGEREF _Toc29469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2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(三)、领导力发展计划</w:t>
        </w:r>
        <w:r>
          <w:tab/>
        </w:r>
        <w:r>
          <w:fldChar w:fldCharType="begin"/>
        </w:r>
        <w:r>
          <w:instrText xml:space="preserve"> PAGEREF _Toc7426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2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(四)、领导力在变革中的作用</w:t>
        </w:r>
        <w:r>
          <w:tab/>
        </w:r>
        <w:r>
          <w:fldChar w:fldCharType="begin"/>
        </w:r>
        <w:r>
          <w:instrText xml:space="preserve"> PAGEREF _Toc27620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35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四、门窗挂钩行业人力资源管理策略</w:t>
        </w:r>
        <w:r>
          <w:tab/>
        </w:r>
        <w:r>
          <w:fldChar w:fldCharType="begin"/>
        </w:r>
        <w:r>
          <w:instrText xml:space="preserve"> PAGEREF _Toc10235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3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(一)、门窗挂钩行业人力资源管理原则</w:t>
        </w:r>
        <w:r>
          <w:tab/>
        </w:r>
        <w:r>
          <w:fldChar w:fldCharType="begin"/>
        </w:r>
        <w:r>
          <w:instrText xml:space="preserve"> PAGEREF _Toc3631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1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(二)、门窗挂钩行业劳动关系管理</w:t>
        </w:r>
        <w:r>
          <w:tab/>
        </w:r>
        <w:r>
          <w:fldChar w:fldCharType="begin"/>
        </w:r>
        <w:r>
          <w:instrText xml:space="preserve"> PAGEREF _Toc3610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2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(三)、门窗挂钩行业人员配置方案</w:t>
        </w:r>
        <w:r>
          <w:tab/>
        </w:r>
        <w:r>
          <w:fldChar w:fldCharType="begin"/>
        </w:r>
        <w:r>
          <w:instrText xml:space="preserve"> PAGEREF _Toc12527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1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(四)、门窗挂钩行业员工招聘方案</w:t>
        </w:r>
        <w:r>
          <w:tab/>
        </w:r>
        <w:r>
          <w:fldChar w:fldCharType="begin"/>
        </w:r>
        <w:r>
          <w:instrText xml:space="preserve"> PAGEREF _Toc29217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6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(五)、门窗挂钩行业绩效和薪酬管理方案</w:t>
        </w:r>
        <w:r>
          <w:tab/>
        </w:r>
        <w:r>
          <w:fldChar w:fldCharType="begin"/>
        </w:r>
        <w:r>
          <w:instrText xml:space="preserve"> PAGEREF _Toc15661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2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(六)、门窗挂钩行业员工福利管理方案</w:t>
        </w:r>
        <w:r>
          <w:tab/>
        </w:r>
        <w:r>
          <w:fldChar w:fldCharType="begin"/>
        </w:r>
        <w:r>
          <w:instrText xml:space="preserve"> PAGEREF _Toc19728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83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五、项目实施与进度安排</w:t>
        </w:r>
        <w:r>
          <w:tab/>
        </w:r>
        <w:r>
          <w:fldChar w:fldCharType="begin"/>
        </w:r>
        <w:r>
          <w:instrText xml:space="preserve"> PAGEREF _Toc13183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9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(一)、项目计划与时间节点</w:t>
        </w:r>
        <w:r>
          <w:tab/>
        </w:r>
        <w:r>
          <w:fldChar w:fldCharType="begin"/>
        </w:r>
        <w:r>
          <w:instrText xml:space="preserve"> PAGEREF _Toc16991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(二)、项目进度安排</w:t>
        </w:r>
        <w:r>
          <w:tab/>
        </w:r>
        <w:r>
          <w:fldChar w:fldCharType="begin"/>
        </w:r>
        <w:r>
          <w:instrText xml:space="preserve"> PAGEREF _Toc488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2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(三)、风险管理与对策</w:t>
        </w:r>
        <w:r>
          <w:tab/>
        </w:r>
        <w:r>
          <w:fldChar w:fldCharType="begin"/>
        </w:r>
        <w:r>
          <w:instrText xml:space="preserve"> PAGEREF _Toc9922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23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六、门窗挂钩行业运营管理及商业模式分析</w:t>
        </w:r>
        <w:r>
          <w:tab/>
        </w:r>
        <w:r>
          <w:fldChar w:fldCharType="begin"/>
        </w:r>
        <w:r>
          <w:instrText xml:space="preserve"> PAGEREF _Toc22023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6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(一)、门窗挂钩行业数字化发展方案</w:t>
        </w:r>
        <w:r>
          <w:tab/>
        </w:r>
        <w:r>
          <w:fldChar w:fldCharType="begin"/>
        </w:r>
        <w:r>
          <w:instrText xml:space="preserve"> PAGEREF _Toc22061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0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(二)、门窗挂钩行业新型运营方式</w:t>
        </w:r>
        <w:r>
          <w:tab/>
        </w:r>
        <w:r>
          <w:fldChar w:fldCharType="begin"/>
        </w:r>
        <w:r>
          <w:instrText xml:space="preserve"> PAGEREF _Toc13705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1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(三)、门窗挂钩行业风险管理</w:t>
        </w:r>
        <w:r>
          <w:tab/>
        </w:r>
        <w:r>
          <w:fldChar w:fldCharType="begin"/>
        </w:r>
        <w:r>
          <w:instrText xml:space="preserve"> PAGEREF _Toc6912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20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七、门窗挂钩行业质量管理方案</w:t>
        </w:r>
        <w:r>
          <w:tab/>
        </w:r>
        <w:r>
          <w:fldChar w:fldCharType="begin"/>
        </w:r>
        <w:r>
          <w:instrText xml:space="preserve"> PAGEREF _Toc14120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0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(一)、门窗挂钩行业质量管理要求</w:t>
        </w:r>
        <w:r>
          <w:tab/>
        </w:r>
        <w:r>
          <w:fldChar w:fldCharType="begin"/>
        </w:r>
        <w:r>
          <w:instrText xml:space="preserve"> PAGEREF _Toc14204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3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(二)、门窗挂钩行业服务质量管理方案</w:t>
        </w:r>
        <w:r>
          <w:tab/>
        </w:r>
        <w:r>
          <w:fldChar w:fldCharType="begin"/>
        </w:r>
        <w:r>
          <w:instrText xml:space="preserve"> PAGEREF _Toc18634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763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(三)、门窗挂钩行业质量成本管理方案</w:t>
        </w:r>
        <w:r>
          <w:tab/>
        </w:r>
        <w:r>
          <w:fldChar w:fldCharType="begin"/>
        </w:r>
        <w:r>
          <w:instrText xml:space="preserve"> PAGEREF _Toc27632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91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八、资金筹措与投资分析</w:t>
        </w:r>
        <w:r>
          <w:tab/>
        </w:r>
        <w:r>
          <w:fldChar w:fldCharType="begin"/>
        </w:r>
        <w:r>
          <w:instrText xml:space="preserve"> PAGEREF _Toc4991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3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(一)、资金需求与筹措计划</w:t>
        </w:r>
        <w:r>
          <w:tab/>
        </w:r>
        <w:r>
          <w:fldChar w:fldCharType="begin"/>
        </w:r>
        <w:r>
          <w:instrText xml:space="preserve"> PAGEREF _Toc26431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0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(二)、投资分析与回报预期</w:t>
        </w:r>
        <w:r>
          <w:tab/>
        </w:r>
        <w:r>
          <w:fldChar w:fldCharType="begin"/>
        </w:r>
        <w:r>
          <w:instrText xml:space="preserve"> PAGEREF _Toc21606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36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九、环境与社会责任</w:t>
        </w:r>
        <w:r>
          <w:tab/>
        </w:r>
        <w:r>
          <w:fldChar w:fldCharType="begin"/>
        </w:r>
        <w:r>
          <w:instrText xml:space="preserve"> PAGEREF _Toc15536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7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(一)、环境影响评估</w:t>
        </w:r>
        <w:r>
          <w:tab/>
        </w:r>
        <w:r>
          <w:fldChar w:fldCharType="begin"/>
        </w:r>
        <w:r>
          <w:instrText xml:space="preserve"> PAGEREF _Toc31170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9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(二)、社会责任与可持续发展</w:t>
        </w:r>
        <w:r>
          <w:tab/>
        </w:r>
        <w:r>
          <w:fldChar w:fldCharType="begin"/>
        </w:r>
        <w:r>
          <w:instrText xml:space="preserve"> PAGEREF _Toc4394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33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十、项目运营与管理</w:t>
        </w:r>
        <w:r>
          <w:tab/>
        </w:r>
        <w:r>
          <w:fldChar w:fldCharType="begin"/>
        </w:r>
        <w:r>
          <w:instrText xml:space="preserve"> PAGEREF _Toc3533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(一)、运营模式选择</w:t>
        </w:r>
        <w:r>
          <w:tab/>
        </w:r>
        <w:r>
          <w:fldChar w:fldCharType="begin"/>
        </w:r>
        <w:r>
          <w:instrText xml:space="preserve"> PAGEREF _Toc830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(二)、人力资源规划</w:t>
        </w:r>
        <w:r>
          <w:tab/>
        </w:r>
        <w:r>
          <w:fldChar w:fldCharType="begin"/>
        </w:r>
        <w:r>
          <w:instrText xml:space="preserve"> PAGEREF _Toc1291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4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(三)、财务管理计划</w:t>
        </w:r>
        <w:r>
          <w:tab/>
        </w:r>
        <w:r>
          <w:fldChar w:fldCharType="begin"/>
        </w:r>
        <w:r>
          <w:instrText xml:space="preserve"> PAGEREF _Toc11449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2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(四)、供应链管理</w:t>
        </w:r>
        <w:r>
          <w:tab/>
        </w:r>
        <w:r>
          <w:fldChar w:fldCharType="begin"/>
        </w:r>
        <w:r>
          <w:instrText xml:space="preserve"> PAGEREF _Toc29725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85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十一、制度建设与管理</w:t>
        </w:r>
        <w:r>
          <w:tab/>
        </w:r>
        <w:r>
          <w:fldChar w:fldCharType="begin"/>
        </w:r>
        <w:r>
          <w:instrText xml:space="preserve"> PAGEREF _Toc20885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6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(一)、公司治理结构</w:t>
        </w:r>
        <w:r>
          <w:tab/>
        </w:r>
        <w:r>
          <w:fldChar w:fldCharType="begin"/>
        </w:r>
        <w:r>
          <w:instrText xml:space="preserve"> PAGEREF _Toc4467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4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(二)、内部控制与审计</w:t>
        </w:r>
        <w:r>
          <w:tab/>
        </w:r>
        <w:r>
          <w:fldChar w:fldCharType="begin"/>
        </w:r>
        <w:r>
          <w:instrText xml:space="preserve"> PAGEREF _Toc12149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6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(三)、法律法规合规体系</w:t>
        </w:r>
        <w:r>
          <w:tab/>
        </w:r>
        <w:r>
          <w:fldChar w:fldCharType="begin"/>
        </w:r>
        <w:r>
          <w:instrText xml:space="preserve"> PAGEREF _Toc18766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73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十二、质量管理与持续改进</w:t>
        </w:r>
        <w:r>
          <w:tab/>
        </w:r>
        <w:r>
          <w:fldChar w:fldCharType="begin"/>
        </w:r>
        <w:r>
          <w:instrText xml:space="preserve"> PAGEREF _Toc14873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0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_Toc7907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2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(二)、生产过程控制与优化</w:t>
        </w:r>
        <w:r>
          <w:tab/>
        </w:r>
        <w:r>
          <w:fldChar w:fldCharType="begin"/>
        </w:r>
        <w:r>
          <w:instrText xml:space="preserve"> PAGEREF _Toc13427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8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(三)、产品质量检验与测试</w:t>
        </w:r>
        <w:r>
          <w:tab/>
        </w:r>
        <w:r>
          <w:fldChar w:fldCharType="begin"/>
        </w:r>
        <w:r>
          <w:instrText xml:space="preserve"> PAGEREF _Toc11180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0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(四)、用户反馈与质量改进</w:t>
        </w:r>
        <w:r>
          <w:tab/>
        </w:r>
        <w:r>
          <w:fldChar w:fldCharType="begin"/>
        </w:r>
        <w:r>
          <w:instrText xml:space="preserve"> PAGEREF _Toc21301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</w:p>
    <w:p>
      <w:pPr>
        <w:pStyle w:val="Heading1"/>
        <w:jc w:val="center"/>
        <w:rPr>
          <w:rFonts w:ascii="微软雅黑" w:eastAsia="微软雅黑" w:hAnsi="微软雅黑" w:cs="微软雅黑" w:hint="eastAsia"/>
          <w:color w:val="2E54A1" w:themeColor="accent1" w:themeShade="BF"/>
          <w:lang w:eastAsia="zh-CN"/>
        </w:rPr>
      </w:pPr>
      <w:bookmarkStart w:id="1" w:name="_Toc12320"/>
      <w:r>
        <w:rPr>
          <w:rFonts w:ascii="微软雅黑" w:eastAsia="微软雅黑" w:hAnsi="微软雅黑" w:cs="微软雅黑" w:hint="eastAsia"/>
          <w:color w:val="2E54A1" w:themeColor="accent1" w:themeShade="BF"/>
          <w:lang w:eastAsia="zh-CN"/>
        </w:rPr>
        <w:t>前言</w:t>
      </w:r>
      <w:bookmarkEnd w:id="1"/>
    </w:p>
    <w:p>
      <w:pPr>
        <w:spacing w:line="480" w:lineRule="auto"/>
        <w:ind w:firstLine="480" w:firstLineChars="200"/>
        <w:rPr>
          <w:rFonts w:ascii="宋体" w:eastAsia="宋体" w:hAnsi="宋体" w:cs="宋体" w:hint="eastAsia"/>
          <w:sz w:val="24"/>
          <w:szCs w:val="22"/>
        </w:rPr>
      </w:pPr>
      <w:r>
        <w:rPr>
          <w:rFonts w:ascii="宋体" w:eastAsia="宋体" w:hAnsi="宋体" w:cs="宋体" w:hint="eastAsia"/>
          <w:sz w:val="24"/>
          <w:szCs w:val="22"/>
          <w:lang w:eastAsia="zh-CN"/>
        </w:rPr>
        <w:t>门窗挂钩行业研究报告旨在对门窗挂钩行业进行深入分析和研究,为 相关从业人员提供参考依据。报告内容仅供学习交流使用，不可用于商业用途。通过梳理门窗挂钩行业发展历程、分析市场潜力和主要竞争对手，探讨行业趋势及未来发展方向，旨在提供启示和建议。</w:t>
      </w:r>
    </w:p>
    <w:p>
      <w:pPr>
        <w:pStyle w:val="Heading1"/>
        <w:spacing w:line="480" w:lineRule="auto"/>
        <w:rPr>
          <w:rFonts w:ascii="微软雅黑" w:eastAsia="微软雅黑" w:hAnsi="微软雅黑" w:cs="微软雅黑" w:hint="eastAsia"/>
          <w:color w:val="2E54A1" w:themeColor="accent1" w:themeShade="BF"/>
          <w:sz w:val="32"/>
          <w:szCs w:val="32"/>
          <w:lang w:eastAsia="zh-CN"/>
        </w:rPr>
      </w:pPr>
      <w:bookmarkStart w:id="2" w:name="_Toc9373"/>
      <w:r>
        <w:rPr>
          <w:rFonts w:ascii="微软雅黑" w:eastAsia="微软雅黑" w:hAnsi="微软雅黑" w:cs="微软雅黑" w:hint="eastAsia"/>
          <w:color w:val="2E54A1" w:themeColor="accent1" w:themeShade="BF"/>
          <w:sz w:val="32"/>
          <w:szCs w:val="32"/>
          <w:lang w:eastAsia="zh-CN"/>
        </w:rPr>
        <w:t>一、制度运行与优化</w:t>
      </w:r>
      <w:bookmarkEnd w:id="2"/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3" w:name="_Toc14552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(一)、制度执行与监督</w:t>
      </w:r>
      <w:bookmarkEnd w:id="3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在公司治理的框架下,制度执行与监督是确保公司规章制度得到切实贯彻的重要环节。我们特别重视这一过程，通过成立专业的制度执行团队，致力于监察和评估公司各级制度的执行情况。该团队定期进行内部审核，深入各个部门开展审查，全面了解执行效果，并向高层管理层提供详尽的报告,以确保公司的各项规章制度得以有效执行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为了进一步强化监督机制，我们鼓励员工积极参与。通过设立匿名举报机制，我们提供了一个安全、隐蔽的渠道，使员工能够自由反映制度执行中的问题。这种开放的沟通渠道有助于公司及时发现并解决潜在问题，同时也增强了员工对公司治理的信任度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公司领导层也积极参与制度执行情况的检查,通过定期的审查与交流,高层管理层能够深入了解制度执行的实际情况，并迅速制定必要的改进方案。这种多层次的监督机制不仅有助于维护公司内部秩序，也为公司整体治理水平的不断提升翼定坚实基础。</w:t>
      </w:r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4" w:name="_Toc30407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(二)、制度优化与更新</w:t>
      </w:r>
      <w:bookmarkEnd w:id="4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制度的优化与更新是公司持续发展的重要环节。我们将其视作一项策略任务，通过建立制度管理委员会来推动这一过程。委员会由各个部门的专业人员组成，负责定期审查公司的各项制度。这一审查不仅仅限于内部，还积极吸纳员工的建议和意见，融入外部专业观点，确保审查的全面性和公正性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为了更好地适应外部环境的变化和公司内部的发展需求,我们密切关注法规和门窗挂钩行业标准的变动。这种灵活性使得我们能够及时调整公司制度，确保其与时俱进。通过持续的制度优化与更新，我们致力于构建一个符合公司实际情况、富有弹性和活力的治理体系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在制度更新的过程中，我们注重与员工的沟通与合作。通过定期的培训和沟通会议，我们向员工解释新制度的背景和目的，提供详尽的操作指南，以确保员工能够理解和遵守新的规定。这种共同努力有助于强化员工对制度变化的接受度，为公司长期发展提供更为健康和稳定的制度支持。</w:t>
      </w:r>
    </w:p>
    <w:p>
      <w:pPr>
        <w:pStyle w:val="Heading1"/>
        <w:spacing w:line="480" w:lineRule="auto"/>
        <w:rPr>
          <w:rFonts w:ascii="微软雅黑" w:eastAsia="微软雅黑" w:hAnsi="微软雅黑" w:cs="微软雅黑" w:hint="eastAsia"/>
          <w:color w:val="2E54A1" w:themeColor="accent1" w:themeShade="BF"/>
          <w:sz w:val="32"/>
          <w:szCs w:val="32"/>
          <w:lang w:eastAsia="zh-CN"/>
        </w:rPr>
      </w:pPr>
      <w:bookmarkStart w:id="5" w:name="_Toc7691"/>
      <w:r>
        <w:rPr>
          <w:rFonts w:ascii="微软雅黑" w:eastAsia="微软雅黑" w:hAnsi="微软雅黑" w:cs="微软雅黑" w:hint="eastAsia"/>
          <w:color w:val="2E54A1" w:themeColor="accent1" w:themeShade="BF"/>
          <w:sz w:val="32"/>
          <w:szCs w:val="32"/>
          <w:lang w:eastAsia="zh-CN"/>
        </w:rPr>
        <w:t>二、可持续发展与绿色经营</w:t>
      </w:r>
      <w:bookmarkEnd w:id="5"/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6" w:name="_Toc21050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(一)、可持续发展战略与目标</w:t>
      </w:r>
      <w:bookmarkEnd w:id="6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一、可持续发展战略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可持续发展战略是指社会、经济、环境三者协调、可持续发展的战略。这种战略旨在确保当代人的发展不损害未来世代的发展权利，同时强调对有限资源的合理分配和有效利用，以实现长期的、全面的社会发展。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二、可持续发展战略的核心要素</w:t>
      </w:r>
      <w:r>
        <w:rPr>
          <w:rFonts w:ascii="宋体" w:eastAsia="宋体" w:hAnsi="宋体" w:cs="宋体" w:hint="eastAsia"/>
          <w:sz w:val="24"/>
        </w:rPr>
        <w:br/>
      </w:r>
      <w:r>
        <w:rPr>
          <w:rFonts w:ascii="宋体" w:eastAsia="宋体" w:hAnsi="宋体" w:cs="宋体" w:hint="eastAsia"/>
          <w:sz w:val="2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https://d.book118.com/927044060013006034</w:t>
        </w:r>
      </w:hyperlink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2775B3"/>
    <w:rsid w:val="02623C3C"/>
    <w:rsid w:val="03734037"/>
    <w:rsid w:val="13614867"/>
    <w:rsid w:val="3DAC44EE"/>
    <w:rsid w:val="453746B4"/>
    <w:rsid w:val="482775B3"/>
    <w:rsid w:val="49C53810"/>
    <w:rsid w:val="4E155AC7"/>
    <w:rsid w:val="4F654BD7"/>
    <w:rsid w:val="50930768"/>
    <w:rsid w:val="62A91464"/>
    <w:rsid w:val="692E1C42"/>
  </w:rsids>
  <w:docVars>
    <w:docVar w:name="commondata" w:val="eyJoZGlkIjoiYjEzZTI3MzIxYzUxM2E3Y2YyMDVhZDRkMWU5YjExZ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 w:qFormat="1"/>
    <w:lsdException w:name="toc 2" w:semiHidden="0" w:uiPriority="0" w:unhideWhenUsed="0" w:qFormat="1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 w:qFormat="1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autoRedefine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autoRedefine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  <w:autoRedefine/>
    <w:qFormat/>
  </w:style>
  <w:style w:type="paragraph" w:styleId="TOC2">
    <w:name w:val="toc 2"/>
    <w:basedOn w:val="Normal"/>
    <w:next w:val="Normal"/>
    <w:autoRedefine/>
    <w:qFormat/>
    <w:pPr>
      <w:ind w:left="420" w:leftChars="200"/>
    </w:pPr>
  </w:style>
  <w:style w:type="character" w:styleId="PageNumber">
    <w:name w:val="page number"/>
    <w:basedOn w:val="DefaultParagraphFont"/>
    <w:autoRedefine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2704406001300603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小海豹</cp:lastModifiedBy>
  <cp:revision>1</cp:revision>
  <dcterms:created xsi:type="dcterms:W3CDTF">2023-12-10T12:06:00Z</dcterms:created>
  <dcterms:modified xsi:type="dcterms:W3CDTF">2024-01-17T07:36:44Z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1E39AA5D4B7F4B19B7D16FD992F8235D_13</vt:lpwstr>
  </property>
  <property fmtid="{D5CDD505-2E9C-101B-9397-08002B2CF9AE}" pid="3" name="KSOProductBuildVer">
    <vt:lpwstr>2052-12.1.0.16120</vt:lpwstr>
  </property>
</Properties>
</file>