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同位素产品及制品项目招商引资方案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_Toc25544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二、同位素产品及制品项目工程设计研究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(二)、同位素产品及制品项目工程建设标准规范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9" w:history="1">
        <w:r>
          <w:rPr>
            <w:rFonts w:ascii="仿宋" w:eastAsia="仿宋" w:hAnsi="仿宋" w:cs="仿宋" w:hint="eastAsia"/>
            <w:lang w:eastAsia="zh-CN"/>
          </w:rPr>
          <w:t>(三)、同位素产品及制品项目总平面设计要求</w:t>
        </w:r>
        <w:r>
          <w:tab/>
        </w:r>
        <w:r>
          <w:fldChar w:fldCharType="begin"/>
        </w:r>
        <w:r>
          <w:instrText xml:space="preserve"> PAGEREF _Toc15439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_Toc13715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_Toc21671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_Toc24311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(三)、同位素产品及制品项目盈利能力分析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五、同位素产品及制品项目实施进度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_Toc17931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(六)、同位素产品及制品项目实施保障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六、同位素产品及制品项目投资方案分析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(一)、同位素产品及制品项目估算说明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(二)、同位素产品及制品项目总投资估算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_Toc19597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(四)、同位素产品及制品项目建设对区域经济的短期与长期影响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(八)、同位素产品及制品项目建设的经济效益与环境效益权衡分析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7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_Toc25920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(三)、同位素产品及制品项目地能源消耗与供应状况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_Toc8410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_Toc31807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九、同位素产品及制品项目优势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_Toc27638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eastAsia="zh-CN"/>
          </w:rPr>
          <w:t>十、同位素产品及制品项目可行性研究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2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_Toc27312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同位素产品及制品的招商引资。项目同位素产品及制品是一项具有前瞻性的投资机会，专注于某一特定领域的创新性项目。本文档将展示项目同位素产品及制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83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44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同位素产品及制品项目的核心产品为高品质精胺。鉴于当前的市场环境，预计年产值将达到惊人的XXXX万元。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同位素产品及制品项目产品将主要以国内销售为主，同时积极拓展国际市场。随着我们加大产品宣传力度，降低产品价格，提高产品质量，以及增加产品多样性，我们相信同位素产品及制品项目产品将会更受市场欢迎。市场需求的分析表明，国内外市场对同位素产品及制品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https://d.book118.com/927045133156006042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同位素产品及制品项目招商引资方案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同位素产品及制品项目招商引资方案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同位素产品及制品项目招商引资方案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同位素产品及制品项目招商引资方案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DF5D8F"/>
    <w:rsid w:val="6FDF5D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45133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2024-01-25T07:38:00Z</dcterms:created>
  <dcterms:modified xsi:type="dcterms:W3CDTF">2024-01-25T07:38:13Z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B28354ED1C064A03B6E0054DFC8F72A8_11</vt:lpwstr>
  </property>
  <property fmtid="{D5CDD505-2E9C-101B-9397-08002B2CF9AE}" pid="3" name="KSOProductBuildVer">
    <vt:lpwstr>2052-12.1.0.16250</vt:lpwstr>
  </property>
</Properties>
</file>