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黑体" w:eastAsia="黑体" w:hAnsi="黑体" w:hint="eastAsia"/>
          <w:sz w:val="24"/>
        </w:rPr>
      </w:pPr>
    </w:p>
    <w:p>
      <w:pPr>
        <w:jc w:val="center"/>
        <w:rPr>
          <w:rFonts w:ascii="黑体" w:eastAsia="黑体" w:hAnsi="黑体" w:hint="eastAsia"/>
          <w:sz w:val="24"/>
        </w:rPr>
      </w:pPr>
    </w:p>
    <w:p>
      <w:pPr>
        <w:jc w:val="center"/>
        <w:rPr>
          <w:rFonts w:ascii="黑体" w:eastAsia="黑体" w:hAnsi="黑体" w:hint="eastAsia"/>
          <w:sz w:val="24"/>
        </w:rPr>
      </w:pPr>
    </w:p>
    <w:p>
      <w:pPr>
        <w:jc w:val="center"/>
        <w:rPr>
          <w:rFonts w:ascii="黑体" w:eastAsia="黑体" w:hAnsi="黑体" w:hint="eastAsia"/>
          <w:sz w:val="24"/>
        </w:rPr>
      </w:pPr>
    </w:p>
    <w:p>
      <w:pPr>
        <w:autoSpaceDE w:val="0"/>
        <w:autoSpaceDN w:val="0"/>
        <w:adjustRightInd w:val="0"/>
        <w:ind w:left="105" w:right="105" w:leftChars="50" w:rightChars="50"/>
        <w:jc w:val="center"/>
        <w:rPr>
          <w:rFonts w:ascii="黑体" w:eastAsia="黑体" w:hAnsi="黑体" w:hint="eastAsia"/>
          <w:sz w:val="52"/>
          <w:szCs w:val="52"/>
        </w:rPr>
      </w:pPr>
      <w:r>
        <w:rPr>
          <w:rFonts w:ascii="黑体" w:eastAsia="黑体" w:hAnsi="黑体" w:hint="eastAsia"/>
          <w:sz w:val="52"/>
          <w:szCs w:val="52"/>
        </w:rPr>
        <w:t>大田县集体土地所有权确权登记</w:t>
      </w:r>
    </w:p>
    <w:p>
      <w:pPr>
        <w:autoSpaceDE w:val="0"/>
        <w:autoSpaceDN w:val="0"/>
        <w:adjustRightInd w:val="0"/>
        <w:ind w:left="105" w:right="105" w:leftChars="50" w:rightChars="50"/>
        <w:jc w:val="center"/>
        <w:rPr>
          <w:rFonts w:ascii="黑体" w:eastAsia="黑体" w:hAnsi="黑体" w:hint="eastAsia"/>
          <w:sz w:val="52"/>
          <w:szCs w:val="52"/>
        </w:rPr>
      </w:pPr>
      <w:r>
        <w:rPr>
          <w:rFonts w:ascii="黑体" w:eastAsia="黑体" w:hAnsi="黑体" w:hint="eastAsia"/>
          <w:sz w:val="52"/>
          <w:szCs w:val="52"/>
          <w:lang w:val="en-US" w:eastAsia="zh-CN"/>
        </w:rPr>
        <w:t>成</w:t>
      </w:r>
      <w:r>
        <w:rPr>
          <w:rFonts w:ascii="黑体" w:eastAsia="黑体" w:hAnsi="黑体" w:hint="eastAsia"/>
          <w:sz w:val="52"/>
          <w:szCs w:val="52"/>
        </w:rPr>
        <w:t>果更新汇交</w:t>
      </w:r>
      <w:r>
        <w:rPr>
          <w:rFonts w:ascii="黑体" w:eastAsia="黑体" w:hAnsi="黑体" w:hint="eastAsia"/>
          <w:sz w:val="52"/>
          <w:szCs w:val="52"/>
          <w:lang w:val="en-US" w:eastAsia="zh-CN"/>
        </w:rPr>
        <w:t>项目</w:t>
      </w:r>
    </w:p>
    <w:p>
      <w:pPr>
        <w:autoSpaceDE w:val="0"/>
        <w:autoSpaceDN w:val="0"/>
        <w:adjustRightInd w:val="0"/>
        <w:ind w:left="105" w:right="105" w:leftChars="50" w:rightChars="50"/>
        <w:jc w:val="center"/>
        <w:rPr>
          <w:rFonts w:ascii="黑体" w:eastAsia="黑体" w:hAnsi="黑体" w:hint="eastAsia"/>
          <w:sz w:val="52"/>
          <w:szCs w:val="52"/>
        </w:rPr>
      </w:pPr>
      <w:r>
        <w:rPr>
          <w:rFonts w:ascii="黑体" w:eastAsia="黑体" w:hAnsi="黑体" w:hint="eastAsia"/>
          <w:sz w:val="52"/>
          <w:szCs w:val="52"/>
        </w:rPr>
        <w:t>技术设计书</w:t>
      </w:r>
    </w:p>
    <w:p>
      <w:pPr>
        <w:jc w:val="center"/>
        <w:rPr>
          <w:rFonts w:ascii="黑体" w:eastAsia="黑体" w:hAnsi="黑体" w:hint="eastAsia"/>
          <w:sz w:val="36"/>
          <w:szCs w:val="36"/>
        </w:rPr>
      </w:pPr>
    </w:p>
    <w:p>
      <w:pPr>
        <w:jc w:val="center"/>
        <w:rPr>
          <w:rFonts w:ascii="黑体" w:eastAsia="黑体" w:hAnsi="黑体" w:hint="eastAsia"/>
          <w:sz w:val="36"/>
          <w:szCs w:val="36"/>
        </w:rPr>
      </w:pPr>
    </w:p>
    <w:p>
      <w:pPr>
        <w:jc w:val="center"/>
        <w:rPr>
          <w:rFonts w:ascii="黑体" w:eastAsia="黑体" w:hAnsi="黑体" w:hint="eastAsia"/>
          <w:sz w:val="36"/>
          <w:szCs w:val="36"/>
        </w:rPr>
      </w:pPr>
    </w:p>
    <w:p>
      <w:pPr>
        <w:jc w:val="center"/>
        <w:rPr>
          <w:rFonts w:ascii="黑体" w:eastAsia="黑体" w:hAnsi="黑体" w:hint="eastAsia"/>
          <w:sz w:val="36"/>
          <w:szCs w:val="36"/>
        </w:rPr>
      </w:pPr>
    </w:p>
    <w:p>
      <w:pPr>
        <w:jc w:val="center"/>
        <w:rPr>
          <w:rFonts w:ascii="黑体" w:eastAsia="黑体" w:hAnsi="黑体" w:hint="eastAsia"/>
          <w:sz w:val="36"/>
          <w:szCs w:val="36"/>
        </w:rPr>
      </w:pPr>
    </w:p>
    <w:p>
      <w:pPr>
        <w:jc w:val="center"/>
        <w:rPr>
          <w:rFonts w:ascii="黑体" w:eastAsia="黑体" w:hAnsi="黑体" w:hint="eastAsia"/>
          <w:sz w:val="36"/>
          <w:szCs w:val="36"/>
        </w:rPr>
      </w:pPr>
    </w:p>
    <w:p>
      <w:pPr>
        <w:jc w:val="center"/>
        <w:rPr>
          <w:rFonts w:ascii="黑体" w:eastAsia="黑体" w:hAnsi="黑体" w:hint="eastAsia"/>
          <w:sz w:val="36"/>
          <w:szCs w:val="36"/>
        </w:rPr>
      </w:pPr>
    </w:p>
    <w:p>
      <w:pPr>
        <w:jc w:val="center"/>
        <w:rPr>
          <w:rFonts w:ascii="黑体" w:eastAsia="黑体" w:hAnsi="黑体" w:hint="eastAsia"/>
          <w:sz w:val="36"/>
          <w:szCs w:val="36"/>
        </w:rPr>
      </w:pPr>
    </w:p>
    <w:p>
      <w:pPr>
        <w:jc w:val="center"/>
        <w:rPr>
          <w:rFonts w:ascii="黑体" w:eastAsia="黑体" w:hAnsi="黑体" w:hint="eastAsia"/>
          <w:sz w:val="36"/>
          <w:szCs w:val="36"/>
        </w:rPr>
      </w:pPr>
    </w:p>
    <w:p>
      <w:pPr>
        <w:jc w:val="center"/>
        <w:rPr>
          <w:rFonts w:ascii="黑体" w:eastAsia="黑体" w:hAnsi="黑体" w:hint="eastAsia"/>
          <w:sz w:val="36"/>
          <w:szCs w:val="36"/>
        </w:rPr>
      </w:pPr>
    </w:p>
    <w:p>
      <w:pPr>
        <w:ind w:firstLine="0" w:firstLineChars="0"/>
        <w:jc w:val="center"/>
        <w:rPr>
          <w:rFonts w:ascii="黑体" w:eastAsia="黑体" w:hAnsi="黑体" w:cs="黑体"/>
          <w:sz w:val="28"/>
          <w:szCs w:val="28"/>
        </w:rPr>
      </w:pPr>
      <w:r>
        <w:rPr>
          <w:rFonts w:ascii="黑体" w:eastAsia="黑体" w:hAnsi="黑体" w:cs="黑体" w:hint="eastAsia"/>
          <w:sz w:val="28"/>
          <w:szCs w:val="28"/>
        </w:rPr>
        <w:t>伟志</w:t>
      </w:r>
      <w:r>
        <w:rPr>
          <w:rFonts w:ascii="黑体" w:eastAsia="黑体" w:hAnsi="黑体" w:cs="黑体" w:hint="eastAsia"/>
          <w:sz w:val="28"/>
          <w:szCs w:val="28"/>
          <w:lang w:val="en-US" w:eastAsia="zh-CN"/>
        </w:rPr>
        <w:t>股份</w:t>
      </w:r>
      <w:r>
        <w:rPr>
          <w:rFonts w:ascii="黑体" w:eastAsia="黑体" w:hAnsi="黑体" w:cs="黑体" w:hint="eastAsia"/>
          <w:sz w:val="28"/>
          <w:szCs w:val="28"/>
        </w:rPr>
        <w:t>公司</w:t>
      </w:r>
    </w:p>
    <w:p>
      <w:pPr>
        <w:jc w:val="center"/>
        <w:rPr>
          <w:rFonts w:ascii="黑体" w:eastAsia="黑体" w:hAnsi="黑体" w:cs="黑体" w:hint="eastAsia"/>
          <w:sz w:val="28"/>
          <w:szCs w:val="28"/>
        </w:rPr>
      </w:pPr>
      <w:r>
        <w:rPr>
          <w:rFonts w:ascii="黑体" w:eastAsia="黑体" w:hAnsi="黑体" w:cs="黑体" w:hint="eastAsia"/>
          <w:b/>
          <w:sz w:val="28"/>
          <w:szCs w:val="28"/>
          <w:highlight w:val="none"/>
        </w:rPr>
        <w:t>二</w:t>
      </w:r>
      <w:r>
        <w:rPr>
          <w:rFonts w:ascii="黑体" w:eastAsia="黑体" w:hAnsi="黑体" w:cs="黑体" w:hint="eastAsia"/>
          <w:b/>
          <w:sz w:val="28"/>
          <w:szCs w:val="28"/>
          <w:highlight w:val="none"/>
          <w:lang w:val="en-US" w:eastAsia="zh-CN"/>
        </w:rPr>
        <w:t>〇</w:t>
      </w:r>
      <w:r>
        <w:rPr>
          <w:rFonts w:ascii="黑体" w:eastAsia="黑体" w:hAnsi="黑体" w:cs="黑体" w:hint="eastAsia"/>
          <w:b/>
          <w:sz w:val="28"/>
          <w:szCs w:val="28"/>
          <w:highlight w:val="none"/>
        </w:rPr>
        <w:t>二二年</w:t>
      </w:r>
      <w:r>
        <w:rPr>
          <w:rFonts w:ascii="黑体" w:eastAsia="黑体" w:hAnsi="黑体" w:cs="黑体" w:hint="eastAsia"/>
          <w:b/>
          <w:sz w:val="28"/>
          <w:szCs w:val="28"/>
          <w:highlight w:val="none"/>
          <w:lang w:val="en-US" w:eastAsia="zh-CN"/>
        </w:rPr>
        <w:t>十二</w:t>
      </w:r>
      <w:r>
        <w:rPr>
          <w:rFonts w:ascii="黑体" w:eastAsia="黑体" w:hAnsi="黑体" w:cs="黑体" w:hint="eastAsia"/>
          <w:b/>
          <w:sz w:val="28"/>
          <w:szCs w:val="28"/>
          <w:highlight w:val="none"/>
        </w:rPr>
        <w:t>月</w:t>
      </w:r>
    </w:p>
    <w:p>
      <w:pPr>
        <w:jc w:val="center"/>
        <w:rPr>
          <w:rFonts w:ascii="宋体" w:hAnsi="宋体" w:hint="eastAsia"/>
          <w:sz w:val="28"/>
          <w:szCs w:val="28"/>
        </w:rPr>
      </w:pPr>
    </w:p>
    <w:p>
      <w:pPr>
        <w:pStyle w:val="a"/>
        <w:rPr>
          <w:rFonts w:ascii="宋体" w:hAnsi="宋体" w:hint="eastAsia"/>
          <w:szCs w:val="28"/>
        </w:rPr>
      </w:pPr>
    </w:p>
    <w:p>
      <w:pPr>
        <w:pStyle w:val="a"/>
        <w:rPr>
          <w:rFonts w:ascii="宋体" w:hAnsi="宋体" w:hint="eastAsia"/>
          <w:szCs w:val="28"/>
        </w:rPr>
        <w:sectPr>
          <w:headerReference w:type="default" r:id="rId4"/>
          <w:footerReference w:type="even" r:id="rId5"/>
          <w:footerReference w:type="default" r:id="rId6"/>
          <w:pgSz w:w="11906" w:h="16838"/>
          <w:pgMar w:top="1270" w:right="1797" w:bottom="1270" w:left="1797" w:header="851" w:footer="992" w:gutter="0"/>
          <w:pgNumType w:start="1"/>
          <w:cols w:space="708"/>
          <w:docGrid w:type="lines" w:linePitch="312"/>
        </w:sectPr>
      </w:pPr>
    </w:p>
    <w:p>
      <w:pPr>
        <w:ind w:firstLine="0" w:firstLineChars="0"/>
        <w:jc w:val="center"/>
        <w:rPr>
          <w:rFonts w:ascii="黑体" w:eastAsia="黑体" w:hAnsi="黑体" w:cs="黑体" w:hint="eastAsia"/>
          <w:bCs/>
          <w:kern w:val="0"/>
          <w:sz w:val="44"/>
          <w:szCs w:val="44"/>
        </w:rPr>
      </w:pPr>
    </w:p>
    <w:p>
      <w:pPr>
        <w:ind w:firstLine="0" w:firstLineChars="0"/>
        <w:jc w:val="center"/>
        <w:rPr>
          <w:rFonts w:ascii="黑体" w:eastAsia="黑体" w:hAnsi="黑体" w:cs="黑体" w:hint="eastAsia"/>
          <w:bCs/>
          <w:kern w:val="0"/>
          <w:sz w:val="44"/>
          <w:szCs w:val="44"/>
        </w:rPr>
      </w:pPr>
    </w:p>
    <w:p>
      <w:pPr>
        <w:ind w:firstLine="0" w:firstLineChars="0"/>
        <w:jc w:val="center"/>
        <w:rPr>
          <w:rFonts w:ascii="黑体" w:eastAsia="黑体" w:hAnsi="黑体" w:cs="黑体" w:hint="eastAsia"/>
          <w:bCs/>
          <w:kern w:val="0"/>
          <w:sz w:val="44"/>
          <w:szCs w:val="44"/>
        </w:rPr>
      </w:pPr>
      <w:r>
        <w:rPr>
          <w:rFonts w:ascii="黑体" w:eastAsia="黑体" w:hAnsi="黑体" w:cs="黑体" w:hint="eastAsia"/>
          <w:bCs/>
          <w:kern w:val="0"/>
          <w:sz w:val="44"/>
          <w:szCs w:val="44"/>
        </w:rPr>
        <w:t>大田县集体土地所有权确权登记</w:t>
      </w:r>
    </w:p>
    <w:p>
      <w:pPr>
        <w:ind w:firstLine="0" w:firstLineChars="0"/>
        <w:jc w:val="center"/>
        <w:rPr>
          <w:rFonts w:ascii="黑体" w:eastAsia="黑体" w:hAnsi="黑体" w:cs="黑体" w:hint="eastAsia"/>
          <w:bCs/>
          <w:kern w:val="0"/>
          <w:sz w:val="44"/>
          <w:szCs w:val="44"/>
        </w:rPr>
      </w:pPr>
      <w:r>
        <w:rPr>
          <w:rFonts w:ascii="黑体" w:eastAsia="黑体" w:hAnsi="黑体" w:cs="黑体" w:hint="eastAsia"/>
          <w:bCs/>
          <w:kern w:val="0"/>
          <w:sz w:val="44"/>
          <w:szCs w:val="44"/>
        </w:rPr>
        <w:t>成果更新汇交</w:t>
      </w:r>
      <w:r>
        <w:rPr>
          <w:rFonts w:ascii="黑体" w:eastAsia="黑体" w:hAnsi="黑体" w:cs="黑体" w:hint="eastAsia"/>
          <w:bCs/>
          <w:kern w:val="0"/>
          <w:sz w:val="44"/>
          <w:szCs w:val="44"/>
          <w:lang w:val="en-US" w:eastAsia="zh-CN"/>
        </w:rPr>
        <w:t>项目</w:t>
      </w:r>
    </w:p>
    <w:p>
      <w:pPr>
        <w:ind w:firstLine="0" w:firstLineChars="0"/>
        <w:jc w:val="center"/>
        <w:rPr>
          <w:rFonts w:ascii="宋体" w:hAnsi="宋体"/>
          <w:sz w:val="44"/>
          <w:szCs w:val="44"/>
        </w:rPr>
      </w:pPr>
      <w:r>
        <w:rPr>
          <w:rFonts w:ascii="黑体" w:eastAsia="黑体" w:hAnsi="黑体" w:cs="黑体" w:hint="eastAsia"/>
          <w:bCs/>
          <w:kern w:val="0"/>
          <w:sz w:val="44"/>
          <w:szCs w:val="44"/>
        </w:rPr>
        <w:t>技术设计书</w:t>
      </w:r>
    </w:p>
    <w:p>
      <w:pPr>
        <w:ind w:firstLine="880"/>
        <w:jc w:val="center"/>
        <w:rPr>
          <w:rFonts w:ascii="仿宋" w:eastAsia="仿宋" w:hAnsi="仿宋"/>
          <w:sz w:val="44"/>
          <w:szCs w:val="44"/>
        </w:rPr>
      </w:pPr>
    </w:p>
    <w:p>
      <w:pPr>
        <w:ind w:firstLine="640"/>
        <w:jc w:val="center"/>
        <w:rPr>
          <w:rFonts w:ascii="仿宋" w:eastAsia="仿宋" w:hAnsi="仿宋"/>
          <w:sz w:val="32"/>
          <w:szCs w:val="44"/>
        </w:rPr>
      </w:pPr>
    </w:p>
    <w:p>
      <w:pPr>
        <w:ind w:firstLine="640"/>
        <w:jc w:val="center"/>
        <w:rPr>
          <w:rFonts w:ascii="仿宋" w:eastAsia="仿宋" w:hAnsi="仿宋"/>
          <w:sz w:val="32"/>
          <w:szCs w:val="44"/>
        </w:rPr>
      </w:pPr>
    </w:p>
    <w:p>
      <w:pPr>
        <w:spacing w:line="220" w:lineRule="atLeast"/>
        <w:ind w:firstLine="640"/>
        <w:rPr>
          <w:rFonts w:ascii="仿宋" w:eastAsia="仿宋" w:hAnsi="仿宋"/>
          <w:sz w:val="32"/>
          <w:szCs w:val="44"/>
        </w:rPr>
      </w:pPr>
    </w:p>
    <w:p>
      <w:pPr>
        <w:spacing w:line="220" w:lineRule="atLeast"/>
        <w:ind w:firstLine="560"/>
        <w:rPr>
          <w:rFonts w:ascii="仿宋" w:eastAsia="仿宋" w:hAnsi="仿宋"/>
          <w:sz w:val="28"/>
          <w:szCs w:val="28"/>
        </w:rPr>
      </w:pPr>
      <w:r>
        <w:rPr>
          <w:rFonts w:ascii="仿宋" w:eastAsia="仿宋" w:hAnsi="仿宋"/>
          <w:sz w:val="28"/>
          <w:szCs w:val="28"/>
        </w:rPr>
        <w:pict>
          <v:shapetype id="_x0000_t202" coordsize="21600,21600" o:spt="202" path="m,l,21600r21600,l21600,xe">
            <v:stroke joinstyle="miter"/>
            <v:path gradientshapeok="t" o:connecttype="rect"/>
          </v:shapetype>
          <v:shape id="文本框 49" o:spid="_x0000_s1025" type="#_x0000_t202" style="width:195.75pt;height:189.85pt;margin-top:5.05pt;margin-left:249.75pt;mso-wrap-style:square;position:absolute;v-text-anchor:top;z-index:251659264" filled="t" fillcolor="white" stroked="f">
            <v:stroke linestyle="single"/>
            <o:lock v:ext="edit" aspectratio="f"/>
            <v:textbox style="layout-flow:horizontal">
              <w:txbxContent>
                <w:p>
                  <w:pPr>
                    <w:pStyle w:val="-4"/>
                    <w:spacing w:after="0"/>
                    <w:ind w:left="0" w:right="0" w:firstLine="280" w:firstLineChars="100"/>
                    <w:rPr>
                      <w:rFonts w:ascii="宋体" w:eastAsia="宋体" w:hAnsi="宋体"/>
                      <w:b w:val="0"/>
                    </w:rPr>
                  </w:pPr>
                  <w:r>
                    <w:rPr>
                      <w:rFonts w:ascii="宋体" w:eastAsia="宋体" w:hAnsi="宋体" w:hint="eastAsia"/>
                      <w:b w:val="0"/>
                    </w:rPr>
                    <w:t>设计负责人：</w:t>
                  </w:r>
                </w:p>
                <w:p>
                  <w:pPr>
                    <w:pStyle w:val="-4"/>
                    <w:spacing w:after="0"/>
                    <w:ind w:left="0" w:right="0" w:firstLine="280" w:firstLineChars="100"/>
                    <w:rPr>
                      <w:rFonts w:ascii="宋体" w:eastAsia="宋体" w:hAnsi="宋体"/>
                      <w:b w:val="0"/>
                    </w:rPr>
                  </w:pPr>
                  <w:r>
                    <w:rPr>
                      <w:rFonts w:ascii="宋体" w:eastAsia="宋体" w:hAnsi="宋体" w:hint="eastAsia"/>
                      <w:b w:val="0"/>
                    </w:rPr>
                    <w:t>主要设计人：</w:t>
                  </w:r>
                </w:p>
                <w:p>
                  <w:pPr>
                    <w:pStyle w:val="-4"/>
                    <w:spacing w:after="0"/>
                    <w:ind w:left="1920" w:right="0" w:firstLine="602"/>
                    <w:rPr>
                      <w:rFonts w:ascii="宋体" w:eastAsia="宋体" w:hAnsi="宋体"/>
                      <w:b w:val="0"/>
                    </w:rPr>
                  </w:pPr>
                </w:p>
                <w:p>
                  <w:pPr>
                    <w:pStyle w:val="-4"/>
                    <w:spacing w:after="0"/>
                    <w:ind w:right="0"/>
                    <w:rPr>
                      <w:rFonts w:ascii="宋体" w:eastAsia="宋体" w:hAnsi="宋体"/>
                      <w:b w:val="0"/>
                    </w:rPr>
                  </w:pPr>
                  <w:r>
                    <w:rPr>
                      <w:rFonts w:ascii="宋体" w:eastAsia="宋体" w:hAnsi="宋体" w:hint="eastAsia"/>
                      <w:b w:val="0"/>
                    </w:rPr>
                    <w:t>年   月  日</w:t>
                  </w:r>
                </w:p>
              </w:txbxContent>
            </v:textbox>
          </v:shape>
        </w:pict>
      </w:r>
      <w:r>
        <w:rPr>
          <w:rFonts w:ascii="仿宋" w:eastAsia="仿宋" w:hAnsi="仿宋"/>
          <w:sz w:val="28"/>
          <w:szCs w:val="28"/>
        </w:rPr>
        <w:pict>
          <v:shape id="文本框 48" o:spid="_x0000_s1026" type="#_x0000_t202" style="width:270.35pt;height:228.4pt;margin-top:6.55pt;margin-left:-20.6pt;mso-wrap-style:square;position:absolute;v-text-anchor:top;z-index:251658240" filled="t" fillcolor="white" stroked="f">
            <v:stroke linestyle="single"/>
            <o:lock v:ext="edit" aspectratio="f"/>
            <v:textbox style="layout-flow:horizontal">
              <w:txbxContent>
                <w:p>
                  <w:pPr>
                    <w:pStyle w:val="-4"/>
                    <w:spacing w:after="0"/>
                    <w:ind w:left="0" w:right="0" w:firstLine="560" w:firstLineChars="200"/>
                    <w:rPr>
                      <w:rFonts w:ascii="宋体" w:eastAsia="宋体" w:hAnsi="宋体"/>
                      <w:b w:val="0"/>
                    </w:rPr>
                  </w:pPr>
                  <w:r>
                    <w:rPr>
                      <w:rFonts w:ascii="宋体" w:eastAsia="宋体" w:hAnsi="宋体" w:hint="eastAsia"/>
                      <w:b w:val="0"/>
                    </w:rPr>
                    <w:t>项目承担单位（盖章）：</w:t>
                  </w:r>
                </w:p>
                <w:p>
                  <w:pPr>
                    <w:pStyle w:val="-4"/>
                    <w:spacing w:after="0"/>
                    <w:ind w:left="0" w:right="0" w:firstLine="560" w:firstLineChars="200"/>
                    <w:rPr>
                      <w:rFonts w:ascii="宋体" w:eastAsia="宋体" w:hAnsi="宋体"/>
                      <w:b w:val="0"/>
                    </w:rPr>
                  </w:pPr>
                  <w:r>
                    <w:rPr>
                      <w:rFonts w:ascii="宋体" w:eastAsia="宋体" w:hAnsi="宋体" w:hint="eastAsia"/>
                      <w:b w:val="0"/>
                    </w:rPr>
                    <w:t xml:space="preserve">审核意见： </w:t>
                  </w:r>
                </w:p>
                <w:p>
                  <w:pPr>
                    <w:pStyle w:val="-4"/>
                    <w:spacing w:after="0"/>
                    <w:ind w:left="0" w:right="0" w:firstLine="560" w:firstLineChars="200"/>
                    <w:rPr>
                      <w:rFonts w:ascii="宋体" w:eastAsia="宋体" w:hAnsi="宋体"/>
                      <w:b w:val="0"/>
                    </w:rPr>
                  </w:pPr>
                  <w:r>
                    <w:rPr>
                      <w:rFonts w:ascii="宋体" w:eastAsia="宋体" w:hAnsi="宋体" w:hint="eastAsia"/>
                      <w:b w:val="0"/>
                    </w:rPr>
                    <w:t>审核人：</w:t>
                  </w:r>
                </w:p>
                <w:p>
                  <w:pPr>
                    <w:pStyle w:val="-4"/>
                    <w:spacing w:after="0"/>
                    <w:ind w:left="981" w:right="0" w:firstLine="840" w:leftChars="467" w:firstLineChars="300"/>
                    <w:rPr>
                      <w:rFonts w:ascii="宋体" w:eastAsia="宋体" w:hAnsi="宋体"/>
                      <w:b w:val="0"/>
                    </w:rPr>
                  </w:pPr>
                  <w:r>
                    <w:rPr>
                      <w:rFonts w:ascii="宋体" w:eastAsia="宋体" w:hAnsi="宋体" w:hint="eastAsia"/>
                      <w:b w:val="0"/>
                    </w:rPr>
                    <w:t>年   月   日</w:t>
                  </w:r>
                </w:p>
              </w:txbxContent>
            </v:textbox>
          </v:shape>
        </w:pict>
      </w:r>
    </w:p>
    <w:p>
      <w:pPr>
        <w:ind w:firstLine="560"/>
        <w:rPr>
          <w:rFonts w:ascii="仿宋" w:eastAsia="仿宋" w:hAnsi="仿宋"/>
          <w:sz w:val="28"/>
          <w:szCs w:val="28"/>
        </w:rPr>
      </w:pPr>
    </w:p>
    <w:p>
      <w:pPr>
        <w:ind w:firstLine="560"/>
        <w:rPr>
          <w:rFonts w:ascii="仿宋" w:eastAsia="仿宋" w:hAnsi="仿宋"/>
          <w:sz w:val="28"/>
          <w:szCs w:val="28"/>
        </w:rPr>
      </w:pPr>
    </w:p>
    <w:p>
      <w:pPr>
        <w:ind w:firstLine="560"/>
        <w:rPr>
          <w:rFonts w:ascii="仿宋" w:eastAsia="仿宋" w:hAnsi="仿宋"/>
          <w:sz w:val="28"/>
          <w:szCs w:val="28"/>
        </w:rPr>
      </w:pPr>
    </w:p>
    <w:p>
      <w:pPr>
        <w:ind w:firstLine="560"/>
        <w:rPr>
          <w:rFonts w:ascii="仿宋" w:eastAsia="仿宋" w:hAnsi="仿宋"/>
          <w:sz w:val="28"/>
          <w:szCs w:val="28"/>
        </w:rPr>
      </w:pPr>
    </w:p>
    <w:p>
      <w:pPr>
        <w:ind w:firstLine="560"/>
        <w:rPr>
          <w:rFonts w:ascii="仿宋" w:eastAsia="仿宋" w:hAnsi="仿宋"/>
          <w:sz w:val="28"/>
          <w:szCs w:val="28"/>
        </w:rPr>
      </w:pPr>
    </w:p>
    <w:p>
      <w:pPr>
        <w:ind w:firstLine="560"/>
        <w:rPr>
          <w:rFonts w:ascii="仿宋" w:eastAsia="仿宋" w:hAnsi="仿宋"/>
          <w:sz w:val="28"/>
          <w:szCs w:val="28"/>
        </w:rPr>
      </w:pPr>
    </w:p>
    <w:p>
      <w:pPr>
        <w:ind w:firstLine="560"/>
        <w:rPr>
          <w:rFonts w:ascii="仿宋" w:eastAsia="仿宋" w:hAnsi="仿宋"/>
          <w:sz w:val="28"/>
          <w:szCs w:val="28"/>
        </w:rPr>
      </w:pPr>
    </w:p>
    <w:p>
      <w:pPr>
        <w:ind w:firstLine="560"/>
        <w:rPr>
          <w:rFonts w:ascii="仿宋" w:eastAsia="仿宋" w:hAnsi="仿宋"/>
          <w:sz w:val="28"/>
          <w:szCs w:val="28"/>
        </w:rPr>
      </w:pPr>
      <w:r>
        <w:rPr>
          <w:rFonts w:ascii="仿宋" w:eastAsia="仿宋" w:hAnsi="仿宋"/>
          <w:sz w:val="28"/>
          <w:szCs w:val="28"/>
        </w:rPr>
        <w:pict>
          <v:shape id="文本框 50" o:spid="_x0000_s1027" type="#_x0000_t202" style="width:399.9pt;height:134.25pt;margin-top:2.85pt;margin-left:-20.3pt;mso-wrap-style:square;position:absolute;v-text-anchor:top;z-index:251660288" filled="t" fillcolor="white" stroked="f">
            <v:stroke linestyle="single"/>
            <o:lock v:ext="edit" aspectratio="f"/>
            <v:textbox style="layout-flow:horizontal">
              <w:txbxContent>
                <w:p>
                  <w:pPr>
                    <w:pStyle w:val="-4"/>
                    <w:spacing w:after="0"/>
                    <w:ind w:left="0" w:right="0" w:firstLine="1400" w:firstLineChars="500"/>
                    <w:rPr>
                      <w:rFonts w:ascii="宋体" w:eastAsia="宋体" w:hAnsi="宋体"/>
                      <w:b w:val="0"/>
                    </w:rPr>
                  </w:pPr>
                  <w:r>
                    <w:rPr>
                      <w:rFonts w:ascii="宋体" w:eastAsia="宋体" w:hAnsi="宋体" w:hint="eastAsia"/>
                      <w:b w:val="0"/>
                    </w:rPr>
                    <w:t>批准单位（盖章）：</w:t>
                  </w:r>
                </w:p>
                <w:p>
                  <w:pPr>
                    <w:pStyle w:val="-4"/>
                    <w:spacing w:after="0"/>
                    <w:ind w:left="1920" w:right="0" w:firstLine="602"/>
                    <w:rPr>
                      <w:rFonts w:ascii="宋体" w:eastAsia="宋体" w:hAnsi="宋体"/>
                      <w:b w:val="0"/>
                    </w:rPr>
                  </w:pPr>
                  <w:r>
                    <w:rPr>
                      <w:rFonts w:ascii="宋体" w:eastAsia="宋体" w:hAnsi="宋体" w:hint="eastAsia"/>
                      <w:b w:val="0"/>
                    </w:rPr>
                    <w:t>审批意见：</w:t>
                  </w:r>
                </w:p>
                <w:p>
                  <w:pPr>
                    <w:pStyle w:val="-4"/>
                    <w:spacing w:after="0"/>
                    <w:ind w:left="1920" w:right="0" w:firstLine="602"/>
                    <w:rPr>
                      <w:rFonts w:ascii="宋体" w:eastAsia="宋体" w:hAnsi="宋体"/>
                      <w:b w:val="0"/>
                    </w:rPr>
                  </w:pPr>
                  <w:r>
                    <w:rPr>
                      <w:rFonts w:ascii="宋体" w:eastAsia="宋体" w:hAnsi="宋体" w:hint="eastAsia"/>
                      <w:b w:val="0"/>
                    </w:rPr>
                    <w:t>审 批 人：</w:t>
                  </w:r>
                </w:p>
                <w:p>
                  <w:pPr>
                    <w:pStyle w:val="-4"/>
                    <w:ind w:left="981" w:firstLine="3542" w:leftChars="467" w:firstLineChars="1265"/>
                    <w:rPr>
                      <w:rFonts w:ascii="宋体" w:eastAsia="宋体" w:hAnsi="宋体"/>
                      <w:b w:val="0"/>
                    </w:rPr>
                  </w:pPr>
                  <w:r>
                    <w:rPr>
                      <w:rFonts w:ascii="宋体" w:eastAsia="宋体" w:hAnsi="宋体" w:hint="eastAsia"/>
                      <w:b w:val="0"/>
                    </w:rPr>
                    <w:t>年   月   日</w:t>
                  </w:r>
                </w:p>
              </w:txbxContent>
            </v:textbox>
          </v:shape>
        </w:pict>
      </w:r>
    </w:p>
    <w:p>
      <w:pPr>
        <w:ind w:firstLine="560"/>
        <w:rPr>
          <w:rFonts w:ascii="仿宋" w:eastAsia="仿宋" w:hAnsi="仿宋"/>
          <w:sz w:val="28"/>
          <w:szCs w:val="28"/>
        </w:rPr>
      </w:pPr>
    </w:p>
    <w:p>
      <w:pPr>
        <w:ind w:firstLine="560"/>
        <w:rPr>
          <w:rFonts w:ascii="仿宋" w:eastAsia="仿宋" w:hAnsi="仿宋"/>
          <w:sz w:val="28"/>
          <w:szCs w:val="28"/>
        </w:rPr>
      </w:pPr>
    </w:p>
    <w:p>
      <w:pPr>
        <w:ind w:firstLine="560"/>
        <w:rPr>
          <w:rFonts w:ascii="仿宋" w:eastAsia="仿宋" w:hAnsi="仿宋"/>
          <w:sz w:val="28"/>
          <w:szCs w:val="28"/>
        </w:rPr>
      </w:pPr>
    </w:p>
    <w:p>
      <w:pPr>
        <w:ind w:firstLine="560"/>
        <w:rPr>
          <w:rFonts w:ascii="仿宋" w:eastAsia="仿宋" w:hAnsi="仿宋"/>
          <w:sz w:val="28"/>
          <w:szCs w:val="28"/>
        </w:rPr>
        <w:sectPr>
          <w:headerReference w:type="default" r:id="rId7"/>
          <w:footerReference w:type="even" r:id="rId8"/>
          <w:footerReference w:type="default" r:id="rId9"/>
          <w:type w:val="nextPage"/>
          <w:pgSz w:w="11906" w:h="16838"/>
          <w:pgMar w:top="1270" w:right="1797" w:bottom="1270" w:left="1797" w:header="851" w:footer="992" w:gutter="0"/>
          <w:pgNumType w:start="2"/>
          <w:cols w:space="708"/>
          <w:titlePg w:val="0"/>
          <w:docGrid w:type="lines" w:linePitch="312"/>
        </w:sectPr>
      </w:pPr>
    </w:p>
    <w:p>
      <w:pPr>
        <w:widowControl/>
        <w:spacing w:line="240" w:lineRule="auto"/>
        <w:ind w:firstLine="0" w:firstLineChars="0"/>
        <w:jc w:val="center"/>
        <w:rPr>
          <w:rFonts w:ascii="黑体" w:eastAsia="黑体" w:hAnsi="黑体" w:hint="eastAsia"/>
          <w:b/>
          <w:sz w:val="30"/>
          <w:szCs w:val="30"/>
        </w:rPr>
      </w:pPr>
      <w:bookmarkStart w:id="0" w:name="_Toc320710976"/>
      <w:bookmarkStart w:id="1" w:name="_Toc320516435"/>
      <w:bookmarkStart w:id="2" w:name="_Toc321253932"/>
      <w:r>
        <w:rPr>
          <w:rFonts w:ascii="黑体" w:eastAsia="黑体" w:hAnsi="黑体" w:hint="eastAsia"/>
          <w:b/>
          <w:sz w:val="30"/>
          <w:szCs w:val="30"/>
        </w:rPr>
        <w:t>目  录</w:t>
      </w:r>
      <w:bookmarkEnd w:id="0"/>
      <w:bookmarkEnd w:id="1"/>
      <w:bookmarkEnd w:id="2"/>
    </w:p>
    <w:p>
      <w:pPr>
        <w:pStyle w:val="TOC1"/>
        <w:tabs>
          <w:tab w:val="clear" w:pos="8302"/>
          <w:tab w:val="right" w:leader="dot" w:pos="8312"/>
        </w:tabs>
      </w:pPr>
      <w:r>
        <w:rPr>
          <w:rFonts w:ascii="黑体" w:eastAsia="黑体" w:hAnsi="黑体"/>
          <w:sz w:val="21"/>
          <w:szCs w:val="21"/>
        </w:rPr>
        <w:fldChar w:fldCharType="begin"/>
      </w:r>
      <w:r>
        <w:rPr>
          <w:rFonts w:ascii="黑体" w:eastAsia="黑体" w:hAnsi="黑体"/>
          <w:sz w:val="21"/>
          <w:szCs w:val="21"/>
        </w:rPr>
        <w:instrText xml:space="preserve"> </w:instrText>
      </w:r>
      <w:r>
        <w:rPr>
          <w:rFonts w:ascii="黑体" w:eastAsia="黑体" w:hAnsi="黑体" w:hint="eastAsia"/>
          <w:sz w:val="21"/>
          <w:szCs w:val="21"/>
        </w:rPr>
        <w:instrText>TOC \o "1-3" \h \z \u</w:instrText>
      </w:r>
      <w:r>
        <w:rPr>
          <w:rFonts w:ascii="黑体" w:eastAsia="黑体" w:hAnsi="黑体"/>
          <w:sz w:val="21"/>
          <w:szCs w:val="21"/>
        </w:rPr>
        <w:instrText xml:space="preserve"> </w:instrText>
      </w:r>
      <w:r>
        <w:rPr>
          <w:rFonts w:ascii="黑体" w:eastAsia="黑体" w:hAnsi="黑体"/>
          <w:sz w:val="21"/>
          <w:szCs w:val="21"/>
        </w:rPr>
        <w:fldChar w:fldCharType="separate"/>
      </w:r>
      <w:hyperlink w:anchor="_Toc19826" w:history="1">
        <w:r>
          <w:rPr>
            <w:rFonts w:ascii="宋体" w:hAnsi="宋体" w:hint="eastAsia"/>
            <w:szCs w:val="30"/>
          </w:rPr>
          <w:t>一、</w:t>
        </w:r>
        <w:r>
          <w:rPr>
            <w:rFonts w:ascii="宋体" w:hAnsi="宋体" w:cs="宋体" w:hint="eastAsia"/>
            <w:kern w:val="0"/>
            <w:szCs w:val="30"/>
          </w:rPr>
          <w:t>任务概述</w:t>
        </w:r>
        <w:r>
          <w:tab/>
        </w:r>
        <w:r>
          <w:fldChar w:fldCharType="begin"/>
        </w:r>
        <w:r>
          <w:instrText xml:space="preserve"> PAGEREF _Toc19826 \h </w:instrText>
        </w:r>
        <w:r>
          <w:fldChar w:fldCharType="separate"/>
        </w:r>
        <w:r>
          <w:t>1</w:t>
        </w:r>
        <w:r>
          <w:fldChar w:fldCharType="end"/>
        </w:r>
      </w:hyperlink>
    </w:p>
    <w:p>
      <w:pPr>
        <w:pStyle w:val="TOC2"/>
        <w:tabs>
          <w:tab w:val="right" w:leader="dot" w:pos="8312"/>
        </w:tabs>
      </w:pPr>
      <w:hyperlink w:anchor="_Toc3945" w:history="1">
        <w:r>
          <w:rPr>
            <w:rFonts w:hint="eastAsia"/>
            <w:szCs w:val="28"/>
          </w:rPr>
          <w:t>（一）任务来源</w:t>
        </w:r>
        <w:r>
          <w:tab/>
        </w:r>
        <w:r>
          <w:fldChar w:fldCharType="begin"/>
        </w:r>
        <w:r>
          <w:instrText xml:space="preserve"> PAGEREF _Toc3945 \h </w:instrText>
        </w:r>
        <w:r>
          <w:fldChar w:fldCharType="separate"/>
        </w:r>
        <w:r>
          <w:t>1</w:t>
        </w:r>
        <w:r>
          <w:fldChar w:fldCharType="end"/>
        </w:r>
      </w:hyperlink>
    </w:p>
    <w:p>
      <w:pPr>
        <w:pStyle w:val="TOC2"/>
        <w:tabs>
          <w:tab w:val="right" w:leader="dot" w:pos="8312"/>
        </w:tabs>
      </w:pPr>
      <w:hyperlink w:anchor="_Toc2321" w:history="1">
        <w:r>
          <w:rPr>
            <w:rFonts w:hint="eastAsia"/>
            <w:szCs w:val="28"/>
          </w:rPr>
          <w:t>（二）工作区域地理位置和自然经济状况</w:t>
        </w:r>
        <w:r>
          <w:tab/>
        </w:r>
        <w:r>
          <w:fldChar w:fldCharType="begin"/>
        </w:r>
        <w:r>
          <w:instrText xml:space="preserve"> PAGEREF _Toc2321 \h </w:instrText>
        </w:r>
        <w:r>
          <w:fldChar w:fldCharType="separate"/>
        </w:r>
        <w:r>
          <w:t>2</w:t>
        </w:r>
        <w:r>
          <w:fldChar w:fldCharType="end"/>
        </w:r>
      </w:hyperlink>
    </w:p>
    <w:p>
      <w:pPr>
        <w:pStyle w:val="TOC2"/>
        <w:tabs>
          <w:tab w:val="right" w:leader="dot" w:pos="8312"/>
        </w:tabs>
      </w:pPr>
      <w:hyperlink w:anchor="_Toc18849" w:history="1">
        <w:r>
          <w:rPr>
            <w:rFonts w:ascii="宋体" w:hAnsi="宋体" w:cs="宋体" w:hint="eastAsia"/>
            <w:caps/>
            <w:spacing w:val="10"/>
            <w:kern w:val="0"/>
            <w:szCs w:val="28"/>
          </w:rPr>
          <w:t>（三）上一轮登记发证成果概况</w:t>
        </w:r>
        <w:r>
          <w:tab/>
        </w:r>
        <w:r>
          <w:fldChar w:fldCharType="begin"/>
        </w:r>
        <w:r>
          <w:instrText xml:space="preserve"> PAGEREF _Toc18849 \h </w:instrText>
        </w:r>
        <w:r>
          <w:fldChar w:fldCharType="separate"/>
        </w:r>
        <w:r>
          <w:t>4</w:t>
        </w:r>
        <w:r>
          <w:fldChar w:fldCharType="end"/>
        </w:r>
      </w:hyperlink>
    </w:p>
    <w:p>
      <w:pPr>
        <w:pStyle w:val="TOC2"/>
        <w:tabs>
          <w:tab w:val="right" w:leader="dot" w:pos="8312"/>
        </w:tabs>
      </w:pPr>
      <w:hyperlink w:anchor="_Toc31434" w:history="1">
        <w:r>
          <w:rPr>
            <w:rFonts w:hint="eastAsia"/>
            <w:szCs w:val="28"/>
          </w:rPr>
          <w:t>（四）工作内容及有关要求</w:t>
        </w:r>
        <w:r>
          <w:tab/>
        </w:r>
        <w:r>
          <w:fldChar w:fldCharType="begin"/>
        </w:r>
        <w:r>
          <w:instrText xml:space="preserve"> PAGEREF _Toc31434 \h </w:instrText>
        </w:r>
        <w:r>
          <w:fldChar w:fldCharType="separate"/>
        </w:r>
        <w:r>
          <w:t>4</w:t>
        </w:r>
        <w:r>
          <w:fldChar w:fldCharType="end"/>
        </w:r>
      </w:hyperlink>
    </w:p>
    <w:p>
      <w:pPr>
        <w:pStyle w:val="TOC1"/>
        <w:tabs>
          <w:tab w:val="clear" w:pos="8302"/>
          <w:tab w:val="right" w:leader="dot" w:pos="8312"/>
        </w:tabs>
      </w:pPr>
      <w:hyperlink w:anchor="_Toc23672" w:history="1">
        <w:r>
          <w:rPr>
            <w:rFonts w:ascii="宋体" w:hAnsi="宋体" w:cs="宋体" w:hint="eastAsia"/>
            <w:kern w:val="0"/>
            <w:szCs w:val="30"/>
          </w:rPr>
          <w:t>二、已有资料分析及利用</w:t>
        </w:r>
        <w:r>
          <w:tab/>
        </w:r>
        <w:r>
          <w:fldChar w:fldCharType="begin"/>
        </w:r>
        <w:r>
          <w:instrText xml:space="preserve"> PAGEREF _Toc23672 \h </w:instrText>
        </w:r>
        <w:r>
          <w:fldChar w:fldCharType="separate"/>
        </w:r>
        <w:r>
          <w:t>5</w:t>
        </w:r>
        <w:r>
          <w:fldChar w:fldCharType="end"/>
        </w:r>
      </w:hyperlink>
    </w:p>
    <w:p>
      <w:pPr>
        <w:pStyle w:val="TOC2"/>
        <w:tabs>
          <w:tab w:val="right" w:leader="dot" w:pos="8312"/>
        </w:tabs>
      </w:pPr>
      <w:hyperlink w:anchor="_Toc12002" w:history="1">
        <w:r>
          <w:rPr>
            <w:rFonts w:hint="eastAsia"/>
            <w:szCs w:val="28"/>
          </w:rPr>
          <w:t>（一）已有图件资料的情况分析</w:t>
        </w:r>
        <w:r>
          <w:tab/>
        </w:r>
        <w:r>
          <w:fldChar w:fldCharType="begin"/>
        </w:r>
        <w:r>
          <w:instrText xml:space="preserve"> PAGEREF _Toc12002 \h </w:instrText>
        </w:r>
        <w:r>
          <w:fldChar w:fldCharType="separate"/>
        </w:r>
        <w:r>
          <w:t>6</w:t>
        </w:r>
        <w:r>
          <w:fldChar w:fldCharType="end"/>
        </w:r>
      </w:hyperlink>
    </w:p>
    <w:p>
      <w:pPr>
        <w:pStyle w:val="TOC2"/>
        <w:tabs>
          <w:tab w:val="right" w:leader="dot" w:pos="8312"/>
        </w:tabs>
      </w:pPr>
      <w:hyperlink w:anchor="_Toc3189" w:history="1">
        <w:r>
          <w:rPr>
            <w:rFonts w:hint="eastAsia"/>
            <w:szCs w:val="28"/>
          </w:rPr>
          <w:t>（二）已有权属资料情况分析</w:t>
        </w:r>
        <w:r>
          <w:tab/>
        </w:r>
        <w:r>
          <w:fldChar w:fldCharType="begin"/>
        </w:r>
        <w:r>
          <w:instrText xml:space="preserve"> PAGEREF _Toc3189 \h </w:instrText>
        </w:r>
        <w:r>
          <w:fldChar w:fldCharType="separate"/>
        </w:r>
        <w:r>
          <w:t>6</w:t>
        </w:r>
        <w:r>
          <w:fldChar w:fldCharType="end"/>
        </w:r>
      </w:hyperlink>
    </w:p>
    <w:p>
      <w:pPr>
        <w:pStyle w:val="TOC2"/>
        <w:tabs>
          <w:tab w:val="right" w:leader="dot" w:pos="8312"/>
        </w:tabs>
      </w:pPr>
      <w:hyperlink w:anchor="_Toc953" w:history="1">
        <w:r>
          <w:rPr>
            <w:rFonts w:hint="eastAsia"/>
            <w:szCs w:val="28"/>
          </w:rPr>
          <w:t>（三）已有登记发证资料情况分析</w:t>
        </w:r>
        <w:r>
          <w:tab/>
        </w:r>
        <w:r>
          <w:fldChar w:fldCharType="begin"/>
        </w:r>
        <w:r>
          <w:instrText xml:space="preserve"> PAGEREF _Toc953 \h </w:instrText>
        </w:r>
        <w:r>
          <w:fldChar w:fldCharType="separate"/>
        </w:r>
        <w:r>
          <w:t>7</w:t>
        </w:r>
        <w:r>
          <w:fldChar w:fldCharType="end"/>
        </w:r>
      </w:hyperlink>
    </w:p>
    <w:p>
      <w:pPr>
        <w:pStyle w:val="TOC2"/>
        <w:tabs>
          <w:tab w:val="right" w:leader="dot" w:pos="8312"/>
        </w:tabs>
      </w:pPr>
      <w:hyperlink w:anchor="_Toc677" w:history="1">
        <w:r>
          <w:rPr>
            <w:rFonts w:hint="eastAsia"/>
            <w:szCs w:val="28"/>
          </w:rPr>
          <w:t>（四）现有资料整理与分析与建立问题清单</w:t>
        </w:r>
        <w:r>
          <w:tab/>
        </w:r>
        <w:r>
          <w:fldChar w:fldCharType="begin"/>
        </w:r>
        <w:r>
          <w:instrText xml:space="preserve"> PAGEREF _Toc677 \h </w:instrText>
        </w:r>
        <w:r>
          <w:fldChar w:fldCharType="separate"/>
        </w:r>
        <w:r>
          <w:t>7</w:t>
        </w:r>
        <w:r>
          <w:fldChar w:fldCharType="end"/>
        </w:r>
      </w:hyperlink>
    </w:p>
    <w:p>
      <w:pPr>
        <w:pStyle w:val="TOC1"/>
        <w:tabs>
          <w:tab w:val="clear" w:pos="8302"/>
          <w:tab w:val="right" w:leader="dot" w:pos="8312"/>
        </w:tabs>
      </w:pPr>
      <w:hyperlink w:anchor="_Toc22954" w:history="1">
        <w:r>
          <w:rPr>
            <w:rFonts w:ascii="宋体" w:hAnsi="宋体" w:cs="宋体" w:hint="eastAsia"/>
            <w:kern w:val="0"/>
            <w:szCs w:val="30"/>
          </w:rPr>
          <w:t>三、作业依据及技术标准</w:t>
        </w:r>
        <w:r>
          <w:tab/>
        </w:r>
        <w:r>
          <w:fldChar w:fldCharType="begin"/>
        </w:r>
        <w:r>
          <w:instrText xml:space="preserve"> PAGEREF _Toc22954 \h </w:instrText>
        </w:r>
        <w:r>
          <w:fldChar w:fldCharType="separate"/>
        </w:r>
        <w:r>
          <w:t>8</w:t>
        </w:r>
        <w:r>
          <w:fldChar w:fldCharType="end"/>
        </w:r>
      </w:hyperlink>
    </w:p>
    <w:p>
      <w:pPr>
        <w:pStyle w:val="TOC2"/>
        <w:tabs>
          <w:tab w:val="right" w:leader="dot" w:pos="8312"/>
        </w:tabs>
      </w:pPr>
      <w:hyperlink w:anchor="_Toc4976" w:history="1">
        <w:r>
          <w:rPr>
            <w:rFonts w:hint="eastAsia"/>
            <w:szCs w:val="28"/>
          </w:rPr>
          <w:t>（一）法律法规及政策依据</w:t>
        </w:r>
        <w:r>
          <w:tab/>
        </w:r>
        <w:r>
          <w:fldChar w:fldCharType="begin"/>
        </w:r>
        <w:r>
          <w:instrText xml:space="preserve"> PAGEREF _Toc4976 \h </w:instrText>
        </w:r>
        <w:r>
          <w:fldChar w:fldCharType="separate"/>
        </w:r>
        <w:r>
          <w:t>8</w:t>
        </w:r>
        <w:r>
          <w:fldChar w:fldCharType="end"/>
        </w:r>
      </w:hyperlink>
    </w:p>
    <w:p>
      <w:pPr>
        <w:pStyle w:val="TOC2"/>
        <w:tabs>
          <w:tab w:val="right" w:leader="dot" w:pos="8312"/>
        </w:tabs>
      </w:pPr>
      <w:hyperlink w:anchor="_Toc15117" w:history="1">
        <w:r>
          <w:rPr>
            <w:rFonts w:hint="eastAsia"/>
            <w:szCs w:val="28"/>
          </w:rPr>
          <w:t>（二）技术依据</w:t>
        </w:r>
        <w:r>
          <w:tab/>
        </w:r>
        <w:r>
          <w:fldChar w:fldCharType="begin"/>
        </w:r>
        <w:r>
          <w:instrText xml:space="preserve"> PAGEREF _Toc15117 \h </w:instrText>
        </w:r>
        <w:r>
          <w:fldChar w:fldCharType="separate"/>
        </w:r>
        <w:r>
          <w:t>9</w:t>
        </w:r>
        <w:r>
          <w:fldChar w:fldCharType="end"/>
        </w:r>
      </w:hyperlink>
    </w:p>
    <w:p>
      <w:pPr>
        <w:pStyle w:val="TOC2"/>
        <w:tabs>
          <w:tab w:val="right" w:leader="dot" w:pos="8312"/>
        </w:tabs>
      </w:pPr>
      <w:hyperlink w:anchor="_Toc20762" w:history="1">
        <w:r>
          <w:rPr>
            <w:rFonts w:hint="eastAsia"/>
            <w:szCs w:val="28"/>
          </w:rPr>
          <w:t>（三）技术标准</w:t>
        </w:r>
        <w:r>
          <w:tab/>
        </w:r>
        <w:r>
          <w:fldChar w:fldCharType="begin"/>
        </w:r>
        <w:r>
          <w:instrText xml:space="preserve"> PAGEREF _Toc20762 \h </w:instrText>
        </w:r>
        <w:r>
          <w:fldChar w:fldCharType="separate"/>
        </w:r>
        <w:r>
          <w:t>9</w:t>
        </w:r>
        <w:r>
          <w:fldChar w:fldCharType="end"/>
        </w:r>
      </w:hyperlink>
    </w:p>
    <w:p>
      <w:pPr>
        <w:pStyle w:val="TOC1"/>
        <w:tabs>
          <w:tab w:val="clear" w:pos="8302"/>
          <w:tab w:val="right" w:leader="dot" w:pos="8312"/>
        </w:tabs>
      </w:pPr>
      <w:hyperlink w:anchor="_Toc1339" w:history="1">
        <w:r>
          <w:rPr>
            <w:rFonts w:ascii="宋体" w:hAnsi="宋体" w:cs="宋体" w:hint="eastAsia"/>
            <w:kern w:val="0"/>
            <w:szCs w:val="30"/>
          </w:rPr>
          <w:t>四、准备</w:t>
        </w:r>
        <w:r>
          <w:rPr>
            <w:rFonts w:ascii="宋体" w:hAnsi="宋体" w:cs="宋体" w:hint="eastAsia"/>
            <w:kern w:val="0"/>
            <w:szCs w:val="30"/>
            <w:lang w:eastAsia="zh-CN"/>
          </w:rPr>
          <w:t>工作</w:t>
        </w:r>
        <w:r>
          <w:tab/>
        </w:r>
        <w:r>
          <w:fldChar w:fldCharType="begin"/>
        </w:r>
        <w:r>
          <w:instrText xml:space="preserve"> PAGEREF _Toc1339 \h </w:instrText>
        </w:r>
        <w:r>
          <w:fldChar w:fldCharType="separate"/>
        </w:r>
        <w:r>
          <w:t>9</w:t>
        </w:r>
        <w:r>
          <w:fldChar w:fldCharType="end"/>
        </w:r>
      </w:hyperlink>
    </w:p>
    <w:p>
      <w:pPr>
        <w:pStyle w:val="TOC2"/>
        <w:tabs>
          <w:tab w:val="right" w:leader="dot" w:pos="8312"/>
        </w:tabs>
      </w:pPr>
      <w:hyperlink w:anchor="_Toc28461" w:history="1">
        <w:r>
          <w:rPr>
            <w:rFonts w:hint="eastAsia"/>
            <w:szCs w:val="28"/>
          </w:rPr>
          <w:t>（一）项目组织实施</w:t>
        </w:r>
        <w:r>
          <w:tab/>
        </w:r>
        <w:r>
          <w:fldChar w:fldCharType="begin"/>
        </w:r>
        <w:r>
          <w:instrText xml:space="preserve"> PAGEREF _Toc28461 \h </w:instrText>
        </w:r>
        <w:r>
          <w:fldChar w:fldCharType="separate"/>
        </w:r>
        <w:r>
          <w:t>9</w:t>
        </w:r>
        <w:r>
          <w:fldChar w:fldCharType="end"/>
        </w:r>
      </w:hyperlink>
    </w:p>
    <w:p>
      <w:pPr>
        <w:pStyle w:val="TOC2"/>
        <w:tabs>
          <w:tab w:val="right" w:leader="dot" w:pos="8312"/>
        </w:tabs>
      </w:pPr>
      <w:hyperlink w:anchor="_Toc8901" w:history="1">
        <w:r>
          <w:rPr>
            <w:rFonts w:hint="eastAsia"/>
            <w:szCs w:val="30"/>
          </w:rPr>
          <w:t>（二）</w:t>
        </w:r>
        <w:r>
          <w:rPr>
            <w:rFonts w:hint="eastAsia"/>
            <w:szCs w:val="30"/>
            <w:lang w:val="en-US" w:eastAsia="zh-CN"/>
          </w:rPr>
          <w:t>技术培训工作</w:t>
        </w:r>
        <w:r>
          <w:tab/>
        </w:r>
        <w:r>
          <w:fldChar w:fldCharType="begin"/>
        </w:r>
        <w:r>
          <w:instrText xml:space="preserve"> PAGEREF _Toc8901 \h </w:instrText>
        </w:r>
        <w:r>
          <w:fldChar w:fldCharType="separate"/>
        </w:r>
        <w:r>
          <w:t>12</w:t>
        </w:r>
        <w:r>
          <w:fldChar w:fldCharType="end"/>
        </w:r>
      </w:hyperlink>
    </w:p>
    <w:p>
      <w:pPr>
        <w:pStyle w:val="TOC2"/>
        <w:tabs>
          <w:tab w:val="right" w:leader="dot" w:pos="8312"/>
        </w:tabs>
      </w:pPr>
      <w:hyperlink w:anchor="_Toc26215" w:history="1">
        <w:r>
          <w:rPr>
            <w:rFonts w:hint="eastAsia"/>
            <w:szCs w:val="30"/>
          </w:rPr>
          <w:t>（</w:t>
        </w:r>
        <w:r>
          <w:rPr>
            <w:rFonts w:hint="eastAsia"/>
            <w:szCs w:val="30"/>
            <w:lang w:val="en-US" w:eastAsia="zh-CN"/>
          </w:rPr>
          <w:t>三</w:t>
        </w:r>
        <w:r>
          <w:rPr>
            <w:rFonts w:hint="eastAsia"/>
            <w:szCs w:val="30"/>
          </w:rPr>
          <w:t>）试点的确定</w:t>
        </w:r>
        <w:r>
          <w:tab/>
        </w:r>
        <w:r>
          <w:fldChar w:fldCharType="begin"/>
        </w:r>
        <w:r>
          <w:instrText xml:space="preserve"> PAGEREF _Toc26215 \h </w:instrText>
        </w:r>
        <w:r>
          <w:fldChar w:fldCharType="separate"/>
        </w:r>
        <w:r>
          <w:t>12</w:t>
        </w:r>
        <w:r>
          <w:fldChar w:fldCharType="end"/>
        </w:r>
      </w:hyperlink>
    </w:p>
    <w:p>
      <w:pPr>
        <w:pStyle w:val="TOC2"/>
        <w:tabs>
          <w:tab w:val="right" w:leader="dot" w:pos="8312"/>
        </w:tabs>
      </w:pPr>
      <w:hyperlink w:anchor="_Toc10293" w:history="1">
        <w:r>
          <w:rPr>
            <w:rFonts w:hint="eastAsia"/>
            <w:szCs w:val="30"/>
          </w:rPr>
          <w:t>（</w:t>
        </w:r>
        <w:r>
          <w:rPr>
            <w:rFonts w:hint="eastAsia"/>
            <w:szCs w:val="30"/>
            <w:lang w:val="en-US" w:eastAsia="zh-CN"/>
          </w:rPr>
          <w:t>四</w:t>
        </w:r>
        <w:r>
          <w:rPr>
            <w:rFonts w:hint="eastAsia"/>
            <w:szCs w:val="30"/>
          </w:rPr>
          <w:t>）</w:t>
        </w:r>
        <w:r>
          <w:rPr>
            <w:rFonts w:hint="eastAsia"/>
            <w:szCs w:val="30"/>
            <w:lang w:val="en-US" w:eastAsia="zh-CN"/>
          </w:rPr>
          <w:t>制定实施方案</w:t>
        </w:r>
        <w:r>
          <w:tab/>
        </w:r>
        <w:r>
          <w:fldChar w:fldCharType="begin"/>
        </w:r>
        <w:r>
          <w:instrText xml:space="preserve"> PAGEREF _Toc10293 \h </w:instrText>
        </w:r>
        <w:r>
          <w:fldChar w:fldCharType="separate"/>
        </w:r>
        <w:r>
          <w:t>12</w:t>
        </w:r>
        <w:r>
          <w:fldChar w:fldCharType="end"/>
        </w:r>
      </w:hyperlink>
    </w:p>
    <w:p>
      <w:pPr>
        <w:pStyle w:val="TOC1"/>
        <w:tabs>
          <w:tab w:val="clear" w:pos="8302"/>
          <w:tab w:val="right" w:leader="dot" w:pos="8312"/>
        </w:tabs>
      </w:pPr>
      <w:hyperlink w:anchor="_Toc1246" w:history="1">
        <w:r>
          <w:rPr>
            <w:rFonts w:ascii="宋体" w:hAnsi="宋体" w:cs="宋体" w:hint="eastAsia"/>
            <w:kern w:val="0"/>
            <w:szCs w:val="30"/>
          </w:rPr>
          <w:t>五、技术路线、作业方法和工作流程</w:t>
        </w:r>
        <w:r>
          <w:tab/>
        </w:r>
        <w:r>
          <w:fldChar w:fldCharType="begin"/>
        </w:r>
        <w:r>
          <w:instrText xml:space="preserve"> PAGEREF _Toc1246 \h </w:instrText>
        </w:r>
        <w:r>
          <w:fldChar w:fldCharType="separate"/>
        </w:r>
        <w:r>
          <w:t>12</w:t>
        </w:r>
        <w:r>
          <w:fldChar w:fldCharType="end"/>
        </w:r>
      </w:hyperlink>
    </w:p>
    <w:p>
      <w:pPr>
        <w:pStyle w:val="TOC2"/>
        <w:tabs>
          <w:tab w:val="right" w:leader="dot" w:pos="8312"/>
        </w:tabs>
      </w:pPr>
      <w:hyperlink w:anchor="_Toc28696" w:history="1">
        <w:r>
          <w:rPr>
            <w:rFonts w:hint="eastAsia"/>
            <w:szCs w:val="30"/>
          </w:rPr>
          <w:t>（一）技术路线</w:t>
        </w:r>
        <w:r>
          <w:tab/>
        </w:r>
        <w:r>
          <w:fldChar w:fldCharType="begin"/>
        </w:r>
        <w:r>
          <w:instrText xml:space="preserve"> PAGEREF _Toc28696 \h </w:instrText>
        </w:r>
        <w:r>
          <w:fldChar w:fldCharType="separate"/>
        </w:r>
        <w:r>
          <w:t>12</w:t>
        </w:r>
        <w:r>
          <w:fldChar w:fldCharType="end"/>
        </w:r>
      </w:hyperlink>
    </w:p>
    <w:p>
      <w:pPr>
        <w:pStyle w:val="TOC2"/>
        <w:tabs>
          <w:tab w:val="right" w:leader="dot" w:pos="8312"/>
        </w:tabs>
      </w:pPr>
      <w:hyperlink w:anchor="_Toc13431" w:history="1">
        <w:r>
          <w:rPr>
            <w:rFonts w:hint="eastAsia"/>
            <w:szCs w:val="30"/>
          </w:rPr>
          <w:t>（二）作业方法和工作流程</w:t>
        </w:r>
        <w:r>
          <w:tab/>
        </w:r>
        <w:r>
          <w:fldChar w:fldCharType="begin"/>
        </w:r>
        <w:r>
          <w:instrText xml:space="preserve"> PAGEREF _Toc13431 \h </w:instrText>
        </w:r>
        <w:r>
          <w:fldChar w:fldCharType="separate"/>
        </w:r>
        <w:r>
          <w:t>13</w:t>
        </w:r>
        <w:r>
          <w:fldChar w:fldCharType="end"/>
        </w:r>
      </w:hyperlink>
    </w:p>
    <w:p>
      <w:pPr>
        <w:pStyle w:val="TOC1"/>
        <w:tabs>
          <w:tab w:val="clear" w:pos="8302"/>
          <w:tab w:val="right" w:leader="dot" w:pos="8312"/>
        </w:tabs>
      </w:pPr>
      <w:hyperlink w:anchor="_Toc30758" w:history="1">
        <w:r>
          <w:rPr>
            <w:rFonts w:ascii="宋体" w:hAnsi="宋体" w:cs="宋体" w:hint="eastAsia"/>
            <w:kern w:val="0"/>
            <w:szCs w:val="30"/>
          </w:rPr>
          <w:t>六、</w:t>
        </w:r>
        <w:r>
          <w:rPr>
            <w:rFonts w:ascii="宋体" w:hAnsi="宋体" w:cs="宋体" w:hint="eastAsia"/>
            <w:kern w:val="0"/>
            <w:szCs w:val="30"/>
            <w:lang w:val="en-US" w:eastAsia="zh-CN"/>
          </w:rPr>
          <w:t>更新汇交</w:t>
        </w:r>
        <w:r>
          <w:rPr>
            <w:rFonts w:ascii="宋体" w:hAnsi="宋体" w:cs="宋体" w:hint="eastAsia"/>
            <w:kern w:val="0"/>
            <w:szCs w:val="30"/>
          </w:rPr>
          <w:t>工作步骤</w:t>
        </w:r>
        <w:r>
          <w:tab/>
        </w:r>
        <w:r>
          <w:fldChar w:fldCharType="begin"/>
        </w:r>
        <w:r>
          <w:instrText xml:space="preserve"> PAGEREF _Toc30758 \h </w:instrText>
        </w:r>
        <w:r>
          <w:fldChar w:fldCharType="separate"/>
        </w:r>
        <w:r>
          <w:t>15</w:t>
        </w:r>
        <w:r>
          <w:fldChar w:fldCharType="end"/>
        </w:r>
      </w:hyperlink>
    </w:p>
    <w:p>
      <w:pPr>
        <w:pStyle w:val="TOC2"/>
        <w:tabs>
          <w:tab w:val="right" w:leader="dot" w:pos="8312"/>
        </w:tabs>
      </w:pPr>
      <w:hyperlink w:anchor="_Toc20963" w:history="1">
        <w:r>
          <w:rPr>
            <w:rFonts w:hint="eastAsia"/>
            <w:szCs w:val="30"/>
          </w:rPr>
          <w:t>（一）宣传准备工作</w:t>
        </w:r>
        <w:r>
          <w:tab/>
        </w:r>
        <w:r>
          <w:fldChar w:fldCharType="begin"/>
        </w:r>
        <w:r>
          <w:instrText xml:space="preserve"> PAGEREF _Toc20963 \h </w:instrText>
        </w:r>
        <w:r>
          <w:fldChar w:fldCharType="separate"/>
        </w:r>
        <w:r>
          <w:t>15</w:t>
        </w:r>
        <w:r>
          <w:fldChar w:fldCharType="end"/>
        </w:r>
      </w:hyperlink>
    </w:p>
    <w:p>
      <w:pPr>
        <w:pStyle w:val="TOC2"/>
        <w:tabs>
          <w:tab w:val="right" w:leader="dot" w:pos="8312"/>
        </w:tabs>
      </w:pPr>
      <w:hyperlink w:anchor="_Toc4281" w:history="1">
        <w:r>
          <w:rPr>
            <w:rFonts w:hint="eastAsia"/>
            <w:szCs w:val="30"/>
          </w:rPr>
          <w:t>（二）编制技术方案</w:t>
        </w:r>
        <w:r>
          <w:tab/>
        </w:r>
        <w:r>
          <w:fldChar w:fldCharType="begin"/>
        </w:r>
        <w:r>
          <w:instrText xml:space="preserve"> PAGEREF _Toc4281 \h </w:instrText>
        </w:r>
        <w:r>
          <w:fldChar w:fldCharType="separate"/>
        </w:r>
        <w:r>
          <w:t>15</w:t>
        </w:r>
        <w:r>
          <w:fldChar w:fldCharType="end"/>
        </w:r>
      </w:hyperlink>
    </w:p>
    <w:p>
      <w:pPr>
        <w:pStyle w:val="TOC2"/>
        <w:tabs>
          <w:tab w:val="right" w:leader="dot" w:pos="8312"/>
        </w:tabs>
      </w:pPr>
      <w:hyperlink w:anchor="_Toc194" w:history="1">
        <w:r>
          <w:rPr>
            <w:rFonts w:hint="eastAsia"/>
            <w:bCs/>
            <w:caps w:val="0"/>
            <w:spacing w:val="0"/>
            <w:szCs w:val="30"/>
          </w:rPr>
          <w:t>（三）发布通告</w:t>
        </w:r>
        <w:r>
          <w:tab/>
        </w:r>
        <w:r>
          <w:fldChar w:fldCharType="begin"/>
        </w:r>
        <w:r>
          <w:instrText xml:space="preserve"> PAGEREF _Toc194 \h </w:instrText>
        </w:r>
        <w:r>
          <w:fldChar w:fldCharType="separate"/>
        </w:r>
        <w:r>
          <w:t>15</w:t>
        </w:r>
        <w:r>
          <w:fldChar w:fldCharType="end"/>
        </w:r>
      </w:hyperlink>
    </w:p>
    <w:p>
      <w:pPr>
        <w:pStyle w:val="TOC2"/>
        <w:tabs>
          <w:tab w:val="right" w:leader="dot" w:pos="8312"/>
        </w:tabs>
      </w:pPr>
      <w:hyperlink w:anchor="_Toc14582" w:history="1">
        <w:r>
          <w:rPr>
            <w:rFonts w:hint="eastAsia"/>
            <w:bCs/>
            <w:caps w:val="0"/>
            <w:spacing w:val="0"/>
            <w:szCs w:val="30"/>
          </w:rPr>
          <w:t>（</w:t>
        </w:r>
        <w:r>
          <w:rPr>
            <w:rFonts w:hint="eastAsia"/>
            <w:bCs/>
            <w:caps w:val="0"/>
            <w:spacing w:val="0"/>
            <w:szCs w:val="30"/>
            <w:lang w:val="en-US" w:eastAsia="zh-CN"/>
          </w:rPr>
          <w:t>四</w:t>
        </w:r>
        <w:r>
          <w:rPr>
            <w:rFonts w:hint="eastAsia"/>
            <w:bCs/>
            <w:caps w:val="0"/>
            <w:spacing w:val="0"/>
            <w:szCs w:val="30"/>
          </w:rPr>
          <w:t>）</w:t>
        </w:r>
        <w:r>
          <w:rPr>
            <w:rFonts w:hint="eastAsia"/>
            <w:bCs/>
            <w:caps w:val="0"/>
            <w:spacing w:val="0"/>
            <w:szCs w:val="30"/>
            <w:lang w:val="en-US" w:eastAsia="zh-CN"/>
          </w:rPr>
          <w:t>资料整理分析</w:t>
        </w:r>
        <w:r>
          <w:tab/>
        </w:r>
        <w:r>
          <w:fldChar w:fldCharType="begin"/>
        </w:r>
        <w:r>
          <w:instrText xml:space="preserve"> PAGEREF _Toc14582 \h </w:instrText>
        </w:r>
        <w:r>
          <w:fldChar w:fldCharType="separate"/>
        </w:r>
        <w:r>
          <w:t>15</w:t>
        </w:r>
        <w:r>
          <w:fldChar w:fldCharType="end"/>
        </w:r>
      </w:hyperlink>
    </w:p>
    <w:p>
      <w:pPr>
        <w:pStyle w:val="TOC2"/>
        <w:tabs>
          <w:tab w:val="right" w:leader="dot" w:pos="8312"/>
        </w:tabs>
      </w:pPr>
      <w:hyperlink w:anchor="_Toc3484" w:history="1">
        <w:r>
          <w:rPr>
            <w:rFonts w:hint="eastAsia"/>
            <w:bCs/>
            <w:caps w:val="0"/>
            <w:spacing w:val="0"/>
            <w:szCs w:val="30"/>
          </w:rPr>
          <w:t>（五）</w:t>
        </w:r>
        <w:r>
          <w:rPr>
            <w:rFonts w:hint="eastAsia"/>
            <w:bCs/>
            <w:caps w:val="0"/>
            <w:spacing w:val="0"/>
            <w:szCs w:val="30"/>
            <w:lang w:val="en-US" w:eastAsia="zh-CN"/>
          </w:rPr>
          <w:t>已登记未变化</w:t>
        </w:r>
        <w:r>
          <w:tab/>
        </w:r>
        <w:r>
          <w:fldChar w:fldCharType="begin"/>
        </w:r>
        <w:r>
          <w:instrText xml:space="preserve"> PAGEREF _Toc3484 \h </w:instrText>
        </w:r>
        <w:r>
          <w:fldChar w:fldCharType="separate"/>
        </w:r>
        <w:r>
          <w:t>16</w:t>
        </w:r>
        <w:r>
          <w:fldChar w:fldCharType="end"/>
        </w:r>
      </w:hyperlink>
    </w:p>
    <w:p>
      <w:pPr>
        <w:pStyle w:val="TOC2"/>
        <w:tabs>
          <w:tab w:val="right" w:leader="dot" w:pos="8312"/>
        </w:tabs>
      </w:pPr>
      <w:hyperlink w:anchor="_Toc5466" w:history="1">
        <w:r>
          <w:rPr>
            <w:rFonts w:hint="eastAsia"/>
            <w:bCs/>
            <w:caps w:val="0"/>
            <w:spacing w:val="0"/>
            <w:szCs w:val="30"/>
          </w:rPr>
          <w:t>（</w:t>
        </w:r>
        <w:r>
          <w:rPr>
            <w:rFonts w:hint="eastAsia"/>
            <w:bCs/>
            <w:caps w:val="0"/>
            <w:spacing w:val="0"/>
            <w:szCs w:val="30"/>
            <w:lang w:val="en-US" w:eastAsia="zh-CN"/>
          </w:rPr>
          <w:t>六</w:t>
        </w:r>
        <w:r>
          <w:rPr>
            <w:rFonts w:hint="eastAsia"/>
            <w:bCs/>
            <w:caps w:val="0"/>
            <w:spacing w:val="0"/>
            <w:szCs w:val="30"/>
          </w:rPr>
          <w:t>）</w:t>
        </w:r>
        <w:r>
          <w:rPr>
            <w:rFonts w:hint="eastAsia"/>
            <w:bCs/>
            <w:caps w:val="0"/>
            <w:spacing w:val="0"/>
            <w:szCs w:val="30"/>
            <w:lang w:val="en-US" w:eastAsia="zh-CN"/>
          </w:rPr>
          <w:t>已登记有变化</w:t>
        </w:r>
        <w:r>
          <w:tab/>
        </w:r>
        <w:r>
          <w:fldChar w:fldCharType="begin"/>
        </w:r>
        <w:r>
          <w:instrText xml:space="preserve"> PAGEREF _Toc5466 \h </w:instrText>
        </w:r>
        <w:r>
          <w:fldChar w:fldCharType="separate"/>
        </w:r>
        <w:r>
          <w:t>16</w:t>
        </w:r>
        <w:r>
          <w:fldChar w:fldCharType="end"/>
        </w:r>
      </w:hyperlink>
    </w:p>
    <w:p>
      <w:pPr>
        <w:pStyle w:val="TOC2"/>
        <w:tabs>
          <w:tab w:val="right" w:leader="dot" w:pos="8312"/>
        </w:tabs>
      </w:pPr>
      <w:hyperlink w:anchor="_Toc13509" w:history="1">
        <w:r>
          <w:rPr>
            <w:rFonts w:hint="eastAsia"/>
            <w:bCs/>
            <w:caps w:val="0"/>
            <w:spacing w:val="0"/>
            <w:szCs w:val="30"/>
          </w:rPr>
          <w:t>（</w:t>
        </w:r>
        <w:r>
          <w:rPr>
            <w:rFonts w:hint="eastAsia"/>
            <w:bCs/>
            <w:caps w:val="0"/>
            <w:spacing w:val="0"/>
            <w:szCs w:val="30"/>
            <w:lang w:val="en-US" w:eastAsia="zh-CN"/>
          </w:rPr>
          <w:t>七</w:t>
        </w:r>
        <w:r>
          <w:rPr>
            <w:rFonts w:hint="eastAsia"/>
            <w:bCs/>
            <w:caps w:val="0"/>
            <w:spacing w:val="0"/>
            <w:szCs w:val="30"/>
          </w:rPr>
          <w:t>）</w:t>
        </w:r>
        <w:r>
          <w:rPr>
            <w:rFonts w:hint="eastAsia"/>
            <w:bCs/>
            <w:caps w:val="0"/>
            <w:spacing w:val="0"/>
            <w:szCs w:val="30"/>
            <w:lang w:val="en-US" w:eastAsia="zh-CN"/>
          </w:rPr>
          <w:t>实地</w:t>
        </w:r>
        <w:r>
          <w:rPr>
            <w:rFonts w:hint="eastAsia"/>
            <w:bCs/>
            <w:caps w:val="0"/>
            <w:spacing w:val="0"/>
            <w:szCs w:val="30"/>
          </w:rPr>
          <w:t>开展调查</w:t>
        </w:r>
        <w:r>
          <w:rPr>
            <w:rFonts w:hint="eastAsia"/>
            <w:bCs/>
            <w:caps w:val="0"/>
            <w:spacing w:val="0"/>
            <w:szCs w:val="30"/>
            <w:lang w:val="en-US" w:eastAsia="zh-CN"/>
          </w:rPr>
          <w:t>核实</w:t>
        </w:r>
        <w:r>
          <w:tab/>
        </w:r>
        <w:r>
          <w:fldChar w:fldCharType="begin"/>
        </w:r>
        <w:r>
          <w:instrText xml:space="preserve"> PAGEREF _Toc13509 \h </w:instrText>
        </w:r>
        <w:r>
          <w:fldChar w:fldCharType="separate"/>
        </w:r>
        <w:r>
          <w:t>18</w:t>
        </w:r>
        <w:r>
          <w:fldChar w:fldCharType="end"/>
        </w:r>
      </w:hyperlink>
    </w:p>
    <w:p>
      <w:pPr>
        <w:pStyle w:val="TOC2"/>
        <w:tabs>
          <w:tab w:val="right" w:leader="dot" w:pos="8312"/>
        </w:tabs>
      </w:pPr>
      <w:hyperlink w:anchor="_Toc11459" w:history="1">
        <w:r>
          <w:rPr>
            <w:rFonts w:hint="eastAsia"/>
            <w:bCs/>
            <w:caps w:val="0"/>
            <w:spacing w:val="0"/>
            <w:szCs w:val="30"/>
          </w:rPr>
          <w:t>（</w:t>
        </w:r>
        <w:r>
          <w:rPr>
            <w:rFonts w:hint="eastAsia"/>
            <w:bCs/>
            <w:caps w:val="0"/>
            <w:spacing w:val="0"/>
            <w:szCs w:val="30"/>
            <w:lang w:val="en-US" w:eastAsia="zh-CN"/>
          </w:rPr>
          <w:t>八</w:t>
        </w:r>
        <w:r>
          <w:rPr>
            <w:rFonts w:hint="eastAsia"/>
            <w:bCs/>
            <w:caps w:val="0"/>
            <w:spacing w:val="0"/>
            <w:szCs w:val="30"/>
          </w:rPr>
          <w:t>）</w:t>
        </w:r>
        <w:r>
          <w:rPr>
            <w:rFonts w:hint="eastAsia"/>
            <w:bCs/>
            <w:caps w:val="0"/>
            <w:spacing w:val="0"/>
            <w:szCs w:val="30"/>
            <w:lang w:val="en-US" w:eastAsia="zh-CN"/>
          </w:rPr>
          <w:t>数据整合入库</w:t>
        </w:r>
        <w:r>
          <w:tab/>
        </w:r>
        <w:r>
          <w:fldChar w:fldCharType="begin"/>
        </w:r>
        <w:r>
          <w:instrText xml:space="preserve"> PAGEREF _Toc11459 \h </w:instrText>
        </w:r>
        <w:r>
          <w:fldChar w:fldCharType="separate"/>
        </w:r>
        <w:r>
          <w:t>30</w:t>
        </w:r>
        <w:r>
          <w:fldChar w:fldCharType="end"/>
        </w:r>
      </w:hyperlink>
    </w:p>
    <w:p>
      <w:pPr>
        <w:pStyle w:val="TOC2"/>
        <w:tabs>
          <w:tab w:val="right" w:leader="dot" w:pos="8312"/>
        </w:tabs>
      </w:pPr>
      <w:hyperlink w:anchor="_Toc3610" w:history="1">
        <w:r>
          <w:rPr>
            <w:rFonts w:ascii="宋体" w:eastAsia="宋体" w:hAnsi="宋体" w:cs="Times New Roman" w:hint="eastAsia"/>
            <w:bCs/>
            <w:caps w:val="0"/>
            <w:spacing w:val="0"/>
            <w:szCs w:val="30"/>
            <w:lang w:eastAsia="zh-CN"/>
          </w:rPr>
          <w:t>（</w:t>
        </w:r>
        <w:r>
          <w:rPr>
            <w:rFonts w:ascii="宋体" w:eastAsia="宋体" w:hAnsi="宋体" w:cs="Times New Roman" w:hint="eastAsia"/>
            <w:bCs/>
            <w:caps w:val="0"/>
            <w:spacing w:val="0"/>
            <w:szCs w:val="30"/>
            <w:lang w:val="en-US" w:eastAsia="zh-CN"/>
          </w:rPr>
          <w:t>九</w:t>
        </w:r>
        <w:r>
          <w:rPr>
            <w:rFonts w:ascii="宋体" w:eastAsia="宋体" w:hAnsi="宋体" w:cs="Times New Roman" w:hint="eastAsia"/>
            <w:bCs/>
            <w:caps w:val="0"/>
            <w:spacing w:val="0"/>
            <w:szCs w:val="30"/>
            <w:lang w:eastAsia="zh-CN"/>
          </w:rPr>
          <w:t>）</w:t>
        </w:r>
        <w:r>
          <w:rPr>
            <w:rFonts w:ascii="宋体" w:eastAsia="宋体" w:hAnsi="宋体" w:cs="Times New Roman" w:hint="eastAsia"/>
            <w:bCs/>
            <w:caps w:val="0"/>
            <w:spacing w:val="0"/>
            <w:szCs w:val="30"/>
          </w:rPr>
          <w:t>登记成果更新</w:t>
        </w:r>
        <w:r>
          <w:tab/>
        </w:r>
        <w:r>
          <w:fldChar w:fldCharType="begin"/>
        </w:r>
        <w:r>
          <w:instrText xml:space="preserve"> PAGEREF _Toc3610 \h </w:instrText>
        </w:r>
        <w:r>
          <w:fldChar w:fldCharType="separate"/>
        </w:r>
        <w:r>
          <w:t>32</w:t>
        </w:r>
        <w:r>
          <w:fldChar w:fldCharType="end"/>
        </w:r>
      </w:hyperlink>
    </w:p>
    <w:p>
      <w:pPr>
        <w:pStyle w:val="TOC1"/>
        <w:tabs>
          <w:tab w:val="clear" w:pos="8302"/>
          <w:tab w:val="right" w:leader="dot" w:pos="8312"/>
        </w:tabs>
      </w:pPr>
      <w:hyperlink w:anchor="_Toc20209" w:history="1">
        <w:r>
          <w:rPr>
            <w:rFonts w:ascii="宋体" w:hAnsi="宋体" w:cs="宋体" w:hint="eastAsia"/>
            <w:kern w:val="0"/>
            <w:szCs w:val="30"/>
            <w:lang w:val="en-US" w:eastAsia="zh-CN"/>
          </w:rPr>
          <w:t>七</w:t>
        </w:r>
        <w:r>
          <w:rPr>
            <w:rFonts w:ascii="宋体" w:hAnsi="宋体" w:cs="宋体" w:hint="eastAsia"/>
            <w:kern w:val="0"/>
            <w:szCs w:val="30"/>
          </w:rPr>
          <w:t>、</w:t>
        </w:r>
        <w:r>
          <w:rPr>
            <w:rFonts w:ascii="宋体" w:hAnsi="宋体" w:cs="宋体" w:hint="eastAsia"/>
            <w:kern w:val="0"/>
            <w:szCs w:val="30"/>
            <w:lang w:val="en-US" w:eastAsia="zh-CN"/>
          </w:rPr>
          <w:t>成果公示</w:t>
        </w:r>
        <w:r>
          <w:tab/>
        </w:r>
        <w:r>
          <w:fldChar w:fldCharType="begin"/>
        </w:r>
        <w:r>
          <w:instrText xml:space="preserve"> PAGEREF _Toc20209 \h </w:instrText>
        </w:r>
        <w:r>
          <w:fldChar w:fldCharType="separate"/>
        </w:r>
        <w:r>
          <w:t>34</w:t>
        </w:r>
        <w:r>
          <w:fldChar w:fldCharType="end"/>
        </w:r>
      </w:hyperlink>
    </w:p>
    <w:p>
      <w:pPr>
        <w:pStyle w:val="TOC1"/>
        <w:tabs>
          <w:tab w:val="clear" w:pos="8302"/>
          <w:tab w:val="right" w:leader="dot" w:pos="8312"/>
        </w:tabs>
      </w:pPr>
      <w:hyperlink w:anchor="_Toc27273" w:history="1">
        <w:r>
          <w:rPr>
            <w:rFonts w:ascii="宋体" w:hAnsi="宋体" w:cs="宋体" w:hint="eastAsia"/>
            <w:kern w:val="0"/>
            <w:szCs w:val="30"/>
            <w:lang w:val="en-US" w:eastAsia="zh-CN"/>
          </w:rPr>
          <w:t>八</w:t>
        </w:r>
        <w:r>
          <w:rPr>
            <w:rFonts w:ascii="宋体" w:hAnsi="宋体" w:cs="宋体" w:hint="eastAsia"/>
            <w:kern w:val="0"/>
            <w:szCs w:val="30"/>
          </w:rPr>
          <w:t>、</w:t>
        </w:r>
        <w:r>
          <w:rPr>
            <w:rFonts w:ascii="宋体" w:hAnsi="宋体" w:cs="宋体" w:hint="eastAsia"/>
            <w:kern w:val="0"/>
            <w:szCs w:val="30"/>
            <w:lang w:val="en-US" w:eastAsia="zh-CN"/>
          </w:rPr>
          <w:t>成果检查</w:t>
        </w:r>
        <w:r>
          <w:tab/>
        </w:r>
        <w:r>
          <w:fldChar w:fldCharType="begin"/>
        </w:r>
        <w:r>
          <w:instrText xml:space="preserve"> PAGEREF _Toc27273 \h </w:instrText>
        </w:r>
        <w:r>
          <w:fldChar w:fldCharType="separate"/>
        </w:r>
        <w:r>
          <w:t>34</w:t>
        </w:r>
        <w:r>
          <w:fldChar w:fldCharType="end"/>
        </w:r>
      </w:hyperlink>
    </w:p>
    <w:p>
      <w:pPr>
        <w:pStyle w:val="TOC1"/>
        <w:tabs>
          <w:tab w:val="clear" w:pos="8302"/>
          <w:tab w:val="right" w:leader="dot" w:pos="8312"/>
        </w:tabs>
      </w:pPr>
      <w:hyperlink w:anchor="_Toc5975" w:history="1">
        <w:r>
          <w:rPr>
            <w:rFonts w:ascii="宋体" w:hAnsi="宋体" w:cs="宋体" w:hint="eastAsia"/>
            <w:kern w:val="0"/>
            <w:szCs w:val="30"/>
            <w:lang w:val="en-US" w:eastAsia="zh-CN"/>
          </w:rPr>
          <w:t>九、 统一汇交入库</w:t>
        </w:r>
        <w:r>
          <w:tab/>
        </w:r>
        <w:r>
          <w:fldChar w:fldCharType="begin"/>
        </w:r>
        <w:r>
          <w:instrText xml:space="preserve"> PAGEREF _Toc5975 \h </w:instrText>
        </w:r>
        <w:r>
          <w:fldChar w:fldCharType="separate"/>
        </w:r>
        <w:r>
          <w:t>39</w:t>
        </w:r>
        <w:r>
          <w:fldChar w:fldCharType="end"/>
        </w:r>
      </w:hyperlink>
    </w:p>
    <w:p>
      <w:pPr>
        <w:pStyle w:val="TOC1"/>
        <w:tabs>
          <w:tab w:val="clear" w:pos="8302"/>
          <w:tab w:val="right" w:leader="dot" w:pos="8312"/>
        </w:tabs>
        <w:sectPr>
          <w:headerReference w:type="default" r:id="rId10"/>
          <w:footerReference w:type="even" r:id="rId11"/>
          <w:footerReference w:type="default" r:id="rId12"/>
          <w:type w:val="nextPage"/>
          <w:pgSz w:w="11906" w:h="16838"/>
          <w:pgMar w:top="1270" w:right="1797" w:bottom="1270" w:left="1797" w:header="851" w:footer="992" w:gutter="0"/>
          <w:pgNumType w:start="3"/>
          <w:cols w:space="708"/>
          <w:titlePg w:val="0"/>
          <w:docGrid w:type="lines" w:linePitch="312"/>
        </w:sectPr>
      </w:pPr>
      <w:hyperlink w:anchor="_Toc1114" w:history="1">
        <w:r>
          <w:rPr>
            <w:rFonts w:ascii="宋体" w:hAnsi="宋体" w:hint="eastAsia"/>
            <w:szCs w:val="30"/>
          </w:rPr>
          <w:t>十、成果资料的提交及整理归档</w:t>
        </w:r>
        <w:r>
          <w:tab/>
        </w:r>
        <w:r>
          <w:fldChar w:fldCharType="begin"/>
        </w:r>
        <w:r>
          <w:instrText xml:space="preserve"> PAGEREF _Toc1114 \h </w:instrText>
        </w:r>
        <w:r>
          <w:fldChar w:fldCharType="separate"/>
        </w:r>
        <w:r>
          <w:t>41</w:t>
        </w:r>
        <w:r>
          <w:fldChar w:fldCharType="end"/>
        </w:r>
      </w:hyperlink>
    </w:p>
    <w:p>
      <w:pPr>
        <w:pStyle w:val="TOC1"/>
        <w:tabs>
          <w:tab w:val="clear" w:pos="8302"/>
          <w:tab w:val="right" w:leader="dot" w:pos="8312"/>
        </w:tabs>
      </w:pPr>
      <w:hyperlink w:anchor="_Toc19580" w:history="1">
        <w:r>
          <w:rPr>
            <w:rFonts w:ascii="宋体" w:hAnsi="宋体" w:hint="eastAsia"/>
            <w:szCs w:val="30"/>
          </w:rPr>
          <w:t>十一、质量保证措施</w:t>
        </w:r>
        <w:r>
          <w:tab/>
        </w:r>
        <w:r>
          <w:fldChar w:fldCharType="begin"/>
        </w:r>
        <w:r>
          <w:instrText xml:space="preserve"> PAGEREF _Toc19580 \h </w:instrText>
        </w:r>
        <w:r>
          <w:fldChar w:fldCharType="separate"/>
        </w:r>
        <w:r>
          <w:t>42</w:t>
        </w:r>
        <w:r>
          <w:fldChar w:fldCharType="end"/>
        </w:r>
      </w:hyperlink>
    </w:p>
    <w:p>
      <w:pPr>
        <w:pStyle w:val="TOC2"/>
        <w:tabs>
          <w:tab w:val="right" w:leader="dot" w:pos="8312"/>
        </w:tabs>
      </w:pPr>
      <w:hyperlink w:anchor="_Toc19007" w:history="1">
        <w:r>
          <w:rPr>
            <w:rFonts w:hint="eastAsia"/>
            <w:szCs w:val="28"/>
          </w:rPr>
          <w:t>（一）调查成果资料检查</w:t>
        </w:r>
        <w:r>
          <w:tab/>
        </w:r>
        <w:r>
          <w:fldChar w:fldCharType="begin"/>
        </w:r>
        <w:r>
          <w:instrText xml:space="preserve"> PAGEREF _Toc19007 \h </w:instrText>
        </w:r>
        <w:r>
          <w:fldChar w:fldCharType="separate"/>
        </w:r>
        <w:r>
          <w:t>42</w:t>
        </w:r>
        <w:r>
          <w:fldChar w:fldCharType="end"/>
        </w:r>
      </w:hyperlink>
    </w:p>
    <w:p>
      <w:pPr>
        <w:pStyle w:val="TOC2"/>
        <w:tabs>
          <w:tab w:val="right" w:leader="dot" w:pos="8312"/>
        </w:tabs>
      </w:pPr>
      <w:hyperlink w:anchor="_Toc879" w:history="1">
        <w:r>
          <w:rPr>
            <w:rFonts w:hint="eastAsia"/>
            <w:szCs w:val="28"/>
          </w:rPr>
          <w:t>（二）检查验收程序</w:t>
        </w:r>
        <w:r>
          <w:tab/>
        </w:r>
        <w:r>
          <w:fldChar w:fldCharType="begin"/>
        </w:r>
        <w:r>
          <w:instrText xml:space="preserve"> PAGEREF _Toc879 \h </w:instrText>
        </w:r>
        <w:r>
          <w:fldChar w:fldCharType="separate"/>
        </w:r>
        <w:r>
          <w:t>43</w:t>
        </w:r>
        <w:r>
          <w:fldChar w:fldCharType="end"/>
        </w:r>
      </w:hyperlink>
    </w:p>
    <w:p>
      <w:pPr>
        <w:pStyle w:val="TOC1"/>
        <w:tabs>
          <w:tab w:val="clear" w:pos="8302"/>
          <w:tab w:val="right" w:leader="dot" w:pos="8312"/>
        </w:tabs>
      </w:pPr>
      <w:hyperlink w:anchor="_Toc25003" w:history="1">
        <w:r>
          <w:rPr>
            <w:rFonts w:ascii="宋体" w:hAnsi="宋体" w:hint="eastAsia"/>
            <w:bCs/>
            <w:kern w:val="44"/>
            <w:szCs w:val="30"/>
          </w:rPr>
          <w:t>十二、</w:t>
        </w:r>
        <w:r>
          <w:rPr>
            <w:rFonts w:ascii="宋体" w:hAnsi="宋体" w:hint="eastAsia"/>
            <w:bCs/>
            <w:kern w:val="44"/>
            <w:szCs w:val="30"/>
            <w:lang w:val="en-US" w:eastAsia="zh-CN"/>
          </w:rPr>
          <w:t>重点</w:t>
        </w:r>
        <w:r>
          <w:rPr>
            <w:rFonts w:ascii="宋体" w:hAnsi="宋体" w:hint="eastAsia"/>
            <w:bCs/>
            <w:kern w:val="44"/>
            <w:szCs w:val="30"/>
          </w:rPr>
          <w:t>工作有关问题及处理方法</w:t>
        </w:r>
        <w:r>
          <w:tab/>
        </w:r>
        <w:r>
          <w:fldChar w:fldCharType="begin"/>
        </w:r>
        <w:r>
          <w:instrText xml:space="preserve"> PAGEREF _Toc25003 \h </w:instrText>
        </w:r>
        <w:r>
          <w:fldChar w:fldCharType="separate"/>
        </w:r>
        <w:r>
          <w:t>43</w:t>
        </w:r>
        <w:r>
          <w:fldChar w:fldCharType="end"/>
        </w:r>
      </w:hyperlink>
    </w:p>
    <w:p>
      <w:pPr>
        <w:pStyle w:val="TOC1"/>
        <w:tabs>
          <w:tab w:val="clear" w:pos="8302"/>
          <w:tab w:val="right" w:leader="dot" w:pos="8312"/>
        </w:tabs>
      </w:pPr>
      <w:hyperlink w:anchor="_Toc1536" w:history="1">
        <w:r>
          <w:rPr>
            <w:rFonts w:ascii="宋体" w:hAnsi="宋体" w:hint="eastAsia"/>
            <w:szCs w:val="30"/>
          </w:rPr>
          <w:t>附件一</w:t>
        </w:r>
        <w:r>
          <w:rPr>
            <w:rFonts w:ascii="宋体" w:hAnsi="宋体" w:hint="eastAsia"/>
            <w:szCs w:val="30"/>
            <w:lang w:val="en-US" w:eastAsia="zh-CN"/>
          </w:rPr>
          <w:t xml:space="preserve"> （</w:t>
        </w:r>
        <w:r>
          <w:rPr>
            <w:rFonts w:ascii="宋体" w:hAnsi="宋体" w:hint="eastAsia"/>
            <w:szCs w:val="30"/>
            <w:lang w:val="en-US" w:eastAsia="zh-CN"/>
          </w:rPr>
          <w:t>不动产权籍调查表</w:t>
        </w:r>
        <w:r>
          <w:rPr>
            <w:rFonts w:ascii="宋体" w:hAnsi="宋体" w:hint="eastAsia"/>
            <w:szCs w:val="30"/>
            <w:lang w:val="en-US" w:eastAsia="zh-CN"/>
          </w:rPr>
          <w:t>）</w:t>
        </w:r>
        <w:r>
          <w:tab/>
        </w:r>
        <w:r>
          <w:fldChar w:fldCharType="begin"/>
        </w:r>
        <w:r>
          <w:instrText xml:space="preserve"> PAGEREF _Toc1536 \h </w:instrText>
        </w:r>
        <w:r>
          <w:fldChar w:fldCharType="separate"/>
        </w:r>
        <w:r>
          <w:t>50</w:t>
        </w:r>
        <w:r>
          <w:fldChar w:fldCharType="end"/>
        </w:r>
      </w:hyperlink>
    </w:p>
    <w:p>
      <w:pPr>
        <w:pStyle w:val="TOC1"/>
        <w:tabs>
          <w:tab w:val="clear" w:pos="8302"/>
          <w:tab w:val="right" w:leader="dot" w:pos="8312"/>
        </w:tabs>
      </w:pPr>
      <w:hyperlink w:anchor="_Toc1680" w:history="1">
        <w:r>
          <w:rPr>
            <w:rFonts w:ascii="宋体" w:hAnsi="宋体" w:hint="eastAsia"/>
            <w:bCs/>
            <w:kern w:val="44"/>
            <w:szCs w:val="30"/>
          </w:rPr>
          <w:t>附件</w:t>
        </w:r>
        <w:r>
          <w:rPr>
            <w:rFonts w:ascii="宋体" w:hAnsi="宋体" w:hint="eastAsia"/>
            <w:bCs/>
            <w:kern w:val="44"/>
            <w:szCs w:val="30"/>
            <w:lang w:val="en-US" w:eastAsia="zh-CN"/>
          </w:rPr>
          <w:t>二 （土地登记申请书）</w:t>
        </w:r>
        <w:r>
          <w:tab/>
        </w:r>
        <w:r>
          <w:fldChar w:fldCharType="begin"/>
        </w:r>
        <w:r>
          <w:instrText xml:space="preserve"> PAGEREF _Toc1680 \h </w:instrText>
        </w:r>
        <w:r>
          <w:fldChar w:fldCharType="separate"/>
        </w:r>
        <w:r>
          <w:t>57</w:t>
        </w:r>
        <w:r>
          <w:fldChar w:fldCharType="end"/>
        </w:r>
      </w:hyperlink>
    </w:p>
    <w:p>
      <w:pPr>
        <w:pStyle w:val="TOC1"/>
        <w:tabs>
          <w:tab w:val="clear" w:pos="8302"/>
          <w:tab w:val="right" w:leader="dot" w:pos="8312"/>
        </w:tabs>
      </w:pPr>
      <w:hyperlink w:anchor="_Toc31780" w:history="1">
        <w:r>
          <w:rPr>
            <w:rFonts w:ascii="宋体" w:hAnsi="宋体" w:hint="eastAsia"/>
            <w:bCs/>
            <w:kern w:val="44"/>
            <w:szCs w:val="30"/>
          </w:rPr>
          <w:t>附件</w:t>
        </w:r>
        <w:r>
          <w:rPr>
            <w:rFonts w:ascii="宋体" w:hAnsi="宋体" w:hint="eastAsia"/>
            <w:bCs/>
            <w:kern w:val="44"/>
            <w:szCs w:val="30"/>
            <w:lang w:val="en-US" w:eastAsia="zh-CN"/>
          </w:rPr>
          <w:t>三 （</w:t>
        </w:r>
        <w:r>
          <w:rPr>
            <w:rFonts w:ascii="宋体" w:hAnsi="宋体" w:hint="eastAsia"/>
            <w:bCs/>
            <w:kern w:val="44"/>
            <w:szCs w:val="30"/>
            <w:lang w:val="en-US" w:eastAsia="zh-CN"/>
          </w:rPr>
          <w:t>宗地图</w:t>
        </w:r>
        <w:r>
          <w:rPr>
            <w:rFonts w:ascii="宋体" w:hAnsi="宋体" w:hint="eastAsia"/>
            <w:bCs/>
            <w:kern w:val="44"/>
            <w:szCs w:val="30"/>
            <w:lang w:val="en-US" w:eastAsia="zh-CN"/>
          </w:rPr>
          <w:t>）</w:t>
        </w:r>
        <w:r>
          <w:tab/>
        </w:r>
        <w:r>
          <w:fldChar w:fldCharType="begin"/>
        </w:r>
        <w:r>
          <w:instrText xml:space="preserve"> PAGEREF _Toc31780 \h </w:instrText>
        </w:r>
        <w:r>
          <w:fldChar w:fldCharType="separate"/>
        </w:r>
        <w:r>
          <w:t>59</w:t>
        </w:r>
        <w:r>
          <w:fldChar w:fldCharType="end"/>
        </w:r>
      </w:hyperlink>
    </w:p>
    <w:p>
      <w:pPr>
        <w:pStyle w:val="TOC1"/>
        <w:tabs>
          <w:tab w:val="clear" w:pos="8302"/>
          <w:tab w:val="right" w:leader="dot" w:pos="8312"/>
        </w:tabs>
      </w:pPr>
      <w:hyperlink w:anchor="_Toc13777" w:history="1">
        <w:r>
          <w:rPr>
            <w:rFonts w:ascii="宋体" w:hAnsi="宋体" w:hint="eastAsia"/>
            <w:szCs w:val="30"/>
          </w:rPr>
          <w:t>附件</w:t>
        </w:r>
        <w:r>
          <w:rPr>
            <w:rFonts w:ascii="宋体" w:hAnsi="宋体" w:hint="eastAsia"/>
            <w:szCs w:val="30"/>
            <w:lang w:val="en-US" w:eastAsia="zh-CN"/>
          </w:rPr>
          <w:t>四 （界址点成果表）</w:t>
        </w:r>
        <w:r>
          <w:tab/>
        </w:r>
        <w:r>
          <w:fldChar w:fldCharType="begin"/>
        </w:r>
        <w:r>
          <w:instrText xml:space="preserve"> PAGEREF _Toc13777 \h </w:instrText>
        </w:r>
        <w:r>
          <w:fldChar w:fldCharType="separate"/>
        </w:r>
        <w:r>
          <w:t>60</w:t>
        </w:r>
        <w:r>
          <w:fldChar w:fldCharType="end"/>
        </w:r>
      </w:hyperlink>
    </w:p>
    <w:p>
      <w:pPr>
        <w:pStyle w:val="TOC1"/>
        <w:tabs>
          <w:tab w:val="clear" w:pos="8302"/>
          <w:tab w:val="right" w:leader="dot" w:pos="8312"/>
        </w:tabs>
      </w:pPr>
      <w:hyperlink w:anchor="_Toc30974" w:history="1">
        <w:r>
          <w:rPr>
            <w:rFonts w:ascii="宋体" w:hAnsi="宋体" w:hint="eastAsia"/>
            <w:szCs w:val="30"/>
          </w:rPr>
          <w:t>附件</w:t>
        </w:r>
        <w:r>
          <w:rPr>
            <w:rFonts w:ascii="宋体" w:hAnsi="宋体" w:hint="eastAsia"/>
            <w:szCs w:val="30"/>
            <w:lang w:val="en-US" w:eastAsia="zh-CN"/>
          </w:rPr>
          <w:t>五</w:t>
        </w:r>
        <w:r>
          <w:rPr>
            <w:rFonts w:ascii="宋体" w:hAnsi="宋体" w:hint="eastAsia"/>
            <w:szCs w:val="30"/>
          </w:rPr>
          <w:t>（法定代表人身份证明）</w:t>
        </w:r>
        <w:r>
          <w:tab/>
        </w:r>
        <w:r>
          <w:fldChar w:fldCharType="begin"/>
        </w:r>
        <w:r>
          <w:instrText xml:space="preserve"> PAGEREF _Toc30974 \h </w:instrText>
        </w:r>
        <w:r>
          <w:fldChar w:fldCharType="separate"/>
        </w:r>
        <w:r>
          <w:t>61</w:t>
        </w:r>
        <w:r>
          <w:fldChar w:fldCharType="end"/>
        </w:r>
      </w:hyperlink>
    </w:p>
    <w:p>
      <w:pPr>
        <w:pStyle w:val="TOC1"/>
        <w:tabs>
          <w:tab w:val="clear" w:pos="8302"/>
          <w:tab w:val="right" w:leader="dot" w:pos="8312"/>
        </w:tabs>
      </w:pPr>
      <w:hyperlink w:anchor="_Toc24714" w:history="1">
        <w:r>
          <w:rPr>
            <w:rFonts w:ascii="宋体" w:eastAsia="宋体" w:hAnsi="宋体" w:cs="Times New Roman" w:hint="eastAsia"/>
            <w:bCs/>
            <w:szCs w:val="30"/>
          </w:rPr>
          <w:t>附件</w:t>
        </w:r>
        <w:r>
          <w:rPr>
            <w:rFonts w:ascii="宋体" w:eastAsia="宋体" w:hAnsi="宋体" w:cs="Times New Roman" w:hint="eastAsia"/>
            <w:bCs/>
            <w:szCs w:val="30"/>
            <w:lang w:val="en-US" w:eastAsia="zh-CN"/>
          </w:rPr>
          <w:t>六</w:t>
        </w:r>
        <w:r>
          <w:rPr>
            <w:rFonts w:ascii="宋体" w:eastAsia="宋体" w:hAnsi="宋体" w:cs="Times New Roman" w:hint="eastAsia"/>
            <w:bCs/>
            <w:szCs w:val="30"/>
          </w:rPr>
          <w:t>（违约缺席定界通知书）</w:t>
        </w:r>
        <w:r>
          <w:tab/>
        </w:r>
        <w:r>
          <w:fldChar w:fldCharType="begin"/>
        </w:r>
        <w:r>
          <w:instrText xml:space="preserve"> PAGEREF _Toc24714 \h </w:instrText>
        </w:r>
        <w:r>
          <w:fldChar w:fldCharType="separate"/>
        </w:r>
        <w:r>
          <w:t>62</w:t>
        </w:r>
        <w:r>
          <w:fldChar w:fldCharType="end"/>
        </w:r>
      </w:hyperlink>
    </w:p>
    <w:p>
      <w:pPr>
        <w:pStyle w:val="TOC1"/>
        <w:tabs>
          <w:tab w:val="clear" w:pos="8302"/>
          <w:tab w:val="right" w:leader="dot" w:pos="8312"/>
        </w:tabs>
      </w:pPr>
      <w:hyperlink w:anchor="_Toc20897" w:history="1">
        <w:r>
          <w:rPr>
            <w:rFonts w:ascii="宋体" w:hAnsi="宋体" w:hint="eastAsia"/>
            <w:bCs/>
            <w:kern w:val="44"/>
            <w:szCs w:val="30"/>
          </w:rPr>
          <w:t>附件</w:t>
        </w:r>
        <w:r>
          <w:rPr>
            <w:rFonts w:ascii="宋体" w:hAnsi="宋体" w:hint="eastAsia"/>
            <w:bCs/>
            <w:kern w:val="44"/>
            <w:szCs w:val="30"/>
            <w:lang w:val="en-US" w:eastAsia="zh-CN"/>
          </w:rPr>
          <w:t>七</w:t>
        </w:r>
        <w:r>
          <w:rPr>
            <w:rFonts w:ascii="宋体" w:hAnsi="宋体" w:hint="eastAsia"/>
            <w:bCs/>
            <w:kern w:val="44"/>
            <w:szCs w:val="30"/>
          </w:rPr>
          <w:t>（</w:t>
        </w:r>
        <w:r>
          <w:rPr>
            <w:rFonts w:ascii="宋体" w:hAnsi="宋体" w:hint="eastAsia"/>
            <w:bCs/>
            <w:kern w:val="44"/>
            <w:szCs w:val="30"/>
            <w:lang w:val="en-US" w:eastAsia="zh-CN"/>
          </w:rPr>
          <w:t>指界委托书</w:t>
        </w:r>
        <w:r>
          <w:rPr>
            <w:rFonts w:ascii="宋体" w:hAnsi="宋体" w:hint="eastAsia"/>
            <w:bCs/>
            <w:kern w:val="44"/>
            <w:szCs w:val="30"/>
          </w:rPr>
          <w:t>）</w:t>
        </w:r>
        <w:r>
          <w:tab/>
        </w:r>
        <w:r>
          <w:fldChar w:fldCharType="begin"/>
        </w:r>
        <w:r>
          <w:instrText xml:space="preserve"> PAGEREF _Toc20897 \h </w:instrText>
        </w:r>
        <w:r>
          <w:fldChar w:fldCharType="separate"/>
        </w:r>
        <w:r>
          <w:t>63</w:t>
        </w:r>
        <w:r>
          <w:fldChar w:fldCharType="end"/>
        </w:r>
      </w:hyperlink>
    </w:p>
    <w:p>
      <w:pPr>
        <w:pStyle w:val="TOC1"/>
        <w:tabs>
          <w:tab w:val="clear" w:pos="8302"/>
          <w:tab w:val="right" w:leader="dot" w:pos="8312"/>
        </w:tabs>
      </w:pPr>
      <w:hyperlink w:anchor="_Toc5725" w:history="1">
        <w:r>
          <w:rPr>
            <w:rFonts w:ascii="宋体" w:hAnsi="宋体" w:hint="eastAsia"/>
            <w:szCs w:val="30"/>
          </w:rPr>
          <w:t>附件</w:t>
        </w:r>
        <w:r>
          <w:rPr>
            <w:rFonts w:ascii="宋体" w:hAnsi="宋体" w:hint="eastAsia"/>
            <w:szCs w:val="30"/>
            <w:lang w:val="en-US" w:eastAsia="zh-CN"/>
          </w:rPr>
          <w:t>八</w:t>
        </w:r>
        <w:r>
          <w:rPr>
            <w:rFonts w:ascii="宋体" w:hAnsi="宋体" w:hint="eastAsia"/>
            <w:szCs w:val="30"/>
          </w:rPr>
          <w:t>（指界通知书）</w:t>
        </w:r>
        <w:r>
          <w:tab/>
        </w:r>
        <w:r>
          <w:fldChar w:fldCharType="begin"/>
        </w:r>
        <w:r>
          <w:instrText xml:space="preserve"> PAGEREF _Toc5725 \h </w:instrText>
        </w:r>
        <w:r>
          <w:fldChar w:fldCharType="separate"/>
        </w:r>
        <w:r>
          <w:t>64</w:t>
        </w:r>
        <w:r>
          <w:fldChar w:fldCharType="end"/>
        </w:r>
      </w:hyperlink>
    </w:p>
    <w:p>
      <w:pPr>
        <w:pStyle w:val="TOC1"/>
        <w:tabs>
          <w:tab w:val="clear" w:pos="8302"/>
          <w:tab w:val="right" w:leader="dot" w:pos="8312"/>
        </w:tabs>
      </w:pPr>
      <w:hyperlink w:anchor="_Toc4753" w:history="1">
        <w:r>
          <w:rPr>
            <w:rFonts w:ascii="宋体" w:hAnsi="宋体" w:hint="eastAsia"/>
            <w:szCs w:val="30"/>
          </w:rPr>
          <w:t>附件</w:t>
        </w:r>
        <w:r>
          <w:rPr>
            <w:rFonts w:ascii="宋体" w:hAnsi="宋体" w:hint="eastAsia"/>
            <w:szCs w:val="30"/>
            <w:lang w:val="en-US" w:eastAsia="zh-CN"/>
          </w:rPr>
          <w:t>九</w:t>
        </w:r>
        <w:r>
          <w:rPr>
            <w:rFonts w:ascii="宋体" w:hAnsi="宋体" w:hint="eastAsia"/>
            <w:szCs w:val="30"/>
          </w:rPr>
          <w:t>（不动产变更登记公告）</w:t>
        </w:r>
        <w:r>
          <w:tab/>
        </w:r>
        <w:r>
          <w:fldChar w:fldCharType="begin"/>
        </w:r>
        <w:r>
          <w:instrText xml:space="preserve"> PAGEREF _Toc4753 \h </w:instrText>
        </w:r>
        <w:r>
          <w:fldChar w:fldCharType="separate"/>
        </w:r>
        <w:r>
          <w:t>65</w:t>
        </w:r>
        <w:r>
          <w:fldChar w:fldCharType="end"/>
        </w:r>
      </w:hyperlink>
    </w:p>
    <w:p>
      <w:pPr>
        <w:pStyle w:val="TOC1"/>
        <w:tabs>
          <w:tab w:val="clear" w:pos="8302"/>
          <w:tab w:val="right" w:leader="dot" w:pos="8312"/>
        </w:tabs>
      </w:pPr>
      <w:hyperlink w:anchor="_Toc18279" w:history="1">
        <w:r>
          <w:rPr>
            <w:rFonts w:ascii="宋体" w:hAnsi="宋体" w:hint="eastAsia"/>
            <w:bCs/>
            <w:kern w:val="44"/>
            <w:szCs w:val="30"/>
          </w:rPr>
          <w:t>附件</w:t>
        </w:r>
        <w:r>
          <w:rPr>
            <w:rFonts w:ascii="宋体" w:hAnsi="宋体" w:hint="eastAsia"/>
            <w:bCs/>
            <w:kern w:val="44"/>
            <w:szCs w:val="30"/>
            <w:lang w:val="en-US" w:eastAsia="zh-CN"/>
          </w:rPr>
          <w:t>十 （</w:t>
        </w:r>
        <w:r>
          <w:rPr>
            <w:rFonts w:ascii="宋体" w:hAnsi="宋体" w:hint="eastAsia"/>
            <w:bCs/>
            <w:kern w:val="44"/>
            <w:szCs w:val="30"/>
          </w:rPr>
          <w:t>新旧宗地号对照表</w:t>
        </w:r>
        <w:r>
          <w:rPr>
            <w:rFonts w:ascii="宋体" w:hAnsi="宋体" w:hint="eastAsia"/>
            <w:bCs/>
            <w:kern w:val="44"/>
            <w:szCs w:val="30"/>
            <w:lang w:val="en-US" w:eastAsia="zh-CN"/>
          </w:rPr>
          <w:t>）</w:t>
        </w:r>
        <w:r>
          <w:tab/>
        </w:r>
        <w:r>
          <w:fldChar w:fldCharType="begin"/>
        </w:r>
        <w:r>
          <w:instrText xml:space="preserve"> PAGEREF _Toc18279 \h </w:instrText>
        </w:r>
        <w:r>
          <w:fldChar w:fldCharType="separate"/>
        </w:r>
        <w:r>
          <w:t>66</w:t>
        </w:r>
        <w:r>
          <w:fldChar w:fldCharType="end"/>
        </w:r>
      </w:hyperlink>
    </w:p>
    <w:p>
      <w:pPr>
        <w:spacing w:line="320" w:lineRule="exact"/>
        <w:jc w:val="center"/>
        <w:rPr>
          <w:rFonts w:ascii="黑体" w:eastAsia="黑体" w:hAnsi="黑体"/>
          <w:b/>
          <w:szCs w:val="21"/>
        </w:rPr>
        <w:sectPr>
          <w:headerReference w:type="default" r:id="rId13"/>
          <w:footerReference w:type="even" r:id="rId14"/>
          <w:footerReference w:type="default" r:id="rId15"/>
          <w:type w:val="nextPage"/>
          <w:pgSz w:w="11906" w:h="16838"/>
          <w:pgMar w:top="1270" w:right="1797" w:bottom="1270" w:left="1797" w:header="851" w:footer="992" w:gutter="0"/>
          <w:pgNumType w:start="4"/>
          <w:cols w:space="708"/>
          <w:titlePg w:val="0"/>
          <w:docGrid w:type="lines" w:linePitch="312"/>
        </w:sectPr>
      </w:pPr>
      <w:r>
        <w:rPr>
          <w:rFonts w:ascii="黑体" w:eastAsia="黑体" w:hAnsi="黑体"/>
          <w:szCs w:val="21"/>
        </w:rPr>
        <w:fldChar w:fldCharType="end"/>
      </w:r>
    </w:p>
    <w:p>
      <w:pPr>
        <w:pStyle w:val="Heading1"/>
        <w:spacing w:before="120" w:after="120" w:line="360" w:lineRule="auto"/>
        <w:rPr>
          <w:rFonts w:ascii="宋体" w:hAnsi="宋体"/>
          <w:sz w:val="30"/>
          <w:szCs w:val="30"/>
        </w:rPr>
      </w:pPr>
      <w:bookmarkStart w:id="3" w:name="_Toc19826"/>
      <w:r>
        <w:rPr>
          <w:rFonts w:ascii="宋体" w:hAnsi="宋体" w:hint="eastAsia"/>
          <w:sz w:val="30"/>
          <w:szCs w:val="30"/>
        </w:rPr>
        <w:t>一、</w:t>
      </w:r>
      <w:r>
        <w:rPr>
          <w:rFonts w:ascii="宋体" w:hAnsi="宋体" w:cs="宋体" w:hint="eastAsia"/>
          <w:kern w:val="0"/>
          <w:sz w:val="30"/>
          <w:szCs w:val="30"/>
        </w:rPr>
        <w:t>任务概述</w:t>
      </w:r>
      <w:bookmarkEnd w:id="3"/>
    </w:p>
    <w:p>
      <w:pPr>
        <w:pStyle w:val="Heading2"/>
        <w:spacing w:before="0" w:after="0"/>
        <w:rPr>
          <w:rFonts w:hint="eastAsia"/>
          <w:sz w:val="28"/>
          <w:szCs w:val="28"/>
        </w:rPr>
      </w:pPr>
      <w:bookmarkStart w:id="4" w:name="_Toc3945"/>
      <w:r>
        <w:rPr>
          <w:rFonts w:hint="eastAsia"/>
          <w:sz w:val="28"/>
          <w:szCs w:val="28"/>
        </w:rPr>
        <w:t>（一）任务来源</w:t>
      </w:r>
      <w:bookmarkEnd w:id="4"/>
    </w:p>
    <w:p>
      <w:pPr>
        <w:spacing w:line="360" w:lineRule="auto"/>
        <w:ind w:firstLine="561"/>
        <w:rPr>
          <w:rFonts w:eastAsia="仿宋_GB2312" w:hint="eastAsia"/>
          <w:color w:val="000000"/>
          <w:sz w:val="28"/>
          <w:szCs w:val="28"/>
        </w:rPr>
      </w:pPr>
      <w:r>
        <w:rPr>
          <w:rFonts w:eastAsia="仿宋_GB2312" w:hint="eastAsia"/>
          <w:color w:val="000000"/>
          <w:sz w:val="28"/>
          <w:szCs w:val="28"/>
        </w:rPr>
        <w:t>为依法维护农民土地权益，更新完善集体土地所有权确权登记成果，规范土地征收，支撑集体经营性建设用地入市、自然资源统一确权登记等改革工作，深化改革客观需求。根据《自然资源部关于加快完成集体土地所有权确权登记成果更新汇交的通知》（自然资发〔2022〕19号）、《福建省自然资源厅关于印发加快完成集体土地所有权确权登记成果建库更新汇交工作实施方案的通知》（闽自然资发〔2022〕32号）文件要求，大田县决定在本辖区范围内，以县为单位，开展现有集体土地所有权确权登记成果整理入库、集中更新和统一汇交工作。于2023年底前将入库且更新后的集体土地所有权建库成果汇交到自然资源部。按照《不动产登记数据库标准》《集体土地所有权确权登记成果更新汇交技术指南》等技术规范要求，整理现有集体土地所有权确权登记成果，纳入不动产登记数据库，对集体土地所有权有关情况发生变化的，通过不动产登记系统办理登记、更新成果，保持成果现势性，完成数据汇交。健全成果应用机制，充分发挥集体土地所有权确权登记成果在自然资源管理相关业务中的基础作用。</w:t>
      </w:r>
    </w:p>
    <w:p>
      <w:pPr>
        <w:spacing w:line="360" w:lineRule="auto"/>
        <w:ind w:firstLine="561"/>
        <w:rPr>
          <w:rFonts w:eastAsia="仿宋_GB2312" w:hint="eastAsia"/>
          <w:color w:val="000000"/>
          <w:sz w:val="28"/>
          <w:szCs w:val="28"/>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1"/>
          <w:cols w:space="708"/>
          <w:docGrid w:type="lines" w:linePitch="312" w:charSpace="0"/>
        </w:sectPr>
      </w:pPr>
      <w:r>
        <w:rPr>
          <w:rFonts w:eastAsia="仿宋_GB2312" w:hint="eastAsia"/>
          <w:color w:val="000000"/>
          <w:sz w:val="28"/>
          <w:szCs w:val="28"/>
        </w:rPr>
        <w:t>2022年6月30日，三明市大田县自然资源局通过政府采购招投标形式确定伟志股份公司为大田县集体土地所有权确权登记成果更新汇交项目的技术服务单位</w:t>
      </w:r>
      <w:r>
        <w:rPr>
          <w:rFonts w:eastAsia="仿宋_GB2312" w:hint="eastAsia"/>
          <w:color w:val="000000"/>
          <w:sz w:val="28"/>
          <w:szCs w:val="28"/>
          <w:lang w:eastAsia="zh-CN"/>
        </w:rPr>
        <w:t>，</w:t>
      </w:r>
      <w:r>
        <w:rPr>
          <w:rFonts w:eastAsia="仿宋_GB2312" w:hint="eastAsia"/>
          <w:color w:val="000000"/>
          <w:sz w:val="28"/>
          <w:szCs w:val="28"/>
          <w:lang w:val="en-US" w:eastAsia="zh-CN"/>
        </w:rPr>
        <w:t>公司</w:t>
      </w:r>
      <w:r>
        <w:rPr>
          <w:rFonts w:eastAsia="仿宋_GB2312" w:hint="eastAsia"/>
          <w:color w:val="000000"/>
          <w:sz w:val="28"/>
          <w:szCs w:val="28"/>
        </w:rPr>
        <w:t>现根据国家和省有关技术规程、规定、规范，结合本县实际情况，编写本技术设计书</w:t>
      </w:r>
      <w:r>
        <w:rPr>
          <w:rFonts w:eastAsia="仿宋_GB2312" w:hint="eastAsia"/>
          <w:color w:val="000000"/>
          <w:sz w:val="28"/>
          <w:szCs w:val="28"/>
          <w:lang w:eastAsia="zh-CN"/>
        </w:rPr>
        <w:t>。</w:t>
      </w:r>
    </w:p>
    <w:p>
      <w:pPr>
        <w:pStyle w:val="Heading2"/>
        <w:spacing w:before="0" w:after="0"/>
        <w:rPr>
          <w:rFonts w:hint="eastAsia"/>
          <w:sz w:val="28"/>
          <w:szCs w:val="28"/>
        </w:rPr>
      </w:pPr>
      <w:bookmarkStart w:id="5" w:name="_Toc327198124"/>
      <w:bookmarkStart w:id="6" w:name="_Toc2321"/>
      <w:r>
        <w:rPr>
          <w:rFonts w:hint="eastAsia"/>
          <w:sz w:val="28"/>
          <w:szCs w:val="28"/>
        </w:rPr>
        <w:t>（二）</w:t>
      </w:r>
      <w:bookmarkEnd w:id="5"/>
      <w:r>
        <w:rPr>
          <w:rFonts w:hint="eastAsia"/>
          <w:sz w:val="28"/>
          <w:szCs w:val="28"/>
        </w:rPr>
        <w:t>工作区域地理位置和自然经济状况</w:t>
      </w:r>
      <w:bookmarkEnd w:id="6"/>
    </w:p>
    <w:p>
      <w:pPr>
        <w:spacing w:line="360" w:lineRule="auto"/>
        <w:ind w:firstLine="561"/>
        <w:rPr>
          <w:rFonts w:eastAsia="仿宋_GB2312" w:hint="eastAsia"/>
          <w:color w:val="000000"/>
          <w:sz w:val="28"/>
          <w:szCs w:val="28"/>
        </w:rPr>
      </w:pPr>
      <w:r>
        <w:rPr>
          <w:rFonts w:eastAsia="仿宋_GB2312" w:hint="eastAsia"/>
          <w:color w:val="000000"/>
          <w:sz w:val="28"/>
          <w:szCs w:val="28"/>
        </w:rPr>
        <w:t>大田县位于福建省中部，界于东经</w:t>
      </w:r>
      <w:r>
        <w:rPr>
          <w:rFonts w:eastAsia="仿宋_GB2312"/>
          <w:color w:val="000000"/>
          <w:sz w:val="28"/>
          <w:szCs w:val="28"/>
        </w:rPr>
        <w:t>117°29′-118°03′，北纬25°29′-26°10′之间。东邻德化，南和永春、漳平接壤，西与永安、三明交界，北与沙县、尤溪毗邻，东西宽57公里，南北长75公里，总面积</w:t>
      </w:r>
      <w:r>
        <w:rPr>
          <w:rFonts w:eastAsia="仿宋_GB2312" w:hint="eastAsia"/>
          <w:color w:val="000000"/>
          <w:sz w:val="28"/>
          <w:szCs w:val="28"/>
          <w:lang w:val="en-US" w:eastAsia="zh-CN"/>
        </w:rPr>
        <w:t>2233.13</w:t>
      </w:r>
      <w:r>
        <w:rPr>
          <w:rFonts w:eastAsia="仿宋_GB2312"/>
          <w:color w:val="000000"/>
          <w:sz w:val="28"/>
          <w:szCs w:val="28"/>
        </w:rPr>
        <w:t>平方公里。</w:t>
      </w:r>
    </w:p>
    <w:p>
      <w:pPr>
        <w:spacing w:line="360" w:lineRule="auto"/>
        <w:ind w:firstLine="561"/>
        <w:rPr>
          <w:rFonts w:eastAsia="仿宋_GB2312"/>
          <w:color w:val="000000"/>
          <w:sz w:val="28"/>
          <w:szCs w:val="28"/>
        </w:rPr>
      </w:pPr>
      <w:r>
        <w:rPr>
          <w:rFonts w:eastAsia="仿宋_GB2312" w:hint="eastAsia"/>
          <w:color w:val="000000"/>
          <w:sz w:val="28"/>
          <w:szCs w:val="28"/>
        </w:rPr>
        <w:t>大田县地处戴云山西侧，境内地势自西南向东北倾斜，群山连绵，峰峦叠嶂，山高谷深，构成了以中、低山为主体的地貌类型。其中低山面积最大，占全县总面积</w:t>
      </w:r>
      <w:r>
        <w:rPr>
          <w:rFonts w:eastAsia="仿宋_GB2312"/>
          <w:color w:val="000000"/>
          <w:sz w:val="28"/>
          <w:szCs w:val="28"/>
        </w:rPr>
        <w:t>44.19%；中山面积占全县35.18%，低丘占4.13%，高丘占3.72%；山间盆谷占9%；河谷平原占3.6%。主要河流有均溪、文江溪和桃源溪，除桃源溪属九龙江水系外，其他均属闽江水系。由于地貌的影响，气候类型复杂多样，农业气候属于中亚热带季风气候，年均气温15.3-19.6℃，年均降水量1461.7-1809.6毫米，雨热同期，立体气候明显。农业生产以种植水稻、大豆、甘薯等粮食作物为主，经济作物有苎麻、烟叶、柑桔、茶叶等。</w:t>
      </w:r>
    </w:p>
    <w:p>
      <w:pPr>
        <w:spacing w:line="360" w:lineRule="auto"/>
        <w:ind w:firstLine="561"/>
        <w:rPr>
          <w:rFonts w:eastAsia="仿宋_GB2312"/>
          <w:color w:val="000000"/>
          <w:sz w:val="28"/>
          <w:szCs w:val="28"/>
        </w:rPr>
      </w:pPr>
      <w:r>
        <w:rPr>
          <w:rFonts w:eastAsia="仿宋_GB2312" w:hint="eastAsia"/>
          <w:color w:val="000000"/>
          <w:sz w:val="28"/>
          <w:szCs w:val="28"/>
        </w:rPr>
        <w:t>大田县是闽江、九龙江、晋江三大水系支流的发源地。境内有均溪河、文江等大的河流经过，大型水库有</w:t>
      </w:r>
      <w:r>
        <w:rPr>
          <w:rFonts w:ascii="仿宋_GB2312" w:eastAsia="仿宋_GB2312" w:hAnsi="宋体" w:cs="宋体" w:hint="eastAsia"/>
          <w:kern w:val="0"/>
          <w:sz w:val="28"/>
          <w:szCs w:val="28"/>
        </w:rPr>
        <w:t>街面水库、六角宫水库、坑口水库</w:t>
      </w:r>
      <w:r>
        <w:rPr>
          <w:rFonts w:eastAsia="仿宋_GB2312" w:hint="eastAsia"/>
          <w:color w:val="000000"/>
          <w:sz w:val="28"/>
          <w:szCs w:val="28"/>
        </w:rPr>
        <w:t>等。县域内山地多，河谷深，落差大，源短流急，河网密度大，多年平均水资源量为</w:t>
      </w:r>
      <w:r>
        <w:rPr>
          <w:rFonts w:eastAsia="仿宋_GB2312"/>
          <w:color w:val="000000"/>
          <w:sz w:val="28"/>
          <w:szCs w:val="28"/>
        </w:rPr>
        <w:t>19.835亿m</w:t>
      </w:r>
      <w:r>
        <w:rPr>
          <w:rFonts w:eastAsia="仿宋_GB2312"/>
          <w:color w:val="000000"/>
          <w:sz w:val="28"/>
          <w:szCs w:val="28"/>
          <w:vertAlign w:val="superscript"/>
        </w:rPr>
        <w:t>3</w:t>
      </w:r>
      <w:r>
        <w:rPr>
          <w:rFonts w:eastAsia="仿宋_GB2312"/>
          <w:color w:val="000000"/>
          <w:sz w:val="28"/>
          <w:szCs w:val="28"/>
        </w:rPr>
        <w:t>，水能资源理论蕴藏量为20.67万Kw。大田县被誉为</w:t>
      </w:r>
      <w:r>
        <w:rPr>
          <w:rFonts w:eastAsia="仿宋_GB2312" w:hint="eastAsia"/>
          <w:color w:val="000000"/>
          <w:sz w:val="28"/>
          <w:szCs w:val="28"/>
        </w:rPr>
        <w:t>“</w:t>
      </w:r>
      <w:r>
        <w:rPr>
          <w:rFonts w:eastAsia="仿宋_GB2312"/>
          <w:color w:val="000000"/>
          <w:sz w:val="28"/>
          <w:szCs w:val="28"/>
        </w:rPr>
        <w:t>闽中宝库</w:t>
      </w:r>
      <w:r>
        <w:rPr>
          <w:rFonts w:eastAsia="仿宋_GB2312" w:hint="eastAsia"/>
          <w:color w:val="000000"/>
          <w:sz w:val="28"/>
          <w:szCs w:val="28"/>
        </w:rPr>
        <w:t>”</w:t>
      </w:r>
      <w:r>
        <w:rPr>
          <w:rFonts w:eastAsia="仿宋_GB2312"/>
          <w:color w:val="000000"/>
          <w:sz w:val="28"/>
          <w:szCs w:val="28"/>
        </w:rPr>
        <w:t>，是福建省煤、铁、硫、多金属矿和石灰石的主要矿县和矿产地，同时也是全国首批100个重点产煤县之一。丰富的矿产资源是大田县最大的自然资源优势，开发潜力很大。</w:t>
      </w:r>
    </w:p>
    <w:p>
      <w:pPr>
        <w:spacing w:line="360" w:lineRule="auto"/>
        <w:ind w:firstLine="561"/>
        <w:rPr>
          <w:rFonts w:ascii="Times New Roman" w:eastAsia="仿宋_GB2312" w:hAnsi="Times New Roman" w:cs="Times New Roman" w:hint="eastAsia"/>
          <w:color w:val="000000"/>
          <w:sz w:val="28"/>
          <w:szCs w:val="28"/>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2"/>
          <w:cols w:space="708"/>
          <w:titlePg w:val="0"/>
          <w:docGrid w:type="lines" w:linePitch="312" w:charSpace="0"/>
        </w:sectPr>
      </w:pPr>
      <w:r>
        <w:rPr>
          <w:rFonts w:ascii="Times New Roman" w:eastAsia="仿宋_GB2312" w:hAnsi="Times New Roman" w:cs="Times New Roman" w:hint="eastAsia"/>
          <w:color w:val="000000"/>
          <w:sz w:val="28"/>
          <w:szCs w:val="28"/>
          <w:lang w:val="en-US" w:eastAsia="zh-CN"/>
        </w:rPr>
        <w:t>国土面</w:t>
      </w:r>
      <w:r>
        <w:rPr>
          <w:rFonts w:ascii="Times New Roman" w:eastAsia="仿宋_GB2312" w:hAnsi="Times New Roman" w:cs="Times New Roman" w:hint="eastAsia"/>
          <w:color w:val="000000"/>
          <w:sz w:val="28"/>
          <w:szCs w:val="28"/>
          <w:lang w:val="en-US" w:eastAsia="zh-CN"/>
        </w:rPr>
        <w:t>积2233.13平方公里，</w:t>
      </w:r>
    </w:p>
    <w:p>
      <w:pPr>
        <w:spacing w:line="360" w:lineRule="auto"/>
        <w:ind w:firstLine="561"/>
        <w:rPr>
          <w:rFonts w:ascii="Times New Roman" w:eastAsia="仿宋_GB2312" w:hAnsi="Times New Roman" w:cs="Times New Roman" w:hint="eastAsia"/>
          <w:color w:val="000000"/>
          <w:sz w:val="28"/>
          <w:szCs w:val="28"/>
        </w:rPr>
      </w:pPr>
      <w:r>
        <w:rPr>
          <w:rFonts w:ascii="Times New Roman" w:eastAsia="仿宋_GB2312" w:hAnsi="Times New Roman" w:cs="Times New Roman" w:hint="eastAsia"/>
          <w:color w:val="000000"/>
          <w:sz w:val="28"/>
          <w:szCs w:val="28"/>
          <w:lang w:val="en-US" w:eastAsia="zh-CN"/>
        </w:rPr>
        <w:t>占福建省的1.89%，占三明市的9.91%。全县设12个镇、6个乡、267个行政村。汉族占绝大多数，有回、满、畲等13个少数民族，闽南方言大田话。</w:t>
      </w:r>
    </w:p>
    <w:p>
      <w:pPr>
        <w:spacing w:line="360" w:lineRule="auto"/>
        <w:ind w:firstLine="561"/>
        <w:rPr>
          <w:rFonts w:ascii="仿宋_GB2312" w:eastAsia="仿宋_GB2312" w:hAnsi="宋体" w:hint="eastAsia"/>
          <w:color w:val="000000"/>
          <w:sz w:val="28"/>
          <w:szCs w:val="28"/>
        </w:rPr>
      </w:pPr>
      <w:r>
        <w:rPr>
          <w:rFonts w:ascii="仿宋_GB2312" w:eastAsia="仿宋_GB2312" w:hAnsi="宋体" w:hint="eastAsia"/>
          <w:color w:val="000000"/>
          <w:sz w:val="28"/>
          <w:szCs w:val="28"/>
        </w:rPr>
        <w:t>全</w:t>
      </w:r>
      <w:r>
        <w:rPr>
          <w:rFonts w:ascii="仿宋_GB2312" w:eastAsia="仿宋_GB2312" w:hAnsi="宋体" w:hint="eastAsia"/>
          <w:color w:val="000000"/>
          <w:sz w:val="28"/>
          <w:szCs w:val="28"/>
          <w:lang w:val="en-US" w:eastAsia="zh-CN"/>
        </w:rPr>
        <w:t>县</w:t>
      </w:r>
      <w:r>
        <w:rPr>
          <w:rFonts w:ascii="仿宋_GB2312" w:eastAsia="仿宋_GB2312" w:hAnsi="宋体" w:hint="eastAsia"/>
          <w:color w:val="000000"/>
          <w:sz w:val="28"/>
          <w:szCs w:val="28"/>
        </w:rPr>
        <w:t>各个乡镇村民委员会情况如下表：</w:t>
      </w:r>
    </w:p>
    <w:tbl>
      <w:tblPr>
        <w:tblStyle w:val="TableNormal"/>
        <w:tblW w:w="9331" w:type="dxa"/>
        <w:jc w:val="center"/>
        <w:tblInd w:w="-4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062"/>
        <w:gridCol w:w="1280"/>
        <w:gridCol w:w="6989"/>
      </w:tblGrid>
      <w:tr>
        <w:tblPrEx>
          <w:tblW w:w="9331" w:type="dxa"/>
          <w:jc w:val="center"/>
          <w:tblInd w:w="-4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442"/>
          <w:tblHeader/>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乡镇街道</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行政村数</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村，委会</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广平镇</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15</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万宅村，铭溪村，东景村，五峰村，元沙村，万筹村，栋仁村，兴埔村，广平村，丰庄村，苏桥村，西园村，龙宫村，岬头村，大吉村</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湖美乡</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17</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西燕村，高才村，湖上村，大尤村，岬才村，汉口村，后平村，旺建村，新厝村，元安村，林兜村，仁东村，前进村，后坑村，长坂村，仁美村，宏才村</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华兴镇</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10</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张墘村，杞溪村，柯坑村，昆山村，仙峰村，早兴村，京口村，洪坑村，横坑村，华安村</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济阳乡</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12</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砚坑村，国庆村，德仁村，三扎村，济中村，大儒村，高升村，芳林村，大墘村，泮林村，上丰村，济阳村</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建设镇</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12</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元山村，建爱村，建强村，建民村，建丰村，建设村，建国村，大同村，建忠村，建乐村，香浮村，和平村</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均溪镇</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22</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金山村，华坑村，福塘村，郭村，村，翰林村，周田村，良元村，许思坑村，东坑村，上华村，后华村，上太村，金岭村，建成村，大道山村，宋京村，温镇村，和丰村，太山崎村，红星村，玉田村，和丰坪村</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梅山镇</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22</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新楼村，郭井村，沈口村，盖竹村，长坑村，雄峰村，卓坑里村，高泉村，长津村，黎坑村，秀岭村，璞溪村，龙口村，岭后村，梅山村，沧州村，西书村，香坪村，沈岭村，德州村，西坑村，金阳村</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屏山乡</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13</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内洋村，和坑村，美阳村，内山村，屏山村，蒋山村，瑞美村，许坑村，溪头村，芹阳村，王坪村，玉屏村，杨梅村</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奇韬镇</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12</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洋地村，龙坪村，龙溪村，金华村，奇韬村，东佳村，桃东村，桃舟村，丁华村，西韬村，文经村，永德村</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前坪乡</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11</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山川村，黎明村，上地村，湖坪村，下坑村，福井村，黄龙村，下地村，北坑村，前坪村，吉坑村</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上京镇</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16</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上京村，三阳村，上平村，下溪口村，延京村，南坑村，隆美村，黄城村，桂坑村，溪口村，梅林村，城口村，丰田村，溪尾村，赤水村，灵川村</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石牌镇</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16</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老厝村，鳌江村，马山村，小湖村，桃山村，京程村，石牌村，盖山村，三坊村，上坡村，拱桥村，长溪村，下洋村，石坑村，桃坑村，龙坑村</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太华镇</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24</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玉井村，高星村，太华村，魁城村，张地村，甲魁村，罗丰村，德安村，锦溪村，坑头村，小华村，温坑村，菖坑村，泮车村，华溪村，万湖村，池元村，大合村，群团村，仕坑村，西埔村，汤泉村，黄沙村，华山村</w:t>
            </w:r>
          </w:p>
        </w:tc>
      </w:tr>
    </w:tbl>
    <w:p>
      <w:p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3"/>
          <w:cols w:space="708"/>
          <w:titlePg w:val="0"/>
          <w:docGrid w:type="lines" w:linePitch="312" w:charSpace="0"/>
        </w:sectPr>
      </w:pPr>
    </w:p>
    <w:tbl>
      <w:tblPr>
        <w:tblStyle w:val="TableNormal"/>
        <w:tblW w:w="9331" w:type="dxa"/>
        <w:jc w:val="center"/>
        <w:tblInd w:w="-4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062"/>
        <w:gridCol w:w="1280"/>
        <w:gridCol w:w="6989"/>
      </w:tblGrid>
      <w:tr>
        <w:tblPrEx>
          <w:tblW w:w="9331" w:type="dxa"/>
          <w:jc w:val="center"/>
          <w:tblInd w:w="-4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桃源镇</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14</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翁厝村，前厝村，东风农场桃源村，杨坑村，兰玉村，西安村，桥山村，上举村，东坂村，前村，村，广汤村，桃新村，赤头坂林业采育场</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文江镇</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20</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光明村，小芹村，联盟村，大文村，小文村，花桥村，文江村，大中村，民主村，典坑村，朱坂村，白沙村，桥下村，龙门村，山芹村，琼口村，大安村，后洋村，温厝村，昭文村</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吴山镇</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9</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和洋村，东埔村，锦山村，程堂村，科山村，梓溪村，张坑村，吴山村，阳春村</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武陵乡</w:t>
            </w:r>
          </w:p>
        </w:tc>
        <w:tc>
          <w:tcPr>
            <w:tcW w:w="128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10</w:t>
            </w:r>
          </w:p>
        </w:tc>
        <w:tc>
          <w:tcPr>
            <w:tcW w:w="698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上岩村，红君村，茶山村，大石村，桃溪村，武陵村，百束村，岬坪村，仕洋村，大石农场</w:t>
            </w:r>
          </w:p>
        </w:tc>
      </w:tr>
      <w:tr>
        <w:tblPrEx>
          <w:tblW w:w="9331" w:type="dxa"/>
          <w:jc w:val="center"/>
          <w:tblInd w:w="-404" w:type="dxa"/>
          <w:tblCellMar>
            <w:top w:w="0" w:type="dxa"/>
            <w:left w:w="108" w:type="dxa"/>
            <w:bottom w:w="0" w:type="dxa"/>
            <w:right w:w="108" w:type="dxa"/>
          </w:tblCellMar>
          <w:tblLook w:val="0000"/>
        </w:tblPrEx>
        <w:trPr>
          <w:trHeight w:val="800"/>
          <w:jc w:val="center"/>
        </w:trPr>
        <w:tc>
          <w:tcPr>
            <w:tcW w:w="1062" w:type="dxa"/>
            <w:tcBorders>
              <w:top w:val="single" w:sz="4" w:space="0" w:color="000000"/>
              <w:left w:val="single" w:sz="4" w:space="0" w:color="000000"/>
              <w:bottom w:val="single" w:sz="4" w:space="0" w:color="auto"/>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谢洋乡</w:t>
            </w:r>
          </w:p>
        </w:tc>
        <w:tc>
          <w:tcPr>
            <w:tcW w:w="1280" w:type="dxa"/>
            <w:tcBorders>
              <w:top w:val="single" w:sz="4" w:space="0" w:color="000000"/>
              <w:left w:val="single" w:sz="4" w:space="0" w:color="000000"/>
              <w:bottom w:val="single" w:sz="4" w:space="0" w:color="auto"/>
              <w:right w:val="single" w:sz="4" w:space="0" w:color="000000"/>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12</w:t>
            </w:r>
          </w:p>
        </w:tc>
        <w:tc>
          <w:tcPr>
            <w:tcW w:w="6989" w:type="dxa"/>
            <w:tcBorders>
              <w:top w:val="single" w:sz="4" w:space="0" w:color="000000"/>
              <w:left w:val="single" w:sz="4" w:space="0" w:color="000000"/>
              <w:bottom w:val="single" w:sz="4" w:space="0" w:color="auto"/>
              <w:right w:val="single" w:sz="4" w:space="0" w:color="000000"/>
            </w:tcBorders>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坑口村，碧山村，谢洋村，珍山村，怀德村，草垄崎村，上珍村，蕉坂村，科里村，仕福村，三角尾村，和春村</w:t>
            </w:r>
          </w:p>
        </w:tc>
      </w:tr>
      <w:tr>
        <w:tblPrEx>
          <w:tblW w:w="9331" w:type="dxa"/>
          <w:jc w:val="center"/>
          <w:tblInd w:w="-404" w:type="dxa"/>
          <w:tblCellMar>
            <w:top w:w="0" w:type="dxa"/>
            <w:left w:w="108" w:type="dxa"/>
            <w:bottom w:w="0" w:type="dxa"/>
            <w:right w:w="108" w:type="dxa"/>
          </w:tblCellMar>
          <w:tblLook w:val="0000"/>
        </w:tblPrEx>
        <w:trPr>
          <w:trHeight w:val="380"/>
          <w:jc w:val="center"/>
        </w:trPr>
        <w:tc>
          <w:tcPr>
            <w:tcW w:w="1062" w:type="dxa"/>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小计</w:t>
            </w:r>
          </w:p>
        </w:tc>
        <w:tc>
          <w:tcPr>
            <w:tcW w:w="1280" w:type="dxa"/>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Arial" w:hAnsi="Arial" w:cs="Arial" w:hint="default"/>
                <w:i w:val="0"/>
                <w:iCs w:val="0"/>
                <w:color w:val="000000"/>
                <w:sz w:val="20"/>
                <w:szCs w:val="20"/>
                <w:u w:val="none"/>
              </w:rPr>
            </w:pPr>
            <w:r>
              <w:rPr>
                <w:rFonts w:ascii="Arial" w:eastAsia="宋体" w:hAnsi="Arial" w:cs="Arial" w:hint="default"/>
                <w:i w:val="0"/>
                <w:iCs w:val="0"/>
                <w:color w:val="000000"/>
                <w:kern w:val="0"/>
                <w:sz w:val="20"/>
                <w:szCs w:val="20"/>
                <w:u w:val="none"/>
                <w:lang w:val="en-US" w:eastAsia="zh-CN" w:bidi="ar"/>
              </w:rPr>
              <w:t>267</w:t>
            </w:r>
          </w:p>
        </w:tc>
        <w:tc>
          <w:tcPr>
            <w:tcW w:w="6989" w:type="dxa"/>
            <w:tcBorders>
              <w:top w:val="single" w:sz="4" w:space="0" w:color="auto"/>
              <w:left w:val="single" w:sz="4" w:space="0" w:color="auto"/>
              <w:bottom w:val="single" w:sz="4" w:space="0" w:color="auto"/>
              <w:right w:val="single" w:sz="4" w:space="0" w:color="auto"/>
            </w:tcBorders>
            <w:vAlign w:val="center"/>
          </w:tcPr>
          <w:p>
            <w:pPr>
              <w:jc w:val="center"/>
              <w:rPr>
                <w:rFonts w:ascii="Arial" w:hAnsi="Arial" w:cs="Arial" w:hint="default"/>
                <w:i w:val="0"/>
                <w:iCs w:val="0"/>
                <w:color w:val="000000"/>
                <w:sz w:val="20"/>
                <w:szCs w:val="20"/>
                <w:u w:val="none"/>
              </w:rPr>
            </w:pPr>
          </w:p>
        </w:tc>
      </w:tr>
    </w:tbl>
    <w:p>
      <w:pPr>
        <w:spacing w:line="360" w:lineRule="auto"/>
        <w:rPr>
          <w:rFonts w:ascii="Times New Roman" w:eastAsia="仿宋_GB2312" w:hAnsi="Times New Roman" w:cs="Times New Roman" w:hint="eastAsia"/>
          <w:color w:val="000000"/>
          <w:sz w:val="28"/>
          <w:szCs w:val="28"/>
        </w:rPr>
      </w:pPr>
    </w:p>
    <w:p>
      <w:pPr>
        <w:spacing w:line="360" w:lineRule="auto"/>
        <w:outlineLvl w:val="1"/>
        <w:rPr>
          <w:rFonts w:ascii="宋体" w:hAnsi="宋体" w:cs="宋体" w:hint="eastAsia"/>
          <w:b/>
          <w:caps/>
          <w:spacing w:val="10"/>
          <w:kern w:val="0"/>
          <w:sz w:val="28"/>
          <w:szCs w:val="28"/>
        </w:rPr>
      </w:pPr>
      <w:bookmarkStart w:id="7" w:name="_Toc333146406"/>
      <w:bookmarkStart w:id="8" w:name="_Toc18849"/>
      <w:r>
        <w:rPr>
          <w:rFonts w:ascii="宋体" w:hAnsi="宋体" w:cs="宋体" w:hint="eastAsia"/>
          <w:b/>
          <w:caps/>
          <w:spacing w:val="10"/>
          <w:kern w:val="0"/>
          <w:sz w:val="28"/>
          <w:szCs w:val="28"/>
        </w:rPr>
        <w:t>（三）上一轮登记发证成果概况</w:t>
      </w:r>
      <w:bookmarkEnd w:id="7"/>
      <w:bookmarkEnd w:id="8"/>
    </w:p>
    <w:p>
      <w:pPr>
        <w:spacing w:line="360" w:lineRule="auto"/>
        <w:ind w:firstLine="561"/>
        <w:rPr>
          <w:rFonts w:eastAsia="仿宋_GB2312" w:hint="eastAsia"/>
          <w:color w:val="000000"/>
          <w:sz w:val="28"/>
          <w:szCs w:val="28"/>
          <w:highlight w:val="none"/>
        </w:rPr>
      </w:pPr>
      <w:r>
        <w:rPr>
          <w:rFonts w:eastAsia="仿宋_GB2312" w:hint="eastAsia"/>
          <w:color w:val="000000"/>
          <w:sz w:val="28"/>
          <w:szCs w:val="28"/>
          <w:highlight w:val="none"/>
        </w:rPr>
        <w:t>大田县上一轮村级集体土地所有权登记发证从2003年开始，2007年底基本结束，历时五年，共发证2160本。全县发证面积198942.4公顷，发证覆盖率约为89.07%。上轮登记发证调查工作底图采用第一次详查土地利用现状图，比例尺为1</w:t>
      </w:r>
      <w:r>
        <w:rPr>
          <w:rFonts w:eastAsia="仿宋_GB2312" w:hint="eastAsia"/>
          <w:color w:val="000000"/>
          <w:sz w:val="28"/>
          <w:szCs w:val="28"/>
          <w:highlight w:val="none"/>
          <w:lang w:eastAsia="zh-CN"/>
        </w:rPr>
        <w:t>：</w:t>
      </w:r>
      <w:r>
        <w:rPr>
          <w:rFonts w:eastAsia="仿宋_GB2312" w:hint="eastAsia"/>
          <w:color w:val="000000"/>
          <w:sz w:val="28"/>
          <w:szCs w:val="28"/>
          <w:highlight w:val="none"/>
        </w:rPr>
        <w:t>10000，登记发证工作由国土资源部门</w:t>
      </w:r>
      <w:r>
        <w:rPr>
          <w:rFonts w:eastAsia="仿宋_GB2312" w:hint="eastAsia"/>
          <w:color w:val="000000"/>
          <w:sz w:val="28"/>
          <w:szCs w:val="28"/>
          <w:highlight w:val="none"/>
          <w:lang w:val="en-US" w:eastAsia="zh-CN"/>
        </w:rPr>
        <w:t>组织和</w:t>
      </w:r>
      <w:r>
        <w:rPr>
          <w:rFonts w:eastAsia="仿宋_GB2312" w:hint="eastAsia"/>
          <w:color w:val="000000"/>
          <w:sz w:val="28"/>
          <w:szCs w:val="28"/>
          <w:highlight w:val="none"/>
        </w:rPr>
        <w:t>承担。</w:t>
      </w:r>
    </w:p>
    <w:p>
      <w:pPr>
        <w:spacing w:line="360" w:lineRule="auto"/>
        <w:ind w:firstLine="561"/>
        <w:rPr>
          <w:rFonts w:eastAsia="仿宋_GB2312" w:hint="eastAsia"/>
          <w:highlight w:val="yellow"/>
        </w:rPr>
      </w:pPr>
      <w:r>
        <w:rPr>
          <w:rFonts w:eastAsia="仿宋_GB2312" w:hint="eastAsia"/>
          <w:color w:val="000000"/>
          <w:sz w:val="28"/>
          <w:szCs w:val="28"/>
          <w:highlight w:val="none"/>
          <w:lang w:val="en-US" w:eastAsia="zh-CN"/>
        </w:rPr>
        <w:t>2012</w:t>
      </w:r>
      <w:r>
        <w:rPr>
          <w:rFonts w:eastAsia="仿宋_GB2312" w:hint="eastAsia"/>
          <w:color w:val="000000"/>
          <w:sz w:val="28"/>
          <w:szCs w:val="28"/>
          <w:highlight w:val="none"/>
        </w:rPr>
        <w:t>年大田县</w:t>
      </w:r>
      <w:r>
        <w:rPr>
          <w:rFonts w:eastAsia="仿宋_GB2312" w:hint="eastAsia"/>
          <w:color w:val="000000"/>
          <w:sz w:val="28"/>
          <w:szCs w:val="28"/>
          <w:highlight w:val="none"/>
          <w:lang w:val="en-US" w:eastAsia="zh-CN"/>
        </w:rPr>
        <w:t>对</w:t>
      </w:r>
      <w:r>
        <w:rPr>
          <w:rFonts w:eastAsia="仿宋_GB2312" w:hint="eastAsia"/>
          <w:color w:val="000000"/>
          <w:sz w:val="28"/>
          <w:szCs w:val="28"/>
          <w:highlight w:val="none"/>
        </w:rPr>
        <w:t>农村集体土地登记发证总体情况</w:t>
      </w:r>
      <w:r>
        <w:rPr>
          <w:rFonts w:eastAsia="仿宋_GB2312" w:hint="eastAsia"/>
          <w:color w:val="000000"/>
          <w:sz w:val="28"/>
          <w:szCs w:val="28"/>
          <w:highlight w:val="none"/>
          <w:lang w:val="en-US" w:eastAsia="zh-CN"/>
        </w:rPr>
        <w:t>进行了纸质资料的收集、更新和补充，使</w:t>
      </w:r>
      <w:r>
        <w:rPr>
          <w:rFonts w:eastAsia="仿宋_GB2312" w:hint="eastAsia"/>
          <w:color w:val="000000"/>
          <w:sz w:val="28"/>
          <w:szCs w:val="28"/>
          <w:highlight w:val="none"/>
        </w:rPr>
        <w:t>原登记成果比较完善，材料齐全</w:t>
      </w:r>
      <w:r>
        <w:rPr>
          <w:rFonts w:eastAsia="仿宋_GB2312" w:hint="eastAsia"/>
          <w:color w:val="000000"/>
          <w:sz w:val="28"/>
          <w:szCs w:val="28"/>
          <w:highlight w:val="none"/>
          <w:lang w:eastAsia="zh-CN"/>
        </w:rPr>
        <w:t>。</w:t>
      </w:r>
    </w:p>
    <w:p>
      <w:pPr>
        <w:pStyle w:val="Heading2"/>
        <w:rPr>
          <w:rFonts w:hint="eastAsia"/>
          <w:sz w:val="28"/>
          <w:szCs w:val="28"/>
        </w:rPr>
      </w:pPr>
      <w:bookmarkStart w:id="9" w:name="_Toc327198125"/>
      <w:bookmarkStart w:id="10" w:name="_Toc31434"/>
      <w:r>
        <w:rPr>
          <w:rFonts w:hint="eastAsia"/>
          <w:sz w:val="28"/>
          <w:szCs w:val="28"/>
        </w:rPr>
        <w:t>（四）</w:t>
      </w:r>
      <w:bookmarkEnd w:id="9"/>
      <w:r>
        <w:rPr>
          <w:rFonts w:hint="eastAsia"/>
          <w:sz w:val="28"/>
          <w:szCs w:val="28"/>
        </w:rPr>
        <w:t>工作内容及有关要求</w:t>
      </w:r>
      <w:bookmarkEnd w:id="10"/>
    </w:p>
    <w:p>
      <w:pPr>
        <w:spacing w:line="360" w:lineRule="auto"/>
        <w:ind w:firstLine="560" w:firstLineChars="200"/>
        <w:rPr>
          <w:rFonts w:eastAsia="仿宋_GB2312" w:hint="eastAsia"/>
          <w:color w:val="000000"/>
          <w:sz w:val="28"/>
          <w:szCs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4"/>
          <w:cols w:space="708"/>
          <w:titlePg w:val="0"/>
          <w:docGrid w:type="lines" w:linePitch="312" w:charSpace="0"/>
        </w:sectPr>
      </w:pPr>
      <w:r>
        <w:rPr>
          <w:rFonts w:eastAsia="仿宋_GB2312" w:hint="eastAsia"/>
          <w:color w:val="000000"/>
          <w:sz w:val="28"/>
          <w:szCs w:val="28"/>
        </w:rPr>
        <w:t>按照部、省和市部署要求，以县级为单位，开展现有集体土地所有权确权登记成果整理入库、集中更新、入省级地籍数据库，并于</w:t>
      </w:r>
      <w:r>
        <w:rPr>
          <w:rFonts w:eastAsia="仿宋_GB2312" w:hint="eastAsia"/>
          <w:color w:val="000000"/>
          <w:sz w:val="28"/>
          <w:szCs w:val="28"/>
          <w:highlight w:val="none"/>
        </w:rPr>
        <w:t>2023年</w:t>
      </w:r>
      <w:r>
        <w:rPr>
          <w:rFonts w:eastAsia="仿宋_GB2312" w:hint="eastAsia"/>
          <w:color w:val="000000"/>
          <w:sz w:val="28"/>
          <w:szCs w:val="28"/>
          <w:highlight w:val="none"/>
          <w:lang w:val="en-US" w:eastAsia="zh-CN"/>
        </w:rPr>
        <w:t>12</w:t>
      </w:r>
      <w:r>
        <w:rPr>
          <w:rFonts w:eastAsia="仿宋_GB2312" w:hint="eastAsia"/>
          <w:color w:val="000000"/>
          <w:sz w:val="28"/>
          <w:szCs w:val="28"/>
          <w:highlight w:val="none"/>
        </w:rPr>
        <w:t>月底前</w:t>
      </w:r>
      <w:r>
        <w:rPr>
          <w:rFonts w:eastAsia="仿宋_GB2312" w:hint="eastAsia"/>
          <w:color w:val="000000"/>
          <w:sz w:val="28"/>
          <w:szCs w:val="28"/>
        </w:rPr>
        <w:t>完成</w:t>
      </w:r>
      <w:r>
        <w:rPr>
          <w:rFonts w:eastAsia="仿宋_GB2312" w:hint="eastAsia"/>
          <w:color w:val="000000"/>
          <w:sz w:val="28"/>
          <w:szCs w:val="28"/>
          <w:lang w:val="en-US" w:eastAsia="zh-CN"/>
        </w:rPr>
        <w:t>更新的</w:t>
      </w:r>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rPr>
        <w:t>成果汇交；同步完善不动产登记系统功能模块，建立集体土地所有权日常登记制度，做好登记成果日常更新工作，保持成果现势性；健全成果应用机制，充分发挥集体土地所有权确权登记成果在自然资源管理相关业务中的基础性作用。</w:t>
      </w:r>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rPr>
        <w:t>主要任务包括：</w:t>
      </w:r>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lang w:val="en-US" w:eastAsia="zh-CN"/>
        </w:rPr>
        <w:t>1、</w:t>
      </w:r>
      <w:r>
        <w:rPr>
          <w:rFonts w:eastAsia="仿宋_GB2312" w:hint="eastAsia"/>
          <w:color w:val="000000"/>
          <w:sz w:val="28"/>
          <w:szCs w:val="28"/>
        </w:rPr>
        <w:t>大田县</w:t>
      </w:r>
      <w:r>
        <w:rPr>
          <w:rFonts w:eastAsia="仿宋_GB2312" w:hint="eastAsia"/>
          <w:color w:val="000000"/>
          <w:sz w:val="28"/>
          <w:szCs w:val="28"/>
          <w:lang w:val="en-US" w:eastAsia="zh-CN"/>
        </w:rPr>
        <w:t>预估</w:t>
      </w:r>
      <w:r>
        <w:rPr>
          <w:rFonts w:eastAsia="仿宋_GB2312" w:hint="eastAsia"/>
          <w:color w:val="000000"/>
          <w:sz w:val="28"/>
          <w:szCs w:val="28"/>
          <w:highlight w:val="none"/>
        </w:rPr>
        <w:t>现有3050宗</w:t>
      </w:r>
      <w:r>
        <w:rPr>
          <w:rFonts w:eastAsia="仿宋_GB2312" w:hint="eastAsia"/>
          <w:color w:val="000000"/>
          <w:sz w:val="28"/>
          <w:szCs w:val="28"/>
        </w:rPr>
        <w:t>集体土地所有权确权登记成果需要进行数据整合，建立集体土地所有权宗不动产地籍数据库；</w:t>
      </w:r>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lang w:val="en-US" w:eastAsia="zh-CN"/>
        </w:rPr>
        <w:t>2、</w:t>
      </w:r>
      <w:r>
        <w:rPr>
          <w:rFonts w:eastAsia="仿宋_GB2312" w:hint="eastAsia"/>
          <w:color w:val="000000"/>
          <w:sz w:val="28"/>
          <w:szCs w:val="28"/>
        </w:rPr>
        <w:t>对</w:t>
      </w:r>
      <w:r>
        <w:rPr>
          <w:rFonts w:eastAsia="仿宋_GB2312" w:hint="eastAsia"/>
          <w:color w:val="000000"/>
          <w:sz w:val="28"/>
          <w:szCs w:val="28"/>
          <w:lang w:val="en-US" w:eastAsia="zh-CN"/>
        </w:rPr>
        <w:t>预估</w:t>
      </w:r>
      <w:r>
        <w:rPr>
          <w:rFonts w:eastAsia="仿宋_GB2312" w:hint="eastAsia"/>
          <w:color w:val="000000"/>
          <w:sz w:val="28"/>
          <w:szCs w:val="28"/>
        </w:rPr>
        <w:t>已经发生变化</w:t>
      </w:r>
      <w:r>
        <w:rPr>
          <w:rFonts w:eastAsia="仿宋_GB2312" w:hint="eastAsia"/>
          <w:color w:val="000000"/>
          <w:sz w:val="28"/>
          <w:szCs w:val="28"/>
          <w:highlight w:val="none"/>
        </w:rPr>
        <w:t>的1357宗</w:t>
      </w:r>
      <w:r>
        <w:rPr>
          <w:rFonts w:eastAsia="仿宋_GB2312" w:hint="eastAsia"/>
          <w:color w:val="000000"/>
          <w:sz w:val="28"/>
          <w:szCs w:val="28"/>
        </w:rPr>
        <w:t>集体土地所有权宗地，收集相关资料，处理</w:t>
      </w:r>
      <w:r>
        <w:rPr>
          <w:rFonts w:eastAsia="仿宋_GB2312" w:hint="eastAsia"/>
          <w:color w:val="000000"/>
          <w:sz w:val="28"/>
          <w:szCs w:val="28"/>
          <w:lang w:eastAsia="zh-CN"/>
        </w:rPr>
        <w:t>外业数据，确定</w:t>
      </w:r>
      <w:r>
        <w:rPr>
          <w:rFonts w:eastAsia="仿宋_GB2312" w:hint="eastAsia"/>
          <w:color w:val="000000"/>
          <w:sz w:val="28"/>
          <w:szCs w:val="28"/>
        </w:rPr>
        <w:t>权属界线、</w:t>
      </w:r>
      <w:r>
        <w:rPr>
          <w:rFonts w:eastAsia="仿宋_GB2312" w:hint="eastAsia"/>
          <w:color w:val="000000"/>
          <w:sz w:val="28"/>
          <w:szCs w:val="28"/>
          <w:lang w:eastAsia="zh-CN"/>
        </w:rPr>
        <w:t>进行</w:t>
      </w:r>
      <w:r>
        <w:rPr>
          <w:rFonts w:eastAsia="仿宋_GB2312" w:hint="eastAsia"/>
          <w:color w:val="000000"/>
          <w:sz w:val="28"/>
          <w:szCs w:val="28"/>
        </w:rPr>
        <w:t>不动产地籍调查、</w:t>
      </w:r>
      <w:r>
        <w:rPr>
          <w:rFonts w:eastAsia="仿宋_GB2312" w:hint="eastAsia"/>
          <w:color w:val="000000"/>
          <w:sz w:val="28"/>
          <w:szCs w:val="28"/>
          <w:lang w:eastAsia="zh-CN"/>
        </w:rPr>
        <w:t>绘制</w:t>
      </w:r>
      <w:r>
        <w:rPr>
          <w:rFonts w:eastAsia="仿宋_GB2312" w:hint="eastAsia"/>
          <w:color w:val="000000"/>
          <w:sz w:val="28"/>
          <w:szCs w:val="28"/>
        </w:rPr>
        <w:t>宗地图等，开展集中更新数据、录入不动产那登记数据库和不动产地籍数据库，办理相关登记；</w:t>
      </w:r>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lang w:val="en-US" w:eastAsia="zh-CN"/>
        </w:rPr>
        <w:t>3、</w:t>
      </w:r>
      <w:r>
        <w:rPr>
          <w:rFonts w:eastAsia="仿宋_GB2312" w:hint="eastAsia"/>
          <w:color w:val="000000"/>
          <w:sz w:val="28"/>
          <w:szCs w:val="28"/>
        </w:rPr>
        <w:t>完成集体土地所有权确权登记成果建库更新后，以县为单位导出数据，采用自然资源部汇交质检软件自查后，离线汇交至省自然资源厅；</w:t>
      </w:r>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lang w:val="en-US" w:eastAsia="zh-CN"/>
        </w:rPr>
        <w:t>4、</w:t>
      </w:r>
      <w:r>
        <w:rPr>
          <w:rFonts w:eastAsia="仿宋_GB2312" w:hint="eastAsia"/>
          <w:color w:val="000000"/>
          <w:sz w:val="28"/>
          <w:szCs w:val="28"/>
        </w:rPr>
        <w:t>提交相关技术文档成果。</w:t>
      </w:r>
    </w:p>
    <w:p>
      <w:pPr>
        <w:pStyle w:val="Heading1"/>
        <w:spacing w:before="120" w:after="120" w:line="540" w:lineRule="exact"/>
        <w:rPr>
          <w:rFonts w:ascii="宋体" w:hAnsi="宋体" w:cs="宋体" w:hint="eastAsia"/>
          <w:kern w:val="0"/>
          <w:sz w:val="30"/>
          <w:szCs w:val="30"/>
        </w:rPr>
      </w:pPr>
      <w:bookmarkStart w:id="11" w:name="_Toc23672"/>
      <w:r>
        <w:rPr>
          <w:rFonts w:ascii="宋体" w:hAnsi="宋体" w:cs="宋体" w:hint="eastAsia"/>
          <w:kern w:val="0"/>
          <w:sz w:val="30"/>
          <w:szCs w:val="30"/>
        </w:rPr>
        <w:t>二、已有资料分析及利用</w:t>
      </w:r>
      <w:bookmarkEnd w:id="11"/>
    </w:p>
    <w:p>
      <w:pPr>
        <w:spacing w:line="360" w:lineRule="auto"/>
        <w:ind w:firstLine="560" w:firstLineChars="200"/>
        <w:rPr>
          <w:rFonts w:ascii="Times New Roman" w:eastAsia="仿宋_GB2312" w:hAnsi="Times New Roman" w:cs="Times New Roman" w:hint="eastAsia"/>
          <w:color w:val="000000"/>
          <w:sz w:val="28"/>
          <w:szCs w:val="28"/>
        </w:rPr>
      </w:pPr>
      <w:r>
        <w:rPr>
          <w:rFonts w:ascii="Times New Roman" w:eastAsia="仿宋_GB2312" w:hAnsi="Times New Roman" w:cs="Times New Roman" w:hint="eastAsia"/>
          <w:color w:val="000000"/>
          <w:sz w:val="28"/>
          <w:szCs w:val="28"/>
        </w:rPr>
        <w:t>全面收集电子数据和纸质资料，内容包括但不限于：</w:t>
      </w:r>
    </w:p>
    <w:p>
      <w:pPr>
        <w:spacing w:line="360" w:lineRule="auto"/>
        <w:ind w:firstLine="560" w:firstLineChars="200"/>
        <w:rPr>
          <w:rFonts w:ascii="Times New Roman" w:eastAsia="仿宋_GB2312" w:hAnsi="Times New Roman" w:cs="Times New Roman" w:hint="eastAsia"/>
          <w:color w:val="000000"/>
          <w:sz w:val="28"/>
          <w:szCs w:val="28"/>
        </w:rPr>
      </w:pPr>
      <w:r>
        <w:rPr>
          <w:rFonts w:ascii="Times New Roman" w:eastAsia="仿宋_GB2312" w:hAnsi="Times New Roman" w:cs="Times New Roman" w:hint="eastAsia"/>
          <w:color w:val="000000"/>
          <w:sz w:val="28"/>
          <w:szCs w:val="28"/>
        </w:rPr>
        <w:t>1</w:t>
      </w:r>
      <w:r>
        <w:rPr>
          <w:rFonts w:ascii="Times New Roman" w:eastAsia="仿宋_GB2312" w:hAnsi="Times New Roman" w:cs="Times New Roman" w:hint="eastAsia"/>
          <w:color w:val="000000"/>
          <w:sz w:val="28"/>
          <w:szCs w:val="28"/>
          <w:lang w:eastAsia="zh-CN"/>
        </w:rPr>
        <w:t>、</w:t>
      </w:r>
      <w:r>
        <w:rPr>
          <w:rFonts w:ascii="Times New Roman" w:eastAsia="仿宋_GB2312" w:hAnsi="Times New Roman" w:cs="Times New Roman" w:hint="eastAsia"/>
          <w:color w:val="000000"/>
          <w:sz w:val="28"/>
          <w:szCs w:val="28"/>
        </w:rPr>
        <w:t>集体土地所有权确权登记成果。</w:t>
      </w:r>
    </w:p>
    <w:p>
      <w:pPr>
        <w:spacing w:line="360" w:lineRule="auto"/>
        <w:ind w:firstLine="560" w:firstLineChars="200"/>
        <w:rPr>
          <w:rFonts w:ascii="Times New Roman" w:eastAsia="仿宋_GB2312" w:hAnsi="Times New Roman" w:cs="Times New Roman" w:hint="eastAsia"/>
          <w:color w:val="000000"/>
          <w:sz w:val="28"/>
          <w:szCs w:val="28"/>
        </w:rPr>
      </w:pPr>
      <w:r>
        <w:rPr>
          <w:rFonts w:ascii="Times New Roman" w:eastAsia="仿宋_GB2312" w:hAnsi="Times New Roman" w:cs="Times New Roman" w:hint="eastAsia"/>
          <w:color w:val="000000"/>
          <w:sz w:val="28"/>
          <w:szCs w:val="28"/>
        </w:rPr>
        <w:t>2</w:t>
      </w:r>
      <w:r>
        <w:rPr>
          <w:rFonts w:ascii="Times New Roman" w:eastAsia="仿宋_GB2312" w:hAnsi="Times New Roman" w:cs="Times New Roman" w:hint="eastAsia"/>
          <w:color w:val="000000"/>
          <w:sz w:val="28"/>
          <w:szCs w:val="28"/>
          <w:lang w:eastAsia="zh-CN"/>
        </w:rPr>
        <w:t>、</w:t>
      </w:r>
      <w:r>
        <w:rPr>
          <w:rFonts w:ascii="Times New Roman" w:eastAsia="仿宋_GB2312" w:hAnsi="Times New Roman" w:cs="Times New Roman" w:hint="eastAsia"/>
          <w:color w:val="000000"/>
          <w:sz w:val="28"/>
          <w:szCs w:val="28"/>
        </w:rPr>
        <w:t>土地征收批准文件。</w:t>
      </w:r>
    </w:p>
    <w:p>
      <w:pPr>
        <w:spacing w:line="360" w:lineRule="auto"/>
        <w:ind w:firstLine="560" w:firstLineChars="200"/>
        <w:rPr>
          <w:rFonts w:ascii="Times New Roman" w:eastAsia="仿宋_GB2312" w:hAnsi="Times New Roman" w:cs="Times New Roman" w:hint="eastAsia"/>
          <w:color w:val="000000"/>
          <w:sz w:val="28"/>
          <w:szCs w:val="28"/>
        </w:rPr>
      </w:pPr>
      <w:r>
        <w:rPr>
          <w:rFonts w:ascii="Times New Roman" w:eastAsia="仿宋_GB2312" w:hAnsi="Times New Roman" w:cs="Times New Roman" w:hint="eastAsia"/>
          <w:color w:val="000000"/>
          <w:sz w:val="28"/>
          <w:szCs w:val="28"/>
        </w:rPr>
        <w:t>3</w:t>
      </w:r>
      <w:r>
        <w:rPr>
          <w:rFonts w:ascii="Times New Roman" w:eastAsia="仿宋_GB2312" w:hAnsi="Times New Roman" w:cs="Times New Roman" w:hint="eastAsia"/>
          <w:color w:val="000000"/>
          <w:sz w:val="28"/>
          <w:szCs w:val="28"/>
          <w:lang w:eastAsia="zh-CN"/>
        </w:rPr>
        <w:t>、</w:t>
      </w:r>
      <w:r>
        <w:rPr>
          <w:rFonts w:ascii="Times New Roman" w:eastAsia="仿宋_GB2312" w:hAnsi="Times New Roman" w:cs="Times New Roman" w:hint="eastAsia"/>
          <w:color w:val="000000"/>
          <w:sz w:val="28"/>
          <w:szCs w:val="28"/>
        </w:rPr>
        <w:t>互换土地的协议或土地调整文件、本集体经济组织成员的村民会议三分之二以上成员或者三分之二以上村民代表同意的材料、有关批准文件及不动产权属证书。</w:t>
      </w:r>
    </w:p>
    <w:p>
      <w:pPr>
        <w:spacing w:line="360" w:lineRule="auto"/>
        <w:ind w:firstLine="560" w:firstLineChars="200"/>
        <w:rPr>
          <w:rFonts w:ascii="Times New Roman" w:eastAsia="仿宋_GB2312" w:hAnsi="Times New Roman" w:cs="Times New Roman" w:hint="eastAsia"/>
          <w:color w:val="000000"/>
          <w:sz w:val="28"/>
          <w:szCs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5"/>
          <w:cols w:space="708"/>
          <w:titlePg w:val="0"/>
          <w:docGrid w:type="lines" w:linePitch="312" w:charSpace="0"/>
        </w:sectPr>
      </w:pPr>
      <w:r>
        <w:rPr>
          <w:rFonts w:ascii="Times New Roman" w:eastAsia="仿宋_GB2312" w:hAnsi="Times New Roman" w:cs="Times New Roman" w:hint="eastAsia"/>
          <w:color w:val="000000"/>
          <w:sz w:val="28"/>
          <w:szCs w:val="28"/>
        </w:rPr>
        <w:t>4</w:t>
      </w:r>
      <w:r>
        <w:rPr>
          <w:rFonts w:ascii="Times New Roman" w:eastAsia="仿宋_GB2312" w:hAnsi="Times New Roman" w:cs="Times New Roman" w:hint="eastAsia"/>
          <w:color w:val="000000"/>
          <w:sz w:val="28"/>
          <w:szCs w:val="28"/>
          <w:lang w:eastAsia="zh-CN"/>
        </w:rPr>
        <w:t>、</w:t>
      </w:r>
      <w:r>
        <w:rPr>
          <w:rFonts w:ascii="Times New Roman" w:eastAsia="仿宋_GB2312" w:hAnsi="Times New Roman" w:cs="Times New Roman" w:hint="eastAsia"/>
          <w:color w:val="000000"/>
          <w:sz w:val="28"/>
          <w:szCs w:val="28"/>
        </w:rPr>
        <w:t>农民集体合并或撤销、行政区划调整等导致集体土地所有权、农民集体名称或代码发生变化的相关材料。</w:t>
      </w:r>
    </w:p>
    <w:p>
      <w:pPr>
        <w:spacing w:line="360" w:lineRule="auto"/>
        <w:ind w:firstLine="560" w:firstLineChars="200"/>
        <w:rPr>
          <w:rFonts w:ascii="Times New Roman" w:eastAsia="仿宋_GB2312" w:hAnsi="Times New Roman" w:cs="Times New Roman" w:hint="eastAsia"/>
          <w:color w:val="000000"/>
          <w:sz w:val="28"/>
          <w:szCs w:val="28"/>
        </w:rPr>
      </w:pPr>
      <w:r>
        <w:rPr>
          <w:rFonts w:ascii="Times New Roman" w:eastAsia="仿宋_GB2312" w:hAnsi="Times New Roman" w:cs="Times New Roman" w:hint="eastAsia"/>
          <w:color w:val="000000"/>
          <w:sz w:val="28"/>
          <w:szCs w:val="28"/>
        </w:rPr>
        <w:t>5</w:t>
      </w:r>
      <w:r>
        <w:rPr>
          <w:rFonts w:ascii="Times New Roman" w:eastAsia="仿宋_GB2312" w:hAnsi="Times New Roman" w:cs="Times New Roman" w:hint="eastAsia"/>
          <w:color w:val="000000"/>
          <w:sz w:val="28"/>
          <w:szCs w:val="28"/>
          <w:lang w:eastAsia="zh-CN"/>
        </w:rPr>
        <w:t>、</w:t>
      </w:r>
      <w:r>
        <w:rPr>
          <w:rFonts w:ascii="Times New Roman" w:eastAsia="仿宋_GB2312" w:hAnsi="Times New Roman" w:cs="Times New Roman" w:hint="eastAsia"/>
          <w:color w:val="000000"/>
          <w:sz w:val="28"/>
          <w:szCs w:val="28"/>
        </w:rPr>
        <w:t>土地权属争议调解书。</w:t>
      </w:r>
    </w:p>
    <w:p>
      <w:pPr>
        <w:spacing w:line="360" w:lineRule="auto"/>
        <w:ind w:firstLine="560" w:firstLineChars="200"/>
        <w:rPr>
          <w:rFonts w:ascii="Times New Roman" w:eastAsia="仿宋_GB2312" w:hAnsi="Times New Roman" w:cs="Times New Roman" w:hint="eastAsia"/>
          <w:color w:val="000000"/>
          <w:sz w:val="28"/>
          <w:szCs w:val="28"/>
        </w:rPr>
      </w:pPr>
      <w:r>
        <w:rPr>
          <w:rFonts w:ascii="Times New Roman" w:eastAsia="仿宋_GB2312" w:hAnsi="Times New Roman" w:cs="Times New Roman" w:hint="eastAsia"/>
          <w:color w:val="000000"/>
          <w:sz w:val="28"/>
          <w:szCs w:val="28"/>
        </w:rPr>
        <w:t>6</w:t>
      </w:r>
      <w:r>
        <w:rPr>
          <w:rFonts w:ascii="Times New Roman" w:eastAsia="仿宋_GB2312" w:hAnsi="Times New Roman" w:cs="Times New Roman" w:hint="eastAsia"/>
          <w:color w:val="000000"/>
          <w:sz w:val="28"/>
          <w:szCs w:val="28"/>
          <w:lang w:eastAsia="zh-CN"/>
        </w:rPr>
        <w:t>、</w:t>
      </w:r>
      <w:r>
        <w:rPr>
          <w:rFonts w:ascii="Times New Roman" w:eastAsia="仿宋_GB2312" w:hAnsi="Times New Roman" w:cs="Times New Roman" w:hint="eastAsia"/>
          <w:color w:val="000000"/>
          <w:sz w:val="28"/>
          <w:szCs w:val="28"/>
        </w:rPr>
        <w:t>最新行政区划数据、高分辨率正射遥感影像图等。</w:t>
      </w:r>
    </w:p>
    <w:p>
      <w:pPr>
        <w:spacing w:line="360" w:lineRule="auto"/>
        <w:ind w:firstLine="560" w:firstLineChars="200"/>
        <w:rPr>
          <w:rFonts w:ascii="Times New Roman" w:eastAsia="仿宋_GB2312" w:hAnsi="Times New Roman" w:cs="Times New Roman" w:hint="eastAsia"/>
          <w:color w:val="000000"/>
          <w:sz w:val="28"/>
          <w:szCs w:val="28"/>
        </w:rPr>
      </w:pPr>
      <w:r>
        <w:rPr>
          <w:rFonts w:ascii="Times New Roman" w:eastAsia="仿宋_GB2312" w:hAnsi="Times New Roman" w:cs="Times New Roman" w:hint="eastAsia"/>
          <w:color w:val="000000"/>
          <w:sz w:val="28"/>
          <w:szCs w:val="28"/>
        </w:rPr>
        <w:t>7</w:t>
      </w:r>
      <w:r>
        <w:rPr>
          <w:rFonts w:ascii="Times New Roman" w:eastAsia="仿宋_GB2312" w:hAnsi="Times New Roman" w:cs="Times New Roman" w:hint="eastAsia"/>
          <w:color w:val="000000"/>
          <w:sz w:val="28"/>
          <w:szCs w:val="28"/>
          <w:lang w:eastAsia="zh-CN"/>
        </w:rPr>
        <w:t>、</w:t>
      </w:r>
      <w:r>
        <w:rPr>
          <w:rFonts w:ascii="Times New Roman" w:eastAsia="仿宋_GB2312" w:hAnsi="Times New Roman" w:cs="Times New Roman" w:hint="eastAsia"/>
          <w:color w:val="000000"/>
          <w:sz w:val="28"/>
          <w:szCs w:val="28"/>
        </w:rPr>
        <w:t>历年自然资源统一确权登记成果资料和其他国有土地。</w:t>
      </w:r>
    </w:p>
    <w:p>
      <w:pPr>
        <w:pStyle w:val="Heading2"/>
        <w:rPr>
          <w:rFonts w:hint="eastAsia"/>
          <w:sz w:val="28"/>
          <w:szCs w:val="28"/>
        </w:rPr>
      </w:pPr>
      <w:bookmarkStart w:id="12" w:name="_Toc12002"/>
      <w:r>
        <w:rPr>
          <w:rFonts w:hint="eastAsia"/>
          <w:sz w:val="28"/>
          <w:szCs w:val="28"/>
        </w:rPr>
        <w:t>（一）已有图件资料的情况分析</w:t>
      </w:r>
      <w:bookmarkEnd w:id="12"/>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lang w:val="en-US" w:eastAsia="zh-CN"/>
        </w:rPr>
        <w:t>1、</w:t>
      </w:r>
      <w:r>
        <w:rPr>
          <w:rFonts w:eastAsia="仿宋_GB2312" w:hint="eastAsia"/>
          <w:color w:val="000000"/>
          <w:sz w:val="28"/>
          <w:szCs w:val="28"/>
        </w:rPr>
        <w:t>大田县</w:t>
      </w:r>
      <w:r>
        <w:rPr>
          <w:rFonts w:eastAsia="仿宋_GB2312" w:hint="eastAsia"/>
          <w:color w:val="000000"/>
          <w:sz w:val="28"/>
          <w:szCs w:val="28"/>
          <w:lang w:val="en-US" w:eastAsia="zh-CN"/>
        </w:rPr>
        <w:t>自然</w:t>
      </w:r>
      <w:r>
        <w:rPr>
          <w:rFonts w:eastAsia="仿宋_GB2312" w:hint="eastAsia"/>
          <w:color w:val="000000"/>
          <w:sz w:val="28"/>
          <w:szCs w:val="28"/>
        </w:rPr>
        <w:t>资源局提供</w:t>
      </w:r>
      <w:r>
        <w:rPr>
          <w:rFonts w:eastAsia="仿宋_GB2312" w:hint="eastAsia"/>
          <w:color w:val="000000"/>
          <w:sz w:val="28"/>
          <w:szCs w:val="28"/>
          <w:lang w:val="en-US" w:eastAsia="zh-CN"/>
        </w:rPr>
        <w:t>的</w:t>
      </w:r>
      <w:r>
        <w:rPr>
          <w:rFonts w:eastAsia="仿宋_GB2312" w:hint="eastAsia"/>
          <w:color w:val="000000"/>
          <w:sz w:val="28"/>
          <w:szCs w:val="28"/>
        </w:rPr>
        <w:t>缩编地形图，与</w:t>
      </w:r>
      <w:r>
        <w:rPr>
          <w:rFonts w:eastAsia="仿宋_GB2312" w:hint="eastAsia"/>
          <w:color w:val="000000"/>
          <w:sz w:val="28"/>
          <w:szCs w:val="28"/>
          <w:lang w:val="en-US" w:eastAsia="zh-CN"/>
        </w:rPr>
        <w:t>三</w:t>
      </w:r>
      <w:r>
        <w:rPr>
          <w:rFonts w:eastAsia="仿宋_GB2312" w:hint="eastAsia"/>
          <w:color w:val="000000"/>
          <w:sz w:val="28"/>
          <w:szCs w:val="28"/>
        </w:rPr>
        <w:t>调数据库土地利用地类数据和现状地形地貌有效的结合。</w:t>
      </w:r>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lang w:val="en-US" w:eastAsia="zh-CN"/>
        </w:rPr>
        <w:t>2、</w:t>
      </w:r>
      <w:r>
        <w:rPr>
          <w:rFonts w:eastAsia="仿宋_GB2312" w:hint="eastAsia"/>
          <w:color w:val="000000"/>
          <w:sz w:val="28"/>
          <w:szCs w:val="28"/>
        </w:rPr>
        <w:t>大田县各个时期的遥感影像图精度不同、清晰度各异。历年大田县卫星遥感影像图真实直观地反映本地每年土地利用的动态变化。</w:t>
      </w:r>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lang w:val="en-US" w:eastAsia="zh-CN"/>
        </w:rPr>
        <w:t>3、</w:t>
      </w:r>
      <w:r>
        <w:rPr>
          <w:rFonts w:eastAsia="仿宋_GB2312" w:hint="eastAsia"/>
          <w:color w:val="000000"/>
          <w:sz w:val="28"/>
          <w:szCs w:val="28"/>
        </w:rPr>
        <w:t>大田县第</w:t>
      </w:r>
      <w:r>
        <w:rPr>
          <w:rFonts w:eastAsia="仿宋_GB2312" w:hint="eastAsia"/>
          <w:color w:val="000000"/>
          <w:sz w:val="28"/>
          <w:szCs w:val="28"/>
          <w:lang w:val="en-US" w:eastAsia="zh-CN"/>
        </w:rPr>
        <w:t>三</w:t>
      </w:r>
      <w:r>
        <w:rPr>
          <w:rFonts w:eastAsia="仿宋_GB2312" w:hint="eastAsia"/>
          <w:color w:val="000000"/>
          <w:sz w:val="28"/>
          <w:szCs w:val="28"/>
        </w:rPr>
        <w:t>次土地调查变更后土地利用现状图：该现状图从更新调查成果到历年年度变更，现实性强，地类变化基本符合实际情况，作为宗地底图能够与今后用地审批有较好的衔接。</w:t>
      </w:r>
    </w:p>
    <w:p>
      <w:pPr>
        <w:pStyle w:val="Heading2"/>
        <w:rPr>
          <w:rFonts w:hint="eastAsia"/>
          <w:sz w:val="28"/>
          <w:szCs w:val="28"/>
        </w:rPr>
      </w:pPr>
      <w:bookmarkStart w:id="13" w:name="_Toc3189"/>
      <w:r>
        <w:rPr>
          <w:rFonts w:hint="eastAsia"/>
          <w:sz w:val="28"/>
          <w:szCs w:val="28"/>
        </w:rPr>
        <w:t>（二）已有权属资料情况分析</w:t>
      </w:r>
      <w:bookmarkEnd w:id="13"/>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lang w:val="en-US" w:eastAsia="zh-CN"/>
        </w:rPr>
        <w:t>1、</w:t>
      </w:r>
      <w:r>
        <w:rPr>
          <w:rFonts w:eastAsia="仿宋_GB2312" w:hint="eastAsia"/>
          <w:color w:val="000000"/>
          <w:sz w:val="28"/>
          <w:szCs w:val="28"/>
        </w:rPr>
        <w:t>林权证、林斑图、土地承包证记载的权属界线是确定土地权属界线的重要依据，确权时可以直接采用，林权证上只有林木所有权或林木经营权的则不在登记之列。</w:t>
      </w:r>
    </w:p>
    <w:p>
      <w:pPr>
        <w:pStyle w:val="BodyText"/>
        <w:ind w:firstLine="560" w:firstLineChars="200"/>
        <w:rPr>
          <w:rFonts w:ascii="仿宋_GB2312" w:eastAsia="仿宋_GB2312" w:hAnsi="宋体" w:cs="宋体" w:hint="eastAsia"/>
          <w:color w:val="000000"/>
          <w:kern w:val="0"/>
          <w:sz w:val="28"/>
          <w:szCs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6"/>
          <w:cols w:space="708"/>
          <w:titlePg w:val="0"/>
          <w:docGrid w:type="lines" w:linePitch="312" w:charSpace="0"/>
        </w:sectPr>
      </w:pPr>
      <w:r>
        <w:rPr>
          <w:rFonts w:ascii="仿宋_GB2312" w:eastAsia="仿宋_GB2312" w:hAnsi="宋体" w:cs="宋体" w:hint="eastAsia"/>
          <w:color w:val="000000"/>
          <w:kern w:val="0"/>
          <w:sz w:val="28"/>
          <w:szCs w:val="28"/>
          <w:lang w:val="en-US" w:eastAsia="zh-CN"/>
        </w:rPr>
        <w:t>2、三调</w:t>
      </w:r>
      <w:r>
        <w:rPr>
          <w:rFonts w:ascii="仿宋_GB2312" w:eastAsia="仿宋_GB2312" w:hAnsi="宋体" w:cs="宋体" w:hint="eastAsia"/>
          <w:color w:val="000000"/>
          <w:kern w:val="0"/>
          <w:sz w:val="28"/>
          <w:szCs w:val="28"/>
        </w:rPr>
        <w:t>权属协议书等资料：大田县原</w:t>
      </w:r>
      <w:r>
        <w:rPr>
          <w:rFonts w:ascii="仿宋_GB2312" w:eastAsia="仿宋_GB2312" w:hAnsi="宋体" w:cs="宋体" w:hint="eastAsia"/>
          <w:color w:val="000000"/>
          <w:kern w:val="0"/>
          <w:sz w:val="28"/>
          <w:szCs w:val="28"/>
          <w:lang w:val="en-US" w:eastAsia="zh-CN"/>
        </w:rPr>
        <w:t>三</w:t>
      </w:r>
      <w:r>
        <w:rPr>
          <w:rFonts w:ascii="仿宋_GB2312" w:eastAsia="仿宋_GB2312" w:hAnsi="宋体" w:cs="宋体" w:hint="eastAsia"/>
          <w:color w:val="000000"/>
          <w:kern w:val="0"/>
          <w:sz w:val="28"/>
          <w:szCs w:val="28"/>
        </w:rPr>
        <w:t>调的权属调查表、权属协议书、争议地原由书等权源资料成果比较完整，土地权属界线协议书上文字说明详细具体，签字盖章手续齐全；每宗争议地都附有争议地原由书，争议地原由书附图上还有双方权利人代表签字，对于本次集体土地所有权确权登记发证提供非常强有力和可靠的依据。</w:t>
      </w:r>
    </w:p>
    <w:p>
      <w:pPr>
        <w:pStyle w:val="BodyText"/>
        <w:ind w:firstLine="560" w:firstLineChars="200"/>
        <w:rPr>
          <w:rFonts w:hint="eastAsia"/>
        </w:rPr>
      </w:pPr>
      <w:r>
        <w:rPr>
          <w:rFonts w:eastAsia="仿宋_GB2312" w:hint="eastAsia"/>
          <w:color w:val="000000"/>
          <w:sz w:val="28"/>
          <w:szCs w:val="28"/>
          <w:lang w:val="en-US" w:eastAsia="zh-CN"/>
        </w:rPr>
        <w:t>3、</w:t>
      </w:r>
      <w:r>
        <w:rPr>
          <w:rFonts w:eastAsia="仿宋_GB2312" w:hint="eastAsia"/>
          <w:color w:val="000000"/>
          <w:sz w:val="28"/>
          <w:szCs w:val="28"/>
        </w:rPr>
        <w:t>历年土地征收等原因发生土地权属变化的有关文件及国有地使用权证书等，作为集体和国有权属判定的依据。对于未发证的国有地，如国有河流、水库等是依据土地利用变更调查数据库地类界线作为参考资料进行上图。</w:t>
      </w:r>
    </w:p>
    <w:p>
      <w:pPr>
        <w:pStyle w:val="Heading2"/>
        <w:rPr>
          <w:rFonts w:hint="eastAsia"/>
          <w:sz w:val="28"/>
          <w:szCs w:val="28"/>
        </w:rPr>
      </w:pPr>
      <w:bookmarkStart w:id="14" w:name="_Toc953"/>
      <w:r>
        <w:rPr>
          <w:rFonts w:hint="eastAsia"/>
          <w:sz w:val="28"/>
          <w:szCs w:val="28"/>
        </w:rPr>
        <w:t>（三）已有登记发证资料情况分析</w:t>
      </w:r>
      <w:bookmarkEnd w:id="14"/>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rPr>
        <w:t>登记发证资料齐全，原登记发证资料包括土地登记审批书、土地所有权登记具结报告、土地权属界线协议书、集体土地权属调查表、宗地图等相关材料，其中权属调查表和宗地图是经过双方签字盖章，其界址走向描述清楚，作为权属界线和飞地以及国有地上图的主要依据。已有登记发证资料主要情况是：原发证宗地图为北京54坐标系</w:t>
      </w:r>
      <w:r>
        <w:rPr>
          <w:rFonts w:eastAsia="仿宋_GB2312" w:hint="eastAsia"/>
          <w:color w:val="000000"/>
          <w:sz w:val="28"/>
          <w:szCs w:val="28"/>
          <w:lang w:val="en-US" w:eastAsia="zh-CN"/>
        </w:rPr>
        <w:t>或者西安80</w:t>
      </w:r>
      <w:r>
        <w:rPr>
          <w:rFonts w:eastAsia="仿宋_GB2312" w:hint="eastAsia"/>
          <w:color w:val="000000"/>
          <w:sz w:val="28"/>
          <w:szCs w:val="28"/>
        </w:rPr>
        <w:t>坐标系的标准分幅图，比例尺为1:10000；原登记发证存在一部分权属界线是以国有河流、道路中线等作为村界，同时又作为土地权属界线；原登记发证宗地内的国有地部分有作剔除，部分宗地国有地未剔除的情况；原登记发证的宗地基本上从</w:t>
      </w:r>
      <w:r>
        <w:rPr>
          <w:rFonts w:eastAsia="仿宋_GB2312" w:hint="eastAsia"/>
          <w:color w:val="000000"/>
          <w:sz w:val="28"/>
          <w:szCs w:val="28"/>
          <w:lang w:val="en-US" w:eastAsia="zh-CN"/>
        </w:rPr>
        <w:t>1</w:t>
      </w:r>
      <w:r>
        <w:rPr>
          <w:rFonts w:eastAsia="仿宋_GB2312" w:hint="eastAsia"/>
          <w:color w:val="000000"/>
          <w:sz w:val="28"/>
          <w:szCs w:val="28"/>
        </w:rPr>
        <w:t>3年登记发证至今都未进行过变更登记；原有已登记飞地权属调查表、宗地草图基本上都有落入方和权利人确认签字盖章，指界手续相对完善和规范。</w:t>
      </w:r>
    </w:p>
    <w:p>
      <w:pPr>
        <w:pStyle w:val="Heading2"/>
        <w:rPr>
          <w:rFonts w:hint="eastAsia"/>
          <w:sz w:val="28"/>
          <w:szCs w:val="28"/>
        </w:rPr>
      </w:pPr>
      <w:bookmarkStart w:id="15" w:name="_Toc677"/>
      <w:r>
        <w:rPr>
          <w:rFonts w:hint="eastAsia"/>
          <w:sz w:val="28"/>
          <w:szCs w:val="28"/>
        </w:rPr>
        <w:t>（四）现有资料整理与分析与建立问题清单</w:t>
      </w:r>
      <w:bookmarkEnd w:id="15"/>
    </w:p>
    <w:p>
      <w:pPr>
        <w:spacing w:line="360" w:lineRule="auto"/>
        <w:ind w:firstLine="560" w:firstLineChars="200"/>
        <w:rPr>
          <w:rFonts w:ascii="仿宋_GB2312" w:eastAsia="仿宋_GB2312" w:hint="eastAsia"/>
          <w:color w:val="000000"/>
          <w:sz w:val="28"/>
          <w:szCs w:val="28"/>
        </w:rPr>
      </w:pPr>
      <w:r>
        <w:rPr>
          <w:rFonts w:ascii="仿宋_GB2312" w:eastAsia="仿宋_GB2312" w:hint="eastAsia"/>
          <w:color w:val="000000"/>
          <w:sz w:val="28"/>
          <w:szCs w:val="28"/>
        </w:rPr>
        <w:t>1.整理已有电子数据、纸质资料。</w:t>
      </w:r>
    </w:p>
    <w:p>
      <w:pPr>
        <w:spacing w:line="360" w:lineRule="auto"/>
        <w:ind w:firstLine="560" w:firstLineChars="200"/>
        <w:rPr>
          <w:rFonts w:ascii="仿宋_GB2312" w:eastAsia="仿宋_GB2312" w:hint="eastAsia"/>
          <w:color w:val="000000"/>
          <w:sz w:val="28"/>
          <w:szCs w:val="28"/>
        </w:rPr>
      </w:pPr>
      <w:r>
        <w:rPr>
          <w:rFonts w:ascii="仿宋_GB2312" w:eastAsia="仿宋_GB2312" w:hint="eastAsia"/>
          <w:color w:val="000000"/>
          <w:sz w:val="28"/>
          <w:szCs w:val="28"/>
        </w:rPr>
        <w:t>2.根据已有集体土地所有权确权登记成果，核实登记数据的现势状态并分类标注，建立集体土地所有权台账。</w:t>
      </w:r>
    </w:p>
    <w:p>
      <w:pPr>
        <w:spacing w:line="360" w:lineRule="auto"/>
        <w:ind w:firstLine="560" w:firstLineChars="200"/>
        <w:rPr>
          <w:rFonts w:ascii="仿宋_GB2312" w:eastAsia="仿宋_GB2312" w:hint="eastAsia"/>
          <w:color w:val="000000"/>
          <w:sz w:val="28"/>
          <w:szCs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7"/>
          <w:cols w:space="708"/>
          <w:titlePg w:val="0"/>
          <w:docGrid w:type="lines" w:linePitch="312" w:charSpace="0"/>
        </w:sectPr>
      </w:pPr>
    </w:p>
    <w:p>
      <w:pPr>
        <w:spacing w:line="360" w:lineRule="auto"/>
        <w:ind w:firstLine="560" w:firstLineChars="200"/>
        <w:rPr>
          <w:rFonts w:ascii="仿宋_GB2312" w:eastAsia="仿宋_GB2312" w:hint="eastAsia"/>
          <w:color w:val="000000"/>
          <w:sz w:val="28"/>
          <w:szCs w:val="28"/>
        </w:rPr>
      </w:pPr>
      <w:r>
        <w:rPr>
          <w:rFonts w:ascii="仿宋_GB2312" w:eastAsia="仿宋_GB2312" w:hint="eastAsia"/>
          <w:color w:val="000000"/>
          <w:sz w:val="28"/>
          <w:szCs w:val="28"/>
        </w:rPr>
        <w:t>3.对已登记集体土地所有权成果，核实内容是否完整、空间数据是否缺失、图属是否一致等，</w:t>
      </w:r>
      <w:r>
        <w:rPr>
          <w:rFonts w:ascii="仿宋_GB2312" w:eastAsia="仿宋_GB2312" w:hint="eastAsia"/>
          <w:color w:val="000000"/>
          <w:sz w:val="28"/>
          <w:szCs w:val="28"/>
          <w:lang w:val="en-US" w:eastAsia="zh-CN"/>
        </w:rPr>
        <w:t>整理</w:t>
      </w:r>
      <w:r>
        <w:rPr>
          <w:rFonts w:ascii="仿宋_GB2312" w:eastAsia="仿宋_GB2312" w:hint="eastAsia"/>
          <w:color w:val="000000"/>
          <w:sz w:val="28"/>
          <w:szCs w:val="28"/>
        </w:rPr>
        <w:t>形成清单。</w:t>
      </w:r>
    </w:p>
    <w:p>
      <w:pPr>
        <w:spacing w:line="360" w:lineRule="auto"/>
        <w:ind w:firstLine="560" w:firstLineChars="200"/>
        <w:rPr>
          <w:rFonts w:ascii="仿宋_GB2312" w:eastAsia="仿宋_GB2312" w:hint="eastAsia"/>
          <w:color w:val="000000"/>
          <w:sz w:val="28"/>
          <w:szCs w:val="28"/>
        </w:rPr>
      </w:pPr>
      <w:r>
        <w:rPr>
          <w:rFonts w:ascii="仿宋_GB2312" w:eastAsia="仿宋_GB2312" w:hint="eastAsia"/>
          <w:color w:val="000000"/>
          <w:sz w:val="28"/>
          <w:szCs w:val="28"/>
        </w:rPr>
        <w:t>4.根据整理清单形成</w:t>
      </w:r>
      <w:r>
        <w:rPr>
          <w:rFonts w:ascii="仿宋_GB2312" w:eastAsia="仿宋_GB2312" w:hint="eastAsia"/>
          <w:color w:val="000000"/>
          <w:sz w:val="28"/>
          <w:szCs w:val="28"/>
          <w:lang w:val="en-US" w:eastAsia="zh-CN"/>
        </w:rPr>
        <w:t>问题</w:t>
      </w:r>
      <w:r>
        <w:rPr>
          <w:rFonts w:ascii="仿宋_GB2312" w:eastAsia="仿宋_GB2312" w:hint="eastAsia"/>
          <w:color w:val="000000"/>
          <w:sz w:val="28"/>
          <w:szCs w:val="28"/>
        </w:rPr>
        <w:t>台账。</w:t>
      </w:r>
    </w:p>
    <w:p>
      <w:pPr>
        <w:pStyle w:val="Heading1"/>
        <w:spacing w:before="120" w:after="120" w:line="360" w:lineRule="auto"/>
        <w:rPr>
          <w:rFonts w:ascii="宋体" w:hAnsi="宋体" w:cs="宋体" w:hint="eastAsia"/>
          <w:kern w:val="0"/>
          <w:sz w:val="30"/>
          <w:szCs w:val="30"/>
        </w:rPr>
      </w:pPr>
      <w:bookmarkStart w:id="16" w:name="_Toc22954"/>
      <w:r>
        <w:rPr>
          <w:rFonts w:ascii="宋体" w:hAnsi="宋体" w:cs="宋体" w:hint="eastAsia"/>
          <w:kern w:val="0"/>
          <w:sz w:val="30"/>
          <w:szCs w:val="30"/>
        </w:rPr>
        <w:t>三、作业依据及技术标准</w:t>
      </w:r>
      <w:bookmarkEnd w:id="16"/>
    </w:p>
    <w:p>
      <w:pPr>
        <w:pStyle w:val="Heading2"/>
        <w:rPr>
          <w:rFonts w:hint="eastAsia"/>
          <w:sz w:val="28"/>
          <w:szCs w:val="28"/>
        </w:rPr>
      </w:pPr>
      <w:bookmarkStart w:id="17" w:name="_Toc4976"/>
      <w:r>
        <w:rPr>
          <w:rFonts w:hint="eastAsia"/>
          <w:sz w:val="28"/>
          <w:szCs w:val="28"/>
        </w:rPr>
        <w:t>（一）法律法规及政策依据</w:t>
      </w:r>
      <w:bookmarkEnd w:id="17"/>
    </w:p>
    <w:p>
      <w:pPr>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1、自然资源部关于加快完成集体土地所有权确权登记成果更新汇交的通知（自然资发〔2022〕19号）；</w:t>
      </w:r>
    </w:p>
    <w:p>
      <w:pPr>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2、福建省自然资源厅关于印发加快完成集体土地所有权确权登记成果建库更新汇交工作实施方案的通知（闽自然资发〔2022〕32号）；</w:t>
      </w:r>
    </w:p>
    <w:p>
      <w:pPr>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3、《不动产登记暂行条例》（国务院令第656号）；</w:t>
      </w:r>
    </w:p>
    <w:p>
      <w:pPr>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4、《土地管理法实施条例》（国务院令第743号）；</w:t>
      </w:r>
    </w:p>
    <w:p>
      <w:pPr>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5、《土地权属争议调查处理办法》（国土资源部令第17号）；</w:t>
      </w:r>
    </w:p>
    <w:p>
      <w:pPr>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6、《不动产登记暂行条例实施细则》（国土资源部令第63号）；</w:t>
      </w:r>
    </w:p>
    <w:p>
      <w:pPr>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7、《国土资源部 财政部 农业部关于加快推进农村集体土地确权登记发证工作的通知》（国土资发〔2011〕60号）；</w:t>
      </w:r>
    </w:p>
    <w:p>
      <w:pPr>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8、《国土资源部 中央农村工作领导小组办公室 财政部 农业部关于农村集体土地确权登记发证的若干意见》（国土资发〔2011〕178号）；</w:t>
      </w:r>
    </w:p>
    <w:p>
      <w:pPr>
        <w:ind w:firstLine="560" w:firstLineChars="200"/>
        <w:rPr>
          <w:rFonts w:ascii="仿宋_GB2312" w:eastAsia="仿宋_GB2312" w:hAnsi="宋体" w:hint="eastAsia"/>
          <w:color w:val="000000"/>
          <w:sz w:val="28"/>
          <w:szCs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8"/>
          <w:cols w:space="708"/>
          <w:titlePg w:val="0"/>
          <w:docGrid w:type="lines" w:linePitch="312" w:charSpace="0"/>
        </w:sectPr>
      </w:pPr>
      <w:r>
        <w:rPr>
          <w:rFonts w:ascii="仿宋_GB2312" w:eastAsia="仿宋_GB2312" w:hAnsi="宋体" w:hint="eastAsia"/>
          <w:color w:val="000000"/>
          <w:sz w:val="28"/>
          <w:szCs w:val="28"/>
        </w:rPr>
        <w:t>9、《福建省土地权属争议处理办法》1997年10月25日福建省第八届人民代表大会常务委员会第三十五次会议通过 1997年10月25日公布施行。</w:t>
      </w:r>
    </w:p>
    <w:p>
      <w:pPr>
        <w:pStyle w:val="Heading2"/>
        <w:rPr>
          <w:rFonts w:hint="eastAsia"/>
          <w:sz w:val="28"/>
          <w:szCs w:val="28"/>
        </w:rPr>
      </w:pPr>
      <w:bookmarkStart w:id="18" w:name="_Toc15117"/>
      <w:r>
        <w:rPr>
          <w:rFonts w:hint="eastAsia"/>
          <w:sz w:val="28"/>
          <w:szCs w:val="28"/>
        </w:rPr>
        <w:t>（二）技术依据</w:t>
      </w:r>
      <w:bookmarkEnd w:id="18"/>
    </w:p>
    <w:p>
      <w:pPr>
        <w:spacing w:line="360" w:lineRule="auto"/>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1、《福建省加快完成集体土地所有权确权登记成果建库更新汇交实施方案》；</w:t>
      </w:r>
    </w:p>
    <w:p>
      <w:pPr>
        <w:spacing w:line="360" w:lineRule="auto"/>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2、《集体土地所有权确权登记成果更新汇交技术指南》自然资源部；</w:t>
      </w:r>
    </w:p>
    <w:p>
      <w:pPr>
        <w:spacing w:line="360" w:lineRule="auto"/>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3、《不动产登记数据库标准》（TD/T 1066</w:t>
      </w:r>
      <w:r>
        <w:rPr>
          <w:rFonts w:ascii="仿宋_GB2312" w:eastAsia="仿宋_GB2312" w:hAnsi="宋体" w:hint="eastAsia"/>
          <w:color w:val="000000"/>
          <w:sz w:val="28"/>
          <w:szCs w:val="28"/>
        </w:rPr>
        <w:t>—</w:t>
      </w:r>
      <w:r>
        <w:rPr>
          <w:rFonts w:ascii="仿宋_GB2312" w:eastAsia="仿宋_GB2312" w:hAnsi="宋体" w:hint="eastAsia"/>
          <w:color w:val="000000"/>
          <w:sz w:val="28"/>
          <w:szCs w:val="28"/>
        </w:rPr>
        <w:t>2021）；</w:t>
      </w:r>
    </w:p>
    <w:p>
      <w:pPr>
        <w:spacing w:line="360" w:lineRule="auto"/>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4、《不动产登记数据整合建库技术规范》（TD/T 1067</w:t>
      </w:r>
      <w:r>
        <w:rPr>
          <w:rFonts w:ascii="仿宋_GB2312" w:eastAsia="仿宋_GB2312" w:hAnsi="宋体" w:hint="eastAsia"/>
          <w:color w:val="000000"/>
          <w:sz w:val="28"/>
          <w:szCs w:val="28"/>
        </w:rPr>
        <w:t>—</w:t>
      </w:r>
      <w:r>
        <w:rPr>
          <w:rFonts w:ascii="仿宋_GB2312" w:eastAsia="仿宋_GB2312" w:hAnsi="宋体" w:hint="eastAsia"/>
          <w:color w:val="000000"/>
          <w:sz w:val="28"/>
          <w:szCs w:val="28"/>
        </w:rPr>
        <w:t>2021）；</w:t>
      </w:r>
    </w:p>
    <w:p>
      <w:pPr>
        <w:spacing w:line="360" w:lineRule="auto"/>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5、《不动产登记存量数据成果汇交规范（2021年修订版）》；</w:t>
      </w:r>
    </w:p>
    <w:p>
      <w:pPr>
        <w:spacing w:line="360" w:lineRule="auto"/>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6、《不动产登记信息管理基础平台接入技术规范》（2021年修订版）；</w:t>
      </w:r>
    </w:p>
    <w:p>
      <w:pPr>
        <w:spacing w:line="360" w:lineRule="auto"/>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7、《地籍调查规程》（TD/T 1001</w:t>
      </w:r>
      <w:r>
        <w:rPr>
          <w:rFonts w:ascii="仿宋_GB2312" w:eastAsia="仿宋_GB2312" w:hAnsi="宋体" w:hint="eastAsia"/>
          <w:color w:val="000000"/>
          <w:sz w:val="28"/>
          <w:szCs w:val="28"/>
        </w:rPr>
        <w:t>—</w:t>
      </w:r>
      <w:r>
        <w:rPr>
          <w:rFonts w:ascii="仿宋_GB2312" w:eastAsia="仿宋_GB2312" w:hAnsi="宋体" w:hint="eastAsia"/>
          <w:color w:val="000000"/>
          <w:sz w:val="28"/>
          <w:szCs w:val="28"/>
        </w:rPr>
        <w:t>2012）；</w:t>
      </w:r>
    </w:p>
    <w:p>
      <w:pPr>
        <w:spacing w:line="360" w:lineRule="auto"/>
        <w:ind w:firstLine="560" w:firstLineChars="200"/>
        <w:rPr>
          <w:rFonts w:ascii="仿宋_GB2312" w:eastAsia="仿宋_GB2312" w:hAnsi="宋体" w:hint="eastAsia"/>
          <w:color w:val="000000"/>
          <w:sz w:val="28"/>
          <w:szCs w:val="28"/>
        </w:rPr>
      </w:pPr>
      <w:r>
        <w:rPr>
          <w:rFonts w:ascii="仿宋_GB2312" w:eastAsia="仿宋_GB2312" w:hAnsi="宋体" w:hint="eastAsia"/>
          <w:color w:val="000000"/>
          <w:sz w:val="28"/>
          <w:szCs w:val="28"/>
        </w:rPr>
        <w:t>8、《不动产单元设定与代码编制规则》（GB/T 37346</w:t>
      </w:r>
      <w:r>
        <w:rPr>
          <w:rFonts w:ascii="仿宋_GB2312" w:eastAsia="仿宋_GB2312" w:hAnsi="宋体" w:hint="eastAsia"/>
          <w:color w:val="000000"/>
          <w:sz w:val="28"/>
          <w:szCs w:val="28"/>
        </w:rPr>
        <w:t>—</w:t>
      </w:r>
      <w:r>
        <w:rPr>
          <w:rFonts w:ascii="仿宋_GB2312" w:eastAsia="仿宋_GB2312" w:hAnsi="宋体" w:hint="eastAsia"/>
          <w:color w:val="000000"/>
          <w:sz w:val="28"/>
          <w:szCs w:val="28"/>
        </w:rPr>
        <w:t>2019）。</w:t>
      </w:r>
    </w:p>
    <w:p>
      <w:pPr>
        <w:pStyle w:val="Heading2"/>
        <w:rPr>
          <w:rFonts w:eastAsia="宋体" w:hint="eastAsia"/>
          <w:sz w:val="28"/>
          <w:szCs w:val="28"/>
          <w:lang w:eastAsia="zh-CN"/>
        </w:rPr>
      </w:pPr>
      <w:bookmarkStart w:id="19" w:name="_Toc20762"/>
      <w:r>
        <w:rPr>
          <w:rFonts w:hint="eastAsia"/>
          <w:sz w:val="28"/>
          <w:szCs w:val="28"/>
        </w:rPr>
        <w:t>（三）</w:t>
      </w:r>
      <w:bookmarkEnd w:id="19"/>
      <w:r>
        <w:rPr>
          <w:rFonts w:hint="eastAsia"/>
          <w:sz w:val="28"/>
          <w:szCs w:val="28"/>
          <w:lang w:eastAsia="zh-CN"/>
        </w:rPr>
        <w:t>数学基础</w:t>
      </w:r>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lang w:val="en-US" w:eastAsia="zh-CN"/>
        </w:rPr>
        <w:t>1、</w:t>
      </w:r>
      <w:r>
        <w:rPr>
          <w:rFonts w:eastAsia="仿宋_GB2312" w:hint="eastAsia"/>
          <w:color w:val="000000"/>
          <w:sz w:val="28"/>
          <w:szCs w:val="28"/>
        </w:rPr>
        <w:t>平面坐标系统：2000国家大地坐标系（CGCS2000）。</w:t>
      </w:r>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lang w:val="en-US" w:eastAsia="zh-CN"/>
        </w:rPr>
        <w:t>2、</w:t>
      </w:r>
      <w:r>
        <w:rPr>
          <w:rFonts w:eastAsia="仿宋_GB2312" w:hint="eastAsia"/>
          <w:color w:val="000000"/>
          <w:sz w:val="28"/>
          <w:szCs w:val="28"/>
        </w:rPr>
        <w:t>投影方法：采用高斯-克吕格投影，3</w:t>
      </w:r>
      <w:r>
        <w:rPr>
          <w:rFonts w:eastAsia="仿宋_GB2312" w:hint="eastAsia"/>
          <w:color w:val="000000"/>
          <w:sz w:val="28"/>
          <w:szCs w:val="28"/>
        </w:rPr>
        <w:t>°</w:t>
      </w:r>
      <w:r>
        <w:rPr>
          <w:rFonts w:eastAsia="仿宋_GB2312" w:hint="eastAsia"/>
          <w:color w:val="000000"/>
          <w:sz w:val="28"/>
          <w:szCs w:val="28"/>
        </w:rPr>
        <w:t>分带。平面坐标与高程单位为</w:t>
      </w:r>
      <w:r>
        <w:rPr>
          <w:rFonts w:eastAsia="仿宋_GB2312" w:hint="eastAsia"/>
          <w:color w:val="000000"/>
          <w:sz w:val="28"/>
          <w:szCs w:val="28"/>
        </w:rPr>
        <w:t>“</w:t>
      </w:r>
      <w:r>
        <w:rPr>
          <w:rFonts w:eastAsia="仿宋_GB2312" w:hint="eastAsia"/>
          <w:color w:val="000000"/>
          <w:sz w:val="28"/>
          <w:szCs w:val="28"/>
        </w:rPr>
        <w:t>米</w:t>
      </w:r>
      <w:r>
        <w:rPr>
          <w:rFonts w:eastAsia="仿宋_GB2312" w:hint="eastAsia"/>
          <w:color w:val="000000"/>
          <w:sz w:val="28"/>
          <w:szCs w:val="28"/>
        </w:rPr>
        <w:t>”</w:t>
      </w:r>
      <w:r>
        <w:rPr>
          <w:rFonts w:eastAsia="仿宋_GB2312" w:hint="eastAsia"/>
          <w:color w:val="000000"/>
          <w:sz w:val="28"/>
          <w:szCs w:val="28"/>
        </w:rPr>
        <w:t>。</w:t>
      </w:r>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lang w:val="en-US" w:eastAsia="zh-CN"/>
        </w:rPr>
        <w:t>3、</w:t>
      </w:r>
      <w:r>
        <w:rPr>
          <w:rFonts w:eastAsia="仿宋_GB2312" w:hint="eastAsia"/>
          <w:color w:val="000000"/>
          <w:sz w:val="28"/>
          <w:szCs w:val="28"/>
        </w:rPr>
        <w:t>高程基准：1985国家高程基准。</w:t>
      </w:r>
    </w:p>
    <w:p>
      <w:pPr>
        <w:pStyle w:val="Heading1"/>
        <w:spacing w:before="120" w:after="120" w:line="360" w:lineRule="auto"/>
        <w:rPr>
          <w:rFonts w:ascii="宋体" w:hAnsi="宋体" w:cs="宋体" w:hint="eastAsia"/>
          <w:kern w:val="0"/>
          <w:sz w:val="30"/>
          <w:szCs w:val="30"/>
          <w:lang w:eastAsia="zh-CN"/>
        </w:rPr>
      </w:pPr>
      <w:bookmarkStart w:id="20" w:name="_Toc1339"/>
      <w:r>
        <w:rPr>
          <w:rFonts w:ascii="宋体" w:hAnsi="宋体" w:cs="宋体" w:hint="eastAsia"/>
          <w:kern w:val="0"/>
          <w:sz w:val="30"/>
          <w:szCs w:val="30"/>
        </w:rPr>
        <w:t>四、准备</w:t>
      </w:r>
      <w:r>
        <w:rPr>
          <w:rFonts w:ascii="宋体" w:hAnsi="宋体" w:cs="宋体" w:hint="eastAsia"/>
          <w:kern w:val="0"/>
          <w:sz w:val="30"/>
          <w:szCs w:val="30"/>
          <w:lang w:eastAsia="zh-CN"/>
        </w:rPr>
        <w:t>工作</w:t>
      </w:r>
      <w:bookmarkEnd w:id="20"/>
    </w:p>
    <w:p>
      <w:pPr>
        <w:pStyle w:val="Heading2"/>
        <w:rPr>
          <w:rFonts w:hint="eastAsia"/>
          <w:sz w:val="28"/>
          <w:szCs w:val="28"/>
        </w:rPr>
      </w:pPr>
      <w:bookmarkStart w:id="21" w:name="_Toc28461"/>
      <w:r>
        <w:rPr>
          <w:rFonts w:hint="eastAsia"/>
          <w:sz w:val="28"/>
          <w:szCs w:val="28"/>
        </w:rPr>
        <w:t>（一）项目组织实施</w:t>
      </w:r>
      <w:bookmarkEnd w:id="21"/>
    </w:p>
    <w:p>
      <w:pPr>
        <w:pStyle w:val="BodyTextIndent"/>
        <w:spacing w:after="0" w:line="360" w:lineRule="auto"/>
        <w:ind w:left="0" w:firstLine="560" w:leftChars="0" w:firstLineChars="200"/>
        <w:rPr>
          <w:rFonts w:ascii="仿宋_GB2312" w:eastAsia="仿宋_GB2312" w:hAnsi="宋体" w:hint="eastAsia"/>
          <w:sz w:val="28"/>
          <w:szCs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9"/>
          <w:cols w:space="708"/>
          <w:titlePg w:val="0"/>
          <w:docGrid w:type="lines" w:linePitch="312" w:charSpace="0"/>
        </w:sectPr>
      </w:pPr>
      <w:r>
        <w:rPr>
          <w:rFonts w:ascii="仿宋_GB2312" w:eastAsia="仿宋_GB2312" w:hAnsi="宋体" w:hint="eastAsia"/>
          <w:sz w:val="28"/>
          <w:szCs w:val="28"/>
          <w:lang w:val="en-US" w:eastAsia="zh-CN"/>
        </w:rPr>
        <w:t>1、</w:t>
      </w:r>
      <w:r>
        <w:rPr>
          <w:rFonts w:ascii="仿宋_GB2312" w:eastAsia="仿宋_GB2312" w:hAnsi="宋体" w:hint="eastAsia"/>
          <w:sz w:val="28"/>
          <w:szCs w:val="28"/>
        </w:rPr>
        <w:t>人员投入</w:t>
      </w:r>
    </w:p>
    <w:p>
      <w:pPr>
        <w:pStyle w:val="BodyTextIndent"/>
        <w:spacing w:after="0" w:line="360" w:lineRule="auto"/>
        <w:ind w:left="0" w:firstLine="560" w:leftChars="0" w:firstLineChars="200"/>
        <w:rPr>
          <w:rFonts w:ascii="仿宋_GB2312" w:eastAsia="仿宋_GB2312" w:hAnsi="宋体" w:hint="eastAsia"/>
          <w:sz w:val="28"/>
          <w:szCs w:val="28"/>
        </w:rPr>
      </w:pPr>
      <w:r>
        <w:rPr>
          <w:rFonts w:ascii="仿宋_GB2312" w:eastAsia="仿宋_GB2312" w:hAnsi="宋体" w:hint="eastAsia"/>
          <w:sz w:val="28"/>
          <w:szCs w:val="28"/>
        </w:rPr>
        <w:t>为确保能圆满完成项目工作内容，根据项目特点及人员需求，从单位内部选拔具有丰富工作经验及专业背景的人员组成项目组。在人员选拔与组织的过程中，结合项目的背景及特点，选拔具有专业背景且具有相关工作经验的人员，组建一只技术精湛、结构合理、吃苦耐劳的项目团队，为工作的开展提供充足的人员储备力量。项目组管理人员、技术人员都是承担过多年调查规划、地理信息系统、国土资源管理、测绘等工作的技术骨干。</w:t>
      </w:r>
    </w:p>
    <w:p>
      <w:pPr>
        <w:pStyle w:val="BodyTextIndent"/>
        <w:spacing w:after="0" w:line="360" w:lineRule="auto"/>
        <w:ind w:left="0" w:firstLine="560" w:leftChars="0" w:firstLineChars="200"/>
        <w:rPr>
          <w:rFonts w:ascii="仿宋_GB2312" w:eastAsia="仿宋_GB2312" w:hAnsi="宋体" w:hint="eastAsia"/>
          <w:sz w:val="28"/>
          <w:szCs w:val="28"/>
        </w:rPr>
      </w:pPr>
      <w:r>
        <w:rPr>
          <w:rFonts w:ascii="仿宋_GB2312" w:eastAsia="仿宋_GB2312" w:hAnsi="宋体" w:hint="eastAsia"/>
          <w:sz w:val="28"/>
          <w:szCs w:val="28"/>
        </w:rPr>
        <w:t>公司拟在本项目中投入项目负责人1人，质检技术负责人1人，质检人员2人，外业调查人员5人，内业整合人员6人（根据实际情况增加人员），资料编制人员1人。</w:t>
      </w:r>
    </w:p>
    <w:tbl>
      <w:tblPr>
        <w:tblStyle w:val="TableNormal"/>
        <w:tblW w:w="8802" w:type="dxa"/>
        <w:tblCellMar>
          <w:top w:w="0" w:type="dxa"/>
          <w:left w:w="0" w:type="dxa"/>
          <w:bottom w:w="0" w:type="dxa"/>
          <w:right w:w="0" w:type="dxa"/>
        </w:tblCellMar>
        <w:tblLook w:val="0000"/>
      </w:tblPr>
      <w:tblGrid>
        <w:gridCol w:w="815"/>
        <w:gridCol w:w="2330"/>
        <w:gridCol w:w="606"/>
        <w:gridCol w:w="1468"/>
        <w:gridCol w:w="606"/>
        <w:gridCol w:w="2977"/>
      </w:tblGrid>
      <w:tr>
        <w:tblPrEx>
          <w:tblW w:w="8802" w:type="dxa"/>
          <w:tblCellMar>
            <w:top w:w="0" w:type="dxa"/>
            <w:left w:w="0" w:type="dxa"/>
            <w:bottom w:w="0" w:type="dxa"/>
            <w:right w:w="0" w:type="dxa"/>
          </w:tblCellMar>
          <w:tblLook w:val="0000"/>
        </w:tblPrEx>
        <w:trPr>
          <w:trHeight w:val="446"/>
          <w:tblHeader/>
        </w:trPr>
        <w:tc>
          <w:tcPr>
            <w:tcW w:w="8802" w:type="dxa"/>
            <w:gridSpan w:val="6"/>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8"/>
                <w:szCs w:val="28"/>
                <w:u w:val="none"/>
              </w:rPr>
            </w:pPr>
            <w:r>
              <w:rPr>
                <w:rFonts w:ascii="宋体" w:eastAsia="宋体" w:hAnsi="宋体" w:cs="宋体" w:hint="eastAsia"/>
                <w:i w:val="0"/>
                <w:color w:val="000000"/>
                <w:kern w:val="0"/>
                <w:sz w:val="28"/>
                <w:szCs w:val="28"/>
                <w:u w:val="none"/>
                <w:lang w:val="en-US" w:eastAsia="zh-CN" w:bidi="ar"/>
              </w:rPr>
              <w:t>项目人员组成</w:t>
            </w:r>
          </w:p>
        </w:tc>
      </w:tr>
      <w:tr>
        <w:tblPrEx>
          <w:tblW w:w="8802" w:type="dxa"/>
          <w:tblCellMar>
            <w:top w:w="0" w:type="dxa"/>
            <w:left w:w="0" w:type="dxa"/>
            <w:bottom w:w="0" w:type="dxa"/>
            <w:right w:w="0" w:type="dxa"/>
          </w:tblCellMar>
          <w:tblLook w:val="0000"/>
        </w:tblPrEx>
        <w:trPr>
          <w:trHeight w:val="288"/>
          <w:tblHeader/>
        </w:trPr>
        <w:tc>
          <w:tcPr>
            <w:tcW w:w="815"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序号</w:t>
            </w:r>
          </w:p>
        </w:tc>
        <w:tc>
          <w:tcPr>
            <w:tcW w:w="2330"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职位</w:t>
            </w:r>
          </w:p>
        </w:tc>
        <w:tc>
          <w:tcPr>
            <w:tcW w:w="606"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人数</w:t>
            </w:r>
          </w:p>
        </w:tc>
        <w:tc>
          <w:tcPr>
            <w:tcW w:w="1468"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职称</w:t>
            </w:r>
          </w:p>
        </w:tc>
        <w:tc>
          <w:tcPr>
            <w:tcW w:w="606"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学历</w:t>
            </w:r>
          </w:p>
        </w:tc>
        <w:tc>
          <w:tcPr>
            <w:tcW w:w="2977"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工作经验</w:t>
            </w:r>
          </w:p>
        </w:tc>
      </w:tr>
      <w:tr>
        <w:tblPrEx>
          <w:tblW w:w="8802" w:type="dxa"/>
          <w:tblCellMar>
            <w:top w:w="0" w:type="dxa"/>
            <w:left w:w="0" w:type="dxa"/>
            <w:bottom w:w="0" w:type="dxa"/>
            <w:right w:w="0" w:type="dxa"/>
          </w:tblCellMar>
          <w:tblLook w:val="0000"/>
        </w:tblPrEx>
        <w:trPr>
          <w:trHeight w:val="400"/>
        </w:trPr>
        <w:tc>
          <w:tcPr>
            <w:tcW w:w="815"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1</w:t>
            </w:r>
          </w:p>
        </w:tc>
        <w:tc>
          <w:tcPr>
            <w:tcW w:w="2330"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default"/>
                <w:i w:val="0"/>
                <w:color w:val="000000"/>
                <w:sz w:val="22"/>
                <w:szCs w:val="22"/>
                <w:u w:val="none"/>
              </w:rPr>
            </w:pPr>
            <w:r>
              <w:rPr>
                <w:rFonts w:ascii="宋体" w:eastAsia="宋体" w:hAnsi="宋体" w:cs="宋体" w:hint="eastAsia"/>
                <w:i w:val="0"/>
                <w:color w:val="000000"/>
                <w:sz w:val="22"/>
                <w:szCs w:val="22"/>
                <w:u w:val="none"/>
                <w:lang w:val="en-US" w:eastAsia="zh-CN"/>
              </w:rPr>
              <w:t>项目负责人</w:t>
            </w:r>
          </w:p>
        </w:tc>
        <w:tc>
          <w:tcPr>
            <w:tcW w:w="606"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1名</w:t>
            </w:r>
          </w:p>
        </w:tc>
        <w:tc>
          <w:tcPr>
            <w:tcW w:w="1468"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default"/>
                <w:i w:val="0"/>
                <w:color w:val="000000"/>
                <w:sz w:val="22"/>
                <w:szCs w:val="22"/>
                <w:u w:val="none"/>
              </w:rPr>
            </w:pPr>
            <w:r>
              <w:rPr>
                <w:rFonts w:ascii="宋体" w:eastAsia="宋体" w:hAnsi="宋体" w:cs="宋体" w:hint="eastAsia"/>
                <w:i w:val="0"/>
                <w:color w:val="000000"/>
                <w:kern w:val="0"/>
                <w:sz w:val="22"/>
                <w:szCs w:val="22"/>
                <w:u w:val="none"/>
                <w:lang w:val="en-US" w:eastAsia="zh-CN" w:bidi="ar"/>
              </w:rPr>
              <w:t>高级工程师</w:t>
            </w:r>
          </w:p>
        </w:tc>
        <w:tc>
          <w:tcPr>
            <w:tcW w:w="606"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本科</w:t>
            </w:r>
          </w:p>
        </w:tc>
        <w:tc>
          <w:tcPr>
            <w:tcW w:w="2977"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10年以上测绘工作经验</w:t>
            </w:r>
          </w:p>
        </w:tc>
      </w:tr>
      <w:tr>
        <w:tblPrEx>
          <w:tblW w:w="8802" w:type="dxa"/>
          <w:tblCellMar>
            <w:top w:w="0" w:type="dxa"/>
            <w:left w:w="0" w:type="dxa"/>
            <w:bottom w:w="0" w:type="dxa"/>
            <w:right w:w="0" w:type="dxa"/>
          </w:tblCellMar>
          <w:tblLook w:val="0000"/>
        </w:tblPrEx>
        <w:trPr>
          <w:trHeight w:val="400"/>
        </w:trPr>
        <w:tc>
          <w:tcPr>
            <w:tcW w:w="815"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2</w:t>
            </w:r>
          </w:p>
        </w:tc>
        <w:tc>
          <w:tcPr>
            <w:tcW w:w="2330"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default"/>
                <w:i w:val="0"/>
                <w:color w:val="000000"/>
                <w:sz w:val="22"/>
                <w:szCs w:val="22"/>
                <w:u w:val="none"/>
              </w:rPr>
            </w:pPr>
            <w:r>
              <w:rPr>
                <w:rFonts w:ascii="宋体" w:eastAsia="宋体" w:hAnsi="宋体" w:cs="宋体" w:hint="eastAsia"/>
                <w:i w:val="0"/>
                <w:color w:val="000000"/>
                <w:kern w:val="0"/>
                <w:sz w:val="22"/>
                <w:szCs w:val="22"/>
                <w:u w:val="none"/>
                <w:lang w:val="en-US" w:eastAsia="zh-CN" w:bidi="ar"/>
              </w:rPr>
              <w:t>质检技术负责人</w:t>
            </w:r>
          </w:p>
        </w:tc>
        <w:tc>
          <w:tcPr>
            <w:tcW w:w="606"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1名</w:t>
            </w:r>
          </w:p>
        </w:tc>
        <w:tc>
          <w:tcPr>
            <w:tcW w:w="1468"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default"/>
                <w:i w:val="0"/>
                <w:color w:val="000000"/>
                <w:sz w:val="22"/>
                <w:szCs w:val="22"/>
                <w:u w:val="none"/>
              </w:rPr>
            </w:pPr>
            <w:r>
              <w:rPr>
                <w:rFonts w:ascii="宋体" w:eastAsia="宋体" w:hAnsi="宋体" w:cs="宋体" w:hint="eastAsia"/>
                <w:i w:val="0"/>
                <w:color w:val="000000"/>
                <w:sz w:val="22"/>
                <w:szCs w:val="22"/>
                <w:u w:val="none"/>
                <w:lang w:val="en-US" w:eastAsia="zh-CN"/>
              </w:rPr>
              <w:t>中级工程师</w:t>
            </w:r>
          </w:p>
        </w:tc>
        <w:tc>
          <w:tcPr>
            <w:tcW w:w="606"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本科</w:t>
            </w:r>
          </w:p>
        </w:tc>
        <w:tc>
          <w:tcPr>
            <w:tcW w:w="2977"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8年以上测绘工作经验</w:t>
            </w:r>
          </w:p>
        </w:tc>
      </w:tr>
      <w:tr>
        <w:tblPrEx>
          <w:tblW w:w="8802" w:type="dxa"/>
          <w:tblCellMar>
            <w:top w:w="0" w:type="dxa"/>
            <w:left w:w="0" w:type="dxa"/>
            <w:bottom w:w="0" w:type="dxa"/>
            <w:right w:w="0" w:type="dxa"/>
          </w:tblCellMar>
          <w:tblLook w:val="0000"/>
        </w:tblPrEx>
        <w:trPr>
          <w:trHeight w:val="400"/>
        </w:trPr>
        <w:tc>
          <w:tcPr>
            <w:tcW w:w="815"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3</w:t>
            </w:r>
          </w:p>
        </w:tc>
        <w:tc>
          <w:tcPr>
            <w:tcW w:w="2330"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default"/>
                <w:i w:val="0"/>
                <w:color w:val="000000"/>
                <w:sz w:val="22"/>
                <w:szCs w:val="22"/>
                <w:u w:val="none"/>
              </w:rPr>
            </w:pPr>
            <w:r>
              <w:rPr>
                <w:rFonts w:ascii="宋体" w:eastAsia="宋体" w:hAnsi="宋体" w:cs="宋体" w:hint="eastAsia"/>
                <w:i w:val="0"/>
                <w:color w:val="000000"/>
                <w:kern w:val="0"/>
                <w:sz w:val="22"/>
                <w:szCs w:val="22"/>
                <w:u w:val="none"/>
                <w:lang w:val="en-US" w:eastAsia="zh-CN" w:bidi="ar"/>
              </w:rPr>
              <w:t>质检人员</w:t>
            </w:r>
          </w:p>
        </w:tc>
        <w:tc>
          <w:tcPr>
            <w:tcW w:w="606"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2名</w:t>
            </w:r>
          </w:p>
        </w:tc>
        <w:tc>
          <w:tcPr>
            <w:tcW w:w="1468"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助理工程师</w:t>
            </w:r>
          </w:p>
        </w:tc>
        <w:tc>
          <w:tcPr>
            <w:tcW w:w="606"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大专</w:t>
            </w:r>
          </w:p>
        </w:tc>
        <w:tc>
          <w:tcPr>
            <w:tcW w:w="2977"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6年以上测绘工作经验</w:t>
            </w:r>
          </w:p>
        </w:tc>
      </w:tr>
      <w:tr>
        <w:tblPrEx>
          <w:tblW w:w="8802" w:type="dxa"/>
          <w:tblCellMar>
            <w:top w:w="0" w:type="dxa"/>
            <w:left w:w="0" w:type="dxa"/>
            <w:bottom w:w="0" w:type="dxa"/>
            <w:right w:w="0" w:type="dxa"/>
          </w:tblCellMar>
          <w:tblLook w:val="0000"/>
        </w:tblPrEx>
        <w:trPr>
          <w:trHeight w:val="400"/>
        </w:trPr>
        <w:tc>
          <w:tcPr>
            <w:tcW w:w="815"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4</w:t>
            </w:r>
          </w:p>
        </w:tc>
        <w:tc>
          <w:tcPr>
            <w:tcW w:w="2330"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default"/>
                <w:i w:val="0"/>
                <w:color w:val="000000"/>
                <w:sz w:val="22"/>
                <w:szCs w:val="22"/>
                <w:u w:val="none"/>
              </w:rPr>
            </w:pPr>
            <w:r>
              <w:rPr>
                <w:rFonts w:ascii="宋体" w:eastAsia="宋体" w:hAnsi="宋体" w:cs="宋体" w:hint="eastAsia"/>
                <w:i w:val="0"/>
                <w:color w:val="000000"/>
                <w:kern w:val="0"/>
                <w:sz w:val="22"/>
                <w:szCs w:val="22"/>
                <w:u w:val="none"/>
                <w:lang w:val="en-US" w:eastAsia="zh-CN" w:bidi="ar"/>
              </w:rPr>
              <w:t>外业调查人员</w:t>
            </w:r>
          </w:p>
        </w:tc>
        <w:tc>
          <w:tcPr>
            <w:tcW w:w="606"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5名</w:t>
            </w:r>
          </w:p>
        </w:tc>
        <w:tc>
          <w:tcPr>
            <w:tcW w:w="1468"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助理工程师</w:t>
            </w:r>
          </w:p>
        </w:tc>
        <w:tc>
          <w:tcPr>
            <w:tcW w:w="606"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大专</w:t>
            </w:r>
          </w:p>
        </w:tc>
        <w:tc>
          <w:tcPr>
            <w:tcW w:w="2977"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4年以上测绘工作经验</w:t>
            </w:r>
          </w:p>
        </w:tc>
      </w:tr>
      <w:tr>
        <w:tblPrEx>
          <w:tblW w:w="8802" w:type="dxa"/>
          <w:tblCellMar>
            <w:top w:w="0" w:type="dxa"/>
            <w:left w:w="0" w:type="dxa"/>
            <w:bottom w:w="0" w:type="dxa"/>
            <w:right w:w="0" w:type="dxa"/>
          </w:tblCellMar>
          <w:tblLook w:val="0000"/>
        </w:tblPrEx>
        <w:trPr>
          <w:trHeight w:val="400"/>
        </w:trPr>
        <w:tc>
          <w:tcPr>
            <w:tcW w:w="815"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5</w:t>
            </w:r>
          </w:p>
        </w:tc>
        <w:tc>
          <w:tcPr>
            <w:tcW w:w="2330"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default"/>
                <w:i w:val="0"/>
                <w:color w:val="000000"/>
                <w:sz w:val="22"/>
                <w:szCs w:val="22"/>
                <w:u w:val="none"/>
              </w:rPr>
            </w:pPr>
            <w:r>
              <w:rPr>
                <w:rFonts w:ascii="宋体" w:eastAsia="宋体" w:hAnsi="宋体" w:cs="宋体" w:hint="eastAsia"/>
                <w:i w:val="0"/>
                <w:color w:val="000000"/>
                <w:sz w:val="22"/>
                <w:szCs w:val="22"/>
                <w:u w:val="none"/>
                <w:lang w:val="en-US" w:eastAsia="zh-CN"/>
              </w:rPr>
              <w:t>内业整合建库人员</w:t>
            </w:r>
          </w:p>
        </w:tc>
        <w:tc>
          <w:tcPr>
            <w:tcW w:w="606"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6名</w:t>
            </w:r>
          </w:p>
        </w:tc>
        <w:tc>
          <w:tcPr>
            <w:tcW w:w="1468"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助理工程师</w:t>
            </w:r>
          </w:p>
        </w:tc>
        <w:tc>
          <w:tcPr>
            <w:tcW w:w="606"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大专</w:t>
            </w:r>
          </w:p>
        </w:tc>
        <w:tc>
          <w:tcPr>
            <w:tcW w:w="2977"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2年以上相关工作经验</w:t>
            </w:r>
          </w:p>
        </w:tc>
      </w:tr>
      <w:tr>
        <w:tblPrEx>
          <w:tblW w:w="8802" w:type="dxa"/>
          <w:tblCellMar>
            <w:top w:w="0" w:type="dxa"/>
            <w:left w:w="0" w:type="dxa"/>
            <w:bottom w:w="0" w:type="dxa"/>
            <w:right w:w="0" w:type="dxa"/>
          </w:tblCellMar>
          <w:tblLook w:val="0000"/>
        </w:tblPrEx>
        <w:trPr>
          <w:trHeight w:val="400"/>
        </w:trPr>
        <w:tc>
          <w:tcPr>
            <w:tcW w:w="815"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6</w:t>
            </w:r>
          </w:p>
        </w:tc>
        <w:tc>
          <w:tcPr>
            <w:tcW w:w="2330"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default"/>
                <w:i w:val="0"/>
                <w:color w:val="000000"/>
                <w:sz w:val="22"/>
                <w:szCs w:val="22"/>
                <w:u w:val="none"/>
              </w:rPr>
            </w:pPr>
            <w:r>
              <w:rPr>
                <w:rFonts w:ascii="宋体" w:eastAsia="宋体" w:hAnsi="宋体" w:cs="宋体" w:hint="eastAsia"/>
                <w:i w:val="0"/>
                <w:color w:val="000000"/>
                <w:kern w:val="0"/>
                <w:sz w:val="22"/>
                <w:szCs w:val="22"/>
                <w:u w:val="none"/>
                <w:lang w:val="en-US" w:eastAsia="zh-CN" w:bidi="ar"/>
              </w:rPr>
              <w:t>资料编制人员</w:t>
            </w:r>
          </w:p>
        </w:tc>
        <w:tc>
          <w:tcPr>
            <w:tcW w:w="606"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1名</w:t>
            </w:r>
          </w:p>
        </w:tc>
        <w:tc>
          <w:tcPr>
            <w:tcW w:w="1468"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助理工程师</w:t>
            </w:r>
          </w:p>
        </w:tc>
        <w:tc>
          <w:tcPr>
            <w:tcW w:w="606"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大专</w:t>
            </w:r>
          </w:p>
        </w:tc>
        <w:tc>
          <w:tcPr>
            <w:tcW w:w="2977" w:type="dxa"/>
            <w:tcBorders>
              <w:top w:val="single" w:sz="4" w:space="0" w:color="000000"/>
              <w:left w:val="single" w:sz="4" w:space="0" w:color="000000"/>
              <w:bottom w:val="single" w:sz="4" w:space="0" w:color="000000"/>
              <w:right w:val="single" w:sz="4" w:space="0" w:color="000000"/>
            </w:tcBorders>
            <w:noWrap/>
            <w:tcMar>
              <w:top w:w="12" w:type="dxa"/>
              <w:left w:w="12" w:type="dxa"/>
              <w:right w:w="12" w:type="dxa"/>
            </w:tcMar>
            <w:vAlign w:val="center"/>
          </w:tcPr>
          <w:p>
            <w:pPr>
              <w:keepNext w:val="0"/>
              <w:keepLines w:val="0"/>
              <w:widowControl/>
              <w:suppressLineNumbers w:val="0"/>
              <w:ind w:left="0" w:firstLine="0" w:leftChars="0" w:firstLineChars="0"/>
              <w:jc w:val="center"/>
              <w:textAlignment w:val="center"/>
              <w:rPr>
                <w:rFonts w:ascii="宋体" w:eastAsia="宋体" w:hAnsi="宋体" w:cs="宋体" w:hint="eastAsia"/>
                <w:i w:val="0"/>
                <w:color w:val="000000"/>
                <w:sz w:val="22"/>
                <w:szCs w:val="22"/>
                <w:u w:val="none"/>
              </w:rPr>
            </w:pPr>
            <w:r>
              <w:rPr>
                <w:rFonts w:ascii="宋体" w:eastAsia="宋体" w:hAnsi="宋体" w:cs="宋体" w:hint="eastAsia"/>
                <w:i w:val="0"/>
                <w:color w:val="000000"/>
                <w:kern w:val="0"/>
                <w:sz w:val="22"/>
                <w:szCs w:val="22"/>
                <w:u w:val="none"/>
                <w:lang w:val="en-US" w:eastAsia="zh-CN" w:bidi="ar"/>
              </w:rPr>
              <w:t>2年以上相关工作经验</w:t>
            </w:r>
          </w:p>
        </w:tc>
      </w:tr>
    </w:tbl>
    <w:p>
      <w:pPr>
        <w:pStyle w:val="BodyTextIndent"/>
        <w:spacing w:after="0" w:line="360" w:lineRule="auto"/>
        <w:ind w:left="0" w:firstLine="560" w:leftChars="0" w:firstLineChars="200"/>
        <w:rPr>
          <w:rFonts w:ascii="仿宋_GB2312" w:eastAsia="仿宋_GB2312" w:hAnsi="宋体" w:hint="eastAsia"/>
          <w:sz w:val="28"/>
          <w:szCs w:val="28"/>
        </w:rPr>
      </w:pPr>
      <w:r>
        <w:rPr>
          <w:rFonts w:ascii="仿宋_GB2312" w:eastAsia="仿宋_GB2312" w:hAnsi="宋体" w:hint="eastAsia"/>
          <w:sz w:val="28"/>
          <w:szCs w:val="28"/>
          <w:lang w:val="en-US" w:eastAsia="zh-CN"/>
        </w:rPr>
        <w:t>2、</w:t>
      </w:r>
      <w:r>
        <w:rPr>
          <w:rFonts w:ascii="仿宋_GB2312" w:eastAsia="仿宋_GB2312" w:hAnsi="宋体" w:hint="eastAsia"/>
          <w:sz w:val="28"/>
          <w:szCs w:val="28"/>
        </w:rPr>
        <w:t>设备投入</w:t>
      </w:r>
    </w:p>
    <w:p>
      <w:pPr>
        <w:pStyle w:val="BodyTextIndent"/>
        <w:spacing w:after="0" w:line="360" w:lineRule="auto"/>
        <w:ind w:left="0" w:firstLine="560" w:leftChars="0" w:firstLineChars="200"/>
        <w:rPr>
          <w:rFonts w:ascii="仿宋_GB2312" w:eastAsia="仿宋_GB2312" w:hAnsi="宋体" w:hint="eastAsia"/>
          <w:sz w:val="28"/>
          <w:szCs w:val="28"/>
        </w:rPr>
      </w:pPr>
      <w:r>
        <w:rPr>
          <w:rFonts w:ascii="仿宋_GB2312" w:eastAsia="仿宋_GB2312" w:hAnsi="宋体" w:hint="eastAsia"/>
          <w:sz w:val="28"/>
          <w:szCs w:val="28"/>
        </w:rPr>
        <w:t>为确保项目的顺利开展和按期完成，根据项目需求，为项目配备所需的相应软硬件设备。</w:t>
      </w:r>
    </w:p>
    <w:p>
      <w:pPr>
        <w:pStyle w:val="BodyTextIndent"/>
        <w:spacing w:after="0" w:line="360" w:lineRule="auto"/>
        <w:ind w:left="0" w:firstLine="560" w:leftChars="0" w:firstLineChars="200"/>
        <w:rPr>
          <w:rFonts w:ascii="仿宋_GB2312" w:eastAsia="仿宋_GB2312" w:hAnsi="宋体" w:hint="eastAsia"/>
          <w:sz w:val="28"/>
          <w:szCs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0"/>
          <w:cols w:space="708"/>
          <w:titlePg w:val="0"/>
          <w:docGrid w:type="lines" w:linePitch="312" w:charSpace="0"/>
        </w:sectPr>
      </w:pPr>
    </w:p>
    <w:p>
      <w:pPr>
        <w:pStyle w:val="BodyTextIndent"/>
        <w:spacing w:after="0" w:line="360" w:lineRule="auto"/>
        <w:ind w:left="0" w:firstLine="560" w:leftChars="0" w:firstLineChars="200"/>
        <w:rPr>
          <w:rFonts w:ascii="仿宋_GB2312" w:eastAsia="仿宋_GB2312" w:hAnsi="宋体" w:hint="eastAsia"/>
          <w:sz w:val="28"/>
          <w:szCs w:val="28"/>
        </w:rPr>
      </w:pPr>
      <w:r>
        <w:rPr>
          <w:rFonts w:ascii="仿宋_GB2312" w:eastAsia="仿宋_GB2312" w:hAnsi="宋体" w:hint="eastAsia"/>
          <w:sz w:val="28"/>
          <w:szCs w:val="28"/>
        </w:rPr>
        <w:t>项目实施配备的所有设备在开工前进行彻底的检修和检验，清理已有设备，检测筛选能够满足项目需求的软硬件设备，对于不能满足项目需要的，及时进行采购补充，以确保满足项目要求，并保证软硬件环境的稳定性与可靠性，保障</w:t>
      </w:r>
      <w:r>
        <w:rPr>
          <w:rFonts w:ascii="仿宋_GB2312" w:eastAsia="仿宋_GB2312" w:hAnsi="宋体" w:hint="eastAsia"/>
          <w:sz w:val="28"/>
          <w:szCs w:val="28"/>
          <w:lang w:val="en-US" w:eastAsia="zh-CN"/>
        </w:rPr>
        <w:t>更新汇交</w:t>
      </w:r>
      <w:r>
        <w:rPr>
          <w:rFonts w:ascii="仿宋_GB2312" w:eastAsia="仿宋_GB2312" w:hAnsi="宋体" w:hint="eastAsia"/>
          <w:sz w:val="28"/>
          <w:szCs w:val="28"/>
        </w:rPr>
        <w:t>工作的顺利开展。</w:t>
      </w:r>
    </w:p>
    <w:p>
      <w:pPr>
        <w:pStyle w:val="BodyTextIndent"/>
        <w:spacing w:after="0" w:line="360" w:lineRule="auto"/>
        <w:ind w:left="0" w:firstLine="560" w:leftChars="0" w:firstLineChars="200"/>
        <w:rPr>
          <w:rFonts w:ascii="仿宋_GB2312" w:eastAsia="仿宋_GB2312" w:hAnsi="宋体" w:hint="eastAsia"/>
          <w:sz w:val="28"/>
          <w:szCs w:val="28"/>
        </w:rPr>
      </w:pPr>
      <w:r>
        <w:rPr>
          <w:rFonts w:ascii="仿宋_GB2312" w:eastAsia="仿宋_GB2312" w:hAnsi="宋体" w:hint="eastAsia"/>
          <w:sz w:val="28"/>
          <w:szCs w:val="28"/>
        </w:rPr>
        <w:t>本项目的实施，我单位将采用计算机进行数据管理。为使我单位的技术生产手段保持先进性，本次施工，要发挥现有设备的优势，加强设备的管理，合理安排施工，使施工人员做到正确使用，精心维护，以确保各类设备处于良好的技术状态。</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67"/>
        <w:gridCol w:w="1370"/>
        <w:gridCol w:w="1187"/>
        <w:gridCol w:w="1775"/>
        <w:gridCol w:w="695"/>
        <w:gridCol w:w="788"/>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12"/>
          <w:jc w:val="center"/>
        </w:trPr>
        <w:tc>
          <w:tcPr>
            <w:tcW w:w="667"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序号</w:t>
            </w:r>
          </w:p>
        </w:tc>
        <w:tc>
          <w:tcPr>
            <w:tcW w:w="1370"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名称</w:t>
            </w:r>
          </w:p>
        </w:tc>
        <w:tc>
          <w:tcPr>
            <w:tcW w:w="1187"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型号</w:t>
            </w:r>
          </w:p>
        </w:tc>
        <w:tc>
          <w:tcPr>
            <w:tcW w:w="1775" w:type="dxa"/>
            <w:vAlign w:val="center"/>
          </w:tcPr>
          <w:p>
            <w:pPr>
              <w:snapToGrid w:val="0"/>
              <w:ind w:left="0" w:firstLine="0" w:leftChars="0" w:firstLineChars="0"/>
              <w:jc w:val="center"/>
              <w:rPr>
                <w:rFonts w:ascii="宋体" w:eastAsia="宋体" w:hAnsi="宋体" w:cs="宋体" w:hint="eastAsia"/>
                <w:sz w:val="18"/>
                <w:szCs w:val="18"/>
              </w:rPr>
            </w:pPr>
            <w:r>
              <w:rPr>
                <w:rFonts w:ascii="宋体" w:hAnsi="宋体" w:cs="宋体" w:hint="eastAsia"/>
                <w:sz w:val="18"/>
                <w:szCs w:val="18"/>
                <w:lang w:val="en-US" w:eastAsia="zh-CN"/>
              </w:rPr>
              <w:t>作用</w:t>
            </w:r>
          </w:p>
        </w:tc>
        <w:tc>
          <w:tcPr>
            <w:tcW w:w="695"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数量</w:t>
            </w:r>
          </w:p>
        </w:tc>
        <w:tc>
          <w:tcPr>
            <w:tcW w:w="788"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厂家</w:t>
            </w:r>
          </w:p>
        </w:tc>
      </w:tr>
      <w:tr>
        <w:tblPrEx>
          <w:tblW w:w="0" w:type="auto"/>
          <w:jc w:val="center"/>
          <w:tblLayout w:type="fixed"/>
          <w:tblCellMar>
            <w:top w:w="0" w:type="dxa"/>
            <w:left w:w="108" w:type="dxa"/>
            <w:bottom w:w="0" w:type="dxa"/>
            <w:right w:w="108" w:type="dxa"/>
          </w:tblCellMar>
          <w:tblLook w:val="0000"/>
        </w:tblPrEx>
        <w:trPr>
          <w:trHeight w:val="710"/>
          <w:jc w:val="center"/>
        </w:trPr>
        <w:tc>
          <w:tcPr>
            <w:tcW w:w="667"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1</w:t>
            </w:r>
          </w:p>
        </w:tc>
        <w:tc>
          <w:tcPr>
            <w:tcW w:w="1370" w:type="dxa"/>
            <w:vAlign w:val="center"/>
          </w:tcPr>
          <w:p>
            <w:pPr>
              <w:snapToGrid w:val="0"/>
              <w:ind w:left="0" w:firstLine="0" w:leftChars="0" w:firstLineChars="0"/>
              <w:jc w:val="center"/>
              <w:rPr>
                <w:rFonts w:ascii="宋体" w:eastAsia="宋体" w:hAnsi="宋体" w:cs="宋体" w:hint="default"/>
                <w:sz w:val="18"/>
                <w:szCs w:val="18"/>
              </w:rPr>
            </w:pPr>
            <w:r>
              <w:rPr>
                <w:rFonts w:ascii="宋体" w:hAnsi="宋体" w:cs="宋体" w:hint="eastAsia"/>
                <w:sz w:val="18"/>
                <w:szCs w:val="18"/>
                <w:lang w:val="en-US" w:eastAsia="zh-CN"/>
              </w:rPr>
              <w:t>全站仪</w:t>
            </w:r>
          </w:p>
        </w:tc>
        <w:tc>
          <w:tcPr>
            <w:tcW w:w="1187"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ZTS-121RL</w:t>
            </w:r>
          </w:p>
        </w:tc>
        <w:tc>
          <w:tcPr>
            <w:tcW w:w="1775" w:type="dxa"/>
            <w:vAlign w:val="center"/>
          </w:tcPr>
          <w:p>
            <w:pPr>
              <w:snapToGrid w:val="0"/>
              <w:ind w:left="0" w:firstLine="0" w:leftChars="0" w:firstLineChars="0"/>
              <w:jc w:val="center"/>
              <w:rPr>
                <w:rFonts w:ascii="宋体" w:eastAsia="宋体" w:hAnsi="宋体" w:cs="宋体" w:hint="default"/>
                <w:sz w:val="18"/>
                <w:szCs w:val="18"/>
              </w:rPr>
            </w:pPr>
            <w:r>
              <w:rPr>
                <w:rFonts w:ascii="宋体" w:hAnsi="宋体" w:cs="宋体" w:hint="eastAsia"/>
                <w:sz w:val="18"/>
                <w:szCs w:val="18"/>
                <w:lang w:val="en-US" w:eastAsia="zh-CN"/>
              </w:rPr>
              <w:t>坐标采集</w:t>
            </w:r>
          </w:p>
        </w:tc>
        <w:tc>
          <w:tcPr>
            <w:tcW w:w="695" w:type="dxa"/>
            <w:vAlign w:val="center"/>
          </w:tcPr>
          <w:p>
            <w:pPr>
              <w:snapToGrid w:val="0"/>
              <w:ind w:left="0" w:firstLine="0" w:leftChars="0" w:firstLineChars="0"/>
              <w:jc w:val="center"/>
              <w:rPr>
                <w:rFonts w:ascii="宋体" w:eastAsia="宋体" w:hAnsi="宋体" w:cs="宋体" w:hint="eastAsia"/>
                <w:sz w:val="18"/>
                <w:szCs w:val="18"/>
              </w:rPr>
            </w:pPr>
            <w:r>
              <w:rPr>
                <w:rFonts w:ascii="宋体" w:hAnsi="宋体" w:cs="宋体" w:hint="eastAsia"/>
                <w:sz w:val="18"/>
                <w:szCs w:val="18"/>
              </w:rPr>
              <w:t>1</w:t>
            </w:r>
            <w:r>
              <w:rPr>
                <w:rFonts w:ascii="宋体" w:hAnsi="宋体" w:cs="宋体" w:hint="eastAsia"/>
                <w:sz w:val="18"/>
                <w:szCs w:val="18"/>
                <w:lang w:val="en-US" w:eastAsia="zh-CN"/>
              </w:rPr>
              <w:t>套</w:t>
            </w:r>
          </w:p>
        </w:tc>
        <w:tc>
          <w:tcPr>
            <w:tcW w:w="788" w:type="dxa"/>
            <w:vAlign w:val="center"/>
          </w:tcPr>
          <w:p>
            <w:pPr>
              <w:snapToGrid w:val="0"/>
              <w:ind w:left="0" w:firstLine="0" w:leftChars="0" w:firstLineChars="0"/>
              <w:jc w:val="center"/>
              <w:rPr>
                <w:rFonts w:ascii="宋体" w:eastAsia="宋体" w:hAnsi="宋体" w:cs="宋体" w:hint="eastAsia"/>
                <w:sz w:val="18"/>
                <w:szCs w:val="18"/>
              </w:rPr>
            </w:pPr>
            <w:r>
              <w:rPr>
                <w:rFonts w:ascii="宋体" w:hAnsi="宋体" w:cs="宋体" w:hint="eastAsia"/>
                <w:sz w:val="18"/>
                <w:szCs w:val="18"/>
                <w:lang w:val="en-US" w:eastAsia="zh-CN"/>
              </w:rPr>
              <w:t>南方</w:t>
            </w:r>
          </w:p>
        </w:tc>
      </w:tr>
      <w:tr>
        <w:tblPrEx>
          <w:tblW w:w="0" w:type="auto"/>
          <w:jc w:val="center"/>
          <w:tblLayout w:type="fixed"/>
          <w:tblCellMar>
            <w:top w:w="0" w:type="dxa"/>
            <w:left w:w="108" w:type="dxa"/>
            <w:bottom w:w="0" w:type="dxa"/>
            <w:right w:w="108" w:type="dxa"/>
          </w:tblCellMar>
          <w:tblLook w:val="0000"/>
        </w:tblPrEx>
        <w:trPr>
          <w:trHeight w:val="552"/>
          <w:jc w:val="center"/>
        </w:trPr>
        <w:tc>
          <w:tcPr>
            <w:tcW w:w="667" w:type="dxa"/>
            <w:vAlign w:val="center"/>
          </w:tcPr>
          <w:p>
            <w:pPr>
              <w:snapToGrid w:val="0"/>
              <w:ind w:left="0" w:firstLine="0" w:leftChars="0" w:firstLineChars="0"/>
              <w:jc w:val="center"/>
              <w:rPr>
                <w:rFonts w:ascii="宋体" w:eastAsia="宋体" w:hAnsi="宋体" w:cs="宋体" w:hint="eastAsia"/>
                <w:sz w:val="18"/>
                <w:szCs w:val="18"/>
              </w:rPr>
            </w:pPr>
            <w:r>
              <w:rPr>
                <w:rFonts w:ascii="宋体" w:hAnsi="宋体" w:cs="宋体" w:hint="eastAsia"/>
                <w:sz w:val="18"/>
                <w:szCs w:val="18"/>
                <w:lang w:val="en-US" w:eastAsia="zh-CN"/>
              </w:rPr>
              <w:t>2</w:t>
            </w:r>
          </w:p>
        </w:tc>
        <w:tc>
          <w:tcPr>
            <w:tcW w:w="1370" w:type="dxa"/>
            <w:vAlign w:val="center"/>
          </w:tcPr>
          <w:p>
            <w:pPr>
              <w:snapToGrid w:val="0"/>
              <w:ind w:left="0" w:firstLine="0" w:leftChars="0" w:firstLineChars="0"/>
              <w:jc w:val="center"/>
              <w:rPr>
                <w:rFonts w:ascii="宋体" w:eastAsia="宋体" w:hAnsi="宋体" w:cs="宋体" w:hint="default"/>
                <w:sz w:val="18"/>
                <w:szCs w:val="18"/>
              </w:rPr>
            </w:pPr>
            <w:r>
              <w:rPr>
                <w:rFonts w:ascii="宋体" w:hAnsi="宋体" w:cs="宋体" w:hint="eastAsia"/>
                <w:sz w:val="18"/>
                <w:szCs w:val="18"/>
                <w:lang w:val="en-US" w:eastAsia="zh-CN"/>
              </w:rPr>
              <w:t>GPS</w:t>
            </w:r>
          </w:p>
        </w:tc>
        <w:tc>
          <w:tcPr>
            <w:tcW w:w="1187" w:type="dxa"/>
            <w:vAlign w:val="center"/>
          </w:tcPr>
          <w:p>
            <w:pPr>
              <w:snapToGrid w:val="0"/>
              <w:ind w:left="0" w:firstLine="0" w:leftChars="0" w:firstLineChars="0"/>
              <w:jc w:val="center"/>
              <w:rPr>
                <w:rFonts w:ascii="宋体" w:eastAsia="宋体" w:hAnsi="宋体" w:cs="宋体" w:hint="default"/>
                <w:sz w:val="18"/>
                <w:szCs w:val="18"/>
              </w:rPr>
            </w:pPr>
            <w:r>
              <w:rPr>
                <w:rFonts w:ascii="宋体" w:hAnsi="宋体" w:cs="宋体" w:hint="eastAsia"/>
                <w:sz w:val="18"/>
                <w:szCs w:val="18"/>
                <w:lang w:val="en-US" w:eastAsia="zh-CN"/>
              </w:rPr>
              <w:t>银河1</w:t>
            </w:r>
          </w:p>
        </w:tc>
        <w:tc>
          <w:tcPr>
            <w:tcW w:w="1775" w:type="dxa"/>
            <w:vAlign w:val="center"/>
          </w:tcPr>
          <w:p>
            <w:pPr>
              <w:snapToGrid w:val="0"/>
              <w:ind w:left="0" w:firstLine="0" w:leftChars="0" w:firstLineChars="0"/>
              <w:jc w:val="center"/>
              <w:rPr>
                <w:rFonts w:ascii="宋体" w:eastAsia="宋体" w:hAnsi="宋体" w:cs="宋体" w:hint="default"/>
                <w:sz w:val="18"/>
                <w:szCs w:val="18"/>
              </w:rPr>
            </w:pPr>
            <w:r>
              <w:rPr>
                <w:rFonts w:ascii="宋体" w:hAnsi="宋体" w:cs="宋体" w:hint="eastAsia"/>
                <w:sz w:val="18"/>
                <w:szCs w:val="18"/>
                <w:lang w:val="en-US" w:eastAsia="zh-CN"/>
              </w:rPr>
              <w:t>坐标采集</w:t>
            </w:r>
          </w:p>
        </w:tc>
        <w:tc>
          <w:tcPr>
            <w:tcW w:w="695" w:type="dxa"/>
            <w:vAlign w:val="center"/>
          </w:tcPr>
          <w:p>
            <w:pPr>
              <w:snapToGrid w:val="0"/>
              <w:ind w:left="0" w:firstLine="0" w:leftChars="0" w:firstLineChars="0"/>
              <w:jc w:val="center"/>
              <w:rPr>
                <w:rFonts w:ascii="宋体" w:eastAsia="宋体" w:hAnsi="宋体" w:cs="宋体" w:hint="eastAsia"/>
                <w:sz w:val="18"/>
                <w:szCs w:val="18"/>
              </w:rPr>
            </w:pPr>
            <w:r>
              <w:rPr>
                <w:rFonts w:ascii="宋体" w:hAnsi="宋体" w:cs="宋体" w:hint="eastAsia"/>
                <w:sz w:val="18"/>
                <w:szCs w:val="18"/>
              </w:rPr>
              <w:t>1</w:t>
            </w:r>
            <w:r>
              <w:rPr>
                <w:rFonts w:ascii="宋体" w:hAnsi="宋体" w:cs="宋体" w:hint="eastAsia"/>
                <w:sz w:val="18"/>
                <w:szCs w:val="18"/>
                <w:lang w:val="en-US" w:eastAsia="zh-CN"/>
              </w:rPr>
              <w:t>套</w:t>
            </w:r>
          </w:p>
        </w:tc>
        <w:tc>
          <w:tcPr>
            <w:tcW w:w="788" w:type="dxa"/>
            <w:vAlign w:val="center"/>
          </w:tcPr>
          <w:p>
            <w:pPr>
              <w:snapToGrid w:val="0"/>
              <w:ind w:left="0" w:firstLine="0" w:leftChars="0" w:firstLineChars="0"/>
              <w:jc w:val="center"/>
              <w:rPr>
                <w:rFonts w:ascii="宋体" w:eastAsia="宋体" w:hAnsi="宋体" w:cs="宋体" w:hint="eastAsia"/>
                <w:sz w:val="18"/>
                <w:szCs w:val="18"/>
              </w:rPr>
            </w:pPr>
            <w:r>
              <w:rPr>
                <w:rFonts w:ascii="宋体" w:hAnsi="宋体" w:cs="宋体" w:hint="eastAsia"/>
                <w:sz w:val="18"/>
                <w:szCs w:val="18"/>
                <w:lang w:val="en-US" w:eastAsia="zh-CN"/>
              </w:rPr>
              <w:t>南方</w:t>
            </w:r>
          </w:p>
        </w:tc>
      </w:tr>
      <w:tr>
        <w:tblPrEx>
          <w:tblW w:w="0" w:type="auto"/>
          <w:jc w:val="center"/>
          <w:tblLayout w:type="fixed"/>
          <w:tblCellMar>
            <w:top w:w="0" w:type="dxa"/>
            <w:left w:w="108" w:type="dxa"/>
            <w:bottom w:w="0" w:type="dxa"/>
            <w:right w:w="108" w:type="dxa"/>
          </w:tblCellMar>
          <w:tblLook w:val="0000"/>
        </w:tblPrEx>
        <w:trPr>
          <w:trHeight w:val="552"/>
          <w:jc w:val="center"/>
        </w:trPr>
        <w:tc>
          <w:tcPr>
            <w:tcW w:w="667" w:type="dxa"/>
            <w:vAlign w:val="center"/>
          </w:tcPr>
          <w:p>
            <w:pPr>
              <w:snapToGrid w:val="0"/>
              <w:ind w:left="0" w:firstLine="0" w:leftChars="0" w:firstLineChars="0"/>
              <w:jc w:val="center"/>
              <w:rPr>
                <w:rFonts w:ascii="宋体" w:eastAsia="宋体" w:hAnsi="宋体" w:cs="宋体" w:hint="eastAsia"/>
                <w:sz w:val="18"/>
                <w:szCs w:val="18"/>
              </w:rPr>
            </w:pPr>
            <w:r>
              <w:rPr>
                <w:rFonts w:ascii="宋体" w:hAnsi="宋体" w:cs="宋体" w:hint="eastAsia"/>
                <w:sz w:val="18"/>
                <w:szCs w:val="18"/>
                <w:lang w:val="en-US" w:eastAsia="zh-CN"/>
              </w:rPr>
              <w:t>3</w:t>
            </w:r>
          </w:p>
        </w:tc>
        <w:tc>
          <w:tcPr>
            <w:tcW w:w="1370"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笔记本电脑</w:t>
            </w:r>
          </w:p>
        </w:tc>
        <w:tc>
          <w:tcPr>
            <w:tcW w:w="1187"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IBM</w:t>
            </w:r>
          </w:p>
        </w:tc>
        <w:tc>
          <w:tcPr>
            <w:tcW w:w="1775"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现场数据处理</w:t>
            </w:r>
          </w:p>
        </w:tc>
        <w:tc>
          <w:tcPr>
            <w:tcW w:w="695" w:type="dxa"/>
            <w:vAlign w:val="center"/>
          </w:tcPr>
          <w:p>
            <w:pPr>
              <w:snapToGrid w:val="0"/>
              <w:ind w:left="0" w:firstLine="0" w:leftChars="0" w:firstLineChars="0"/>
              <w:jc w:val="center"/>
              <w:rPr>
                <w:rFonts w:ascii="宋体" w:eastAsia="宋体" w:hAnsi="宋体" w:cs="宋体" w:hint="default"/>
                <w:sz w:val="18"/>
                <w:szCs w:val="18"/>
              </w:rPr>
            </w:pPr>
            <w:r>
              <w:rPr>
                <w:rFonts w:ascii="宋体" w:hAnsi="宋体" w:cs="宋体" w:hint="eastAsia"/>
                <w:sz w:val="18"/>
                <w:szCs w:val="18"/>
                <w:lang w:val="en-US" w:eastAsia="zh-CN"/>
              </w:rPr>
              <w:t>6台</w:t>
            </w:r>
          </w:p>
        </w:tc>
        <w:tc>
          <w:tcPr>
            <w:tcW w:w="788"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联想</w:t>
            </w:r>
          </w:p>
        </w:tc>
      </w:tr>
      <w:tr>
        <w:tblPrEx>
          <w:tblW w:w="0" w:type="auto"/>
          <w:jc w:val="center"/>
          <w:tblLayout w:type="fixed"/>
          <w:tblCellMar>
            <w:top w:w="0" w:type="dxa"/>
            <w:left w:w="108" w:type="dxa"/>
            <w:bottom w:w="0" w:type="dxa"/>
            <w:right w:w="108" w:type="dxa"/>
          </w:tblCellMar>
          <w:tblLook w:val="0000"/>
        </w:tblPrEx>
        <w:trPr>
          <w:trHeight w:val="552"/>
          <w:jc w:val="center"/>
        </w:trPr>
        <w:tc>
          <w:tcPr>
            <w:tcW w:w="667" w:type="dxa"/>
            <w:vAlign w:val="center"/>
          </w:tcPr>
          <w:p>
            <w:pPr>
              <w:snapToGrid w:val="0"/>
              <w:ind w:left="0" w:firstLine="0" w:leftChars="0" w:firstLineChars="0"/>
              <w:jc w:val="center"/>
              <w:rPr>
                <w:rFonts w:ascii="宋体" w:eastAsia="宋体" w:hAnsi="宋体" w:cs="宋体" w:hint="eastAsia"/>
                <w:sz w:val="18"/>
                <w:szCs w:val="18"/>
              </w:rPr>
            </w:pPr>
            <w:r>
              <w:rPr>
                <w:rFonts w:ascii="宋体" w:hAnsi="宋体" w:cs="宋体" w:hint="eastAsia"/>
                <w:sz w:val="18"/>
                <w:szCs w:val="18"/>
                <w:lang w:val="en-US" w:eastAsia="zh-CN"/>
              </w:rPr>
              <w:t>4</w:t>
            </w:r>
          </w:p>
        </w:tc>
        <w:tc>
          <w:tcPr>
            <w:tcW w:w="1370"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台式电脑</w:t>
            </w:r>
          </w:p>
        </w:tc>
        <w:tc>
          <w:tcPr>
            <w:tcW w:w="1187"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华硕</w:t>
            </w:r>
          </w:p>
        </w:tc>
        <w:tc>
          <w:tcPr>
            <w:tcW w:w="1775"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lang w:val="en-US" w:eastAsia="zh-CN"/>
              </w:rPr>
              <w:t>内业</w:t>
            </w:r>
            <w:r>
              <w:rPr>
                <w:rFonts w:ascii="宋体" w:hAnsi="宋体" w:cs="宋体" w:hint="eastAsia"/>
                <w:sz w:val="18"/>
                <w:szCs w:val="18"/>
              </w:rPr>
              <w:t>数据处理</w:t>
            </w:r>
          </w:p>
        </w:tc>
        <w:tc>
          <w:tcPr>
            <w:tcW w:w="695" w:type="dxa"/>
            <w:vAlign w:val="center"/>
          </w:tcPr>
          <w:p>
            <w:pPr>
              <w:snapToGrid w:val="0"/>
              <w:ind w:left="0" w:firstLine="0" w:leftChars="0" w:firstLineChars="0"/>
              <w:jc w:val="center"/>
              <w:rPr>
                <w:rFonts w:ascii="宋体" w:eastAsia="宋体" w:hAnsi="宋体" w:cs="宋体" w:hint="default"/>
                <w:sz w:val="18"/>
                <w:szCs w:val="18"/>
              </w:rPr>
            </w:pPr>
            <w:r>
              <w:rPr>
                <w:rFonts w:ascii="宋体" w:hAnsi="宋体" w:cs="宋体" w:hint="eastAsia"/>
                <w:sz w:val="18"/>
                <w:szCs w:val="18"/>
                <w:lang w:val="en-US" w:eastAsia="zh-CN"/>
              </w:rPr>
              <w:t>6台</w:t>
            </w:r>
          </w:p>
        </w:tc>
        <w:tc>
          <w:tcPr>
            <w:tcW w:w="788"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华硕</w:t>
            </w:r>
          </w:p>
        </w:tc>
      </w:tr>
      <w:tr>
        <w:tblPrEx>
          <w:tblW w:w="0" w:type="auto"/>
          <w:jc w:val="center"/>
          <w:tblLayout w:type="fixed"/>
          <w:tblCellMar>
            <w:top w:w="0" w:type="dxa"/>
            <w:left w:w="108" w:type="dxa"/>
            <w:bottom w:w="0" w:type="dxa"/>
            <w:right w:w="108" w:type="dxa"/>
          </w:tblCellMar>
          <w:tblLook w:val="0000"/>
        </w:tblPrEx>
        <w:trPr>
          <w:trHeight w:val="552"/>
          <w:jc w:val="center"/>
        </w:trPr>
        <w:tc>
          <w:tcPr>
            <w:tcW w:w="667" w:type="dxa"/>
            <w:vAlign w:val="center"/>
          </w:tcPr>
          <w:p>
            <w:pPr>
              <w:snapToGrid w:val="0"/>
              <w:ind w:left="0" w:firstLine="0" w:leftChars="0" w:firstLineChars="0"/>
              <w:jc w:val="center"/>
              <w:rPr>
                <w:rFonts w:ascii="宋体" w:eastAsia="宋体" w:hAnsi="宋体" w:cs="宋体" w:hint="eastAsia"/>
                <w:sz w:val="18"/>
                <w:szCs w:val="18"/>
              </w:rPr>
            </w:pPr>
            <w:r>
              <w:rPr>
                <w:rFonts w:ascii="宋体" w:hAnsi="宋体" w:cs="宋体" w:hint="eastAsia"/>
                <w:sz w:val="18"/>
                <w:szCs w:val="18"/>
                <w:lang w:val="en-US" w:eastAsia="zh-CN"/>
              </w:rPr>
              <w:t>5</w:t>
            </w:r>
          </w:p>
        </w:tc>
        <w:tc>
          <w:tcPr>
            <w:tcW w:w="1370"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打印机</w:t>
            </w:r>
          </w:p>
        </w:tc>
        <w:tc>
          <w:tcPr>
            <w:tcW w:w="1187"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HP1160</w:t>
            </w:r>
          </w:p>
        </w:tc>
        <w:tc>
          <w:tcPr>
            <w:tcW w:w="1775"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文稿打印</w:t>
            </w:r>
          </w:p>
        </w:tc>
        <w:tc>
          <w:tcPr>
            <w:tcW w:w="695" w:type="dxa"/>
            <w:vAlign w:val="center"/>
          </w:tcPr>
          <w:p>
            <w:pPr>
              <w:snapToGrid w:val="0"/>
              <w:ind w:left="0" w:firstLine="0" w:leftChars="0" w:firstLineChars="0"/>
              <w:jc w:val="center"/>
              <w:rPr>
                <w:rFonts w:ascii="宋体" w:eastAsia="宋体" w:hAnsi="宋体" w:cs="宋体" w:hint="eastAsia"/>
                <w:sz w:val="18"/>
                <w:szCs w:val="18"/>
              </w:rPr>
            </w:pPr>
            <w:r>
              <w:rPr>
                <w:rFonts w:ascii="宋体" w:hAnsi="宋体" w:cs="宋体" w:hint="eastAsia"/>
                <w:sz w:val="18"/>
                <w:szCs w:val="18"/>
              </w:rPr>
              <w:t>1</w:t>
            </w:r>
            <w:r>
              <w:rPr>
                <w:rFonts w:ascii="宋体" w:hAnsi="宋体" w:cs="宋体" w:hint="eastAsia"/>
                <w:sz w:val="18"/>
                <w:szCs w:val="18"/>
                <w:lang w:val="en-US" w:eastAsia="zh-CN"/>
              </w:rPr>
              <w:t>台</w:t>
            </w:r>
          </w:p>
        </w:tc>
        <w:tc>
          <w:tcPr>
            <w:tcW w:w="788"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惠普</w:t>
            </w:r>
          </w:p>
        </w:tc>
      </w:tr>
      <w:tr>
        <w:tblPrEx>
          <w:tblW w:w="0" w:type="auto"/>
          <w:jc w:val="center"/>
          <w:tblLayout w:type="fixed"/>
          <w:tblCellMar>
            <w:top w:w="0" w:type="dxa"/>
            <w:left w:w="108" w:type="dxa"/>
            <w:bottom w:w="0" w:type="dxa"/>
            <w:right w:w="108" w:type="dxa"/>
          </w:tblCellMar>
          <w:tblLook w:val="0000"/>
        </w:tblPrEx>
        <w:trPr>
          <w:trHeight w:val="552"/>
          <w:jc w:val="center"/>
        </w:trPr>
        <w:tc>
          <w:tcPr>
            <w:tcW w:w="667" w:type="dxa"/>
            <w:vAlign w:val="center"/>
          </w:tcPr>
          <w:p>
            <w:pPr>
              <w:snapToGrid w:val="0"/>
              <w:ind w:left="0" w:firstLine="0" w:leftChars="0" w:firstLineChars="0"/>
              <w:jc w:val="center"/>
              <w:rPr>
                <w:rFonts w:ascii="宋体" w:eastAsia="宋体" w:hAnsi="宋体" w:cs="宋体" w:hint="eastAsia"/>
                <w:sz w:val="18"/>
                <w:szCs w:val="18"/>
              </w:rPr>
            </w:pPr>
            <w:r>
              <w:rPr>
                <w:rFonts w:ascii="宋体" w:hAnsi="宋体" w:cs="宋体" w:hint="eastAsia"/>
                <w:sz w:val="18"/>
                <w:szCs w:val="18"/>
                <w:lang w:val="en-US" w:eastAsia="zh-CN"/>
              </w:rPr>
              <w:t>6</w:t>
            </w:r>
          </w:p>
        </w:tc>
        <w:tc>
          <w:tcPr>
            <w:tcW w:w="1370" w:type="dxa"/>
            <w:vAlign w:val="center"/>
          </w:tcPr>
          <w:p>
            <w:pPr>
              <w:snapToGrid w:val="0"/>
              <w:ind w:left="0" w:firstLine="0" w:leftChars="0" w:firstLineChars="0"/>
              <w:jc w:val="center"/>
              <w:rPr>
                <w:rFonts w:ascii="宋体" w:hAnsi="宋体" w:cs="宋体" w:hint="eastAsia"/>
                <w:sz w:val="18"/>
                <w:szCs w:val="18"/>
              </w:rPr>
            </w:pPr>
            <w:r>
              <w:rPr>
                <w:rFonts w:ascii="宋体" w:hAnsi="宋体" w:cs="宋体" w:hint="eastAsia"/>
                <w:sz w:val="18"/>
                <w:szCs w:val="18"/>
              </w:rPr>
              <w:t>车辆</w:t>
            </w:r>
          </w:p>
        </w:tc>
        <w:tc>
          <w:tcPr>
            <w:tcW w:w="1187" w:type="dxa"/>
            <w:vAlign w:val="center"/>
          </w:tcPr>
          <w:p>
            <w:pPr>
              <w:snapToGrid w:val="0"/>
              <w:ind w:left="0" w:firstLine="0" w:leftChars="0" w:firstLineChars="0"/>
              <w:jc w:val="center"/>
              <w:rPr>
                <w:rFonts w:ascii="宋体" w:eastAsia="宋体" w:hAnsi="宋体" w:cs="宋体" w:hint="default"/>
                <w:sz w:val="18"/>
                <w:szCs w:val="18"/>
              </w:rPr>
            </w:pPr>
            <w:r>
              <w:rPr>
                <w:rFonts w:ascii="宋体" w:hAnsi="宋体" w:cs="宋体" w:hint="eastAsia"/>
                <w:sz w:val="18"/>
                <w:szCs w:val="18"/>
                <w:lang w:val="en-US" w:eastAsia="zh-CN"/>
              </w:rPr>
              <w:t>哈佛H6</w:t>
            </w:r>
          </w:p>
        </w:tc>
        <w:tc>
          <w:tcPr>
            <w:tcW w:w="1775" w:type="dxa"/>
            <w:vAlign w:val="center"/>
          </w:tcPr>
          <w:p>
            <w:pPr>
              <w:snapToGrid w:val="0"/>
              <w:ind w:left="0" w:firstLine="0" w:leftChars="0" w:firstLineChars="0"/>
              <w:jc w:val="center"/>
              <w:rPr>
                <w:rFonts w:ascii="宋体" w:eastAsia="宋体" w:hAnsi="宋体" w:cs="宋体" w:hint="default"/>
                <w:sz w:val="18"/>
                <w:szCs w:val="18"/>
              </w:rPr>
            </w:pPr>
            <w:r>
              <w:rPr>
                <w:rFonts w:ascii="宋体" w:hAnsi="宋体" w:cs="宋体" w:hint="eastAsia"/>
                <w:sz w:val="18"/>
                <w:szCs w:val="18"/>
              </w:rPr>
              <w:t>运送人员</w:t>
            </w:r>
            <w:r>
              <w:rPr>
                <w:rFonts w:ascii="宋体" w:hAnsi="宋体" w:cs="宋体" w:hint="eastAsia"/>
                <w:sz w:val="18"/>
                <w:szCs w:val="18"/>
                <w:lang w:val="en-US" w:eastAsia="zh-CN"/>
              </w:rPr>
              <w:t>与资料</w:t>
            </w:r>
          </w:p>
        </w:tc>
        <w:tc>
          <w:tcPr>
            <w:tcW w:w="695" w:type="dxa"/>
            <w:vAlign w:val="center"/>
          </w:tcPr>
          <w:p>
            <w:pPr>
              <w:snapToGrid w:val="0"/>
              <w:ind w:left="0" w:firstLine="0" w:leftChars="0" w:firstLineChars="0"/>
              <w:jc w:val="center"/>
              <w:rPr>
                <w:rFonts w:ascii="宋体" w:eastAsia="宋体" w:hAnsi="宋体" w:cs="宋体" w:hint="eastAsia"/>
                <w:sz w:val="18"/>
                <w:szCs w:val="18"/>
              </w:rPr>
            </w:pPr>
            <w:r>
              <w:rPr>
                <w:rFonts w:ascii="宋体" w:hAnsi="宋体" w:cs="宋体" w:hint="eastAsia"/>
                <w:sz w:val="18"/>
                <w:szCs w:val="18"/>
              </w:rPr>
              <w:t>1</w:t>
            </w:r>
            <w:r>
              <w:rPr>
                <w:rFonts w:ascii="宋体" w:hAnsi="宋体" w:cs="宋体" w:hint="eastAsia"/>
                <w:sz w:val="18"/>
                <w:szCs w:val="18"/>
                <w:lang w:val="en-US" w:eastAsia="zh-CN"/>
              </w:rPr>
              <w:t>辆</w:t>
            </w:r>
          </w:p>
        </w:tc>
        <w:tc>
          <w:tcPr>
            <w:tcW w:w="788" w:type="dxa"/>
            <w:vAlign w:val="center"/>
          </w:tcPr>
          <w:p>
            <w:pPr>
              <w:snapToGrid w:val="0"/>
              <w:ind w:left="0" w:firstLine="0" w:leftChars="0" w:firstLineChars="0"/>
              <w:jc w:val="center"/>
              <w:rPr>
                <w:rFonts w:ascii="宋体" w:eastAsia="宋体" w:hAnsi="宋体" w:cs="宋体" w:hint="default"/>
                <w:sz w:val="18"/>
                <w:szCs w:val="18"/>
              </w:rPr>
            </w:pPr>
            <w:r>
              <w:rPr>
                <w:rFonts w:ascii="宋体" w:hAnsi="宋体" w:cs="宋体" w:hint="eastAsia"/>
                <w:sz w:val="18"/>
                <w:szCs w:val="18"/>
                <w:lang w:val="en-US" w:eastAsia="zh-CN"/>
              </w:rPr>
              <w:t>长城</w:t>
            </w:r>
          </w:p>
        </w:tc>
      </w:tr>
      <w:tr>
        <w:tblPrEx>
          <w:tblW w:w="0" w:type="auto"/>
          <w:jc w:val="center"/>
          <w:tblLayout w:type="fixed"/>
          <w:tblCellMar>
            <w:top w:w="0" w:type="dxa"/>
            <w:left w:w="108" w:type="dxa"/>
            <w:bottom w:w="0" w:type="dxa"/>
            <w:right w:w="108" w:type="dxa"/>
          </w:tblCellMar>
          <w:tblLook w:val="0000"/>
        </w:tblPrEx>
        <w:trPr>
          <w:trHeight w:val="552"/>
          <w:jc w:val="center"/>
        </w:trPr>
        <w:tc>
          <w:tcPr>
            <w:tcW w:w="667" w:type="dxa"/>
            <w:vAlign w:val="center"/>
          </w:tcPr>
          <w:p>
            <w:pPr>
              <w:snapToGrid w:val="0"/>
              <w:ind w:left="0" w:firstLine="0" w:leftChars="0" w:firstLineChars="0"/>
              <w:jc w:val="center"/>
              <w:rPr>
                <w:rFonts w:ascii="宋体" w:hAnsi="宋体" w:cs="宋体" w:hint="default"/>
                <w:sz w:val="18"/>
                <w:szCs w:val="18"/>
              </w:rPr>
            </w:pPr>
            <w:r>
              <w:rPr>
                <w:rFonts w:ascii="宋体" w:hAnsi="宋体" w:cs="宋体" w:hint="eastAsia"/>
                <w:sz w:val="18"/>
                <w:szCs w:val="18"/>
                <w:lang w:val="en-US" w:eastAsia="zh-CN"/>
              </w:rPr>
              <w:t>7</w:t>
            </w:r>
          </w:p>
        </w:tc>
        <w:tc>
          <w:tcPr>
            <w:tcW w:w="1370" w:type="dxa"/>
            <w:vAlign w:val="center"/>
          </w:tcPr>
          <w:p>
            <w:pPr>
              <w:snapToGrid w:val="0"/>
              <w:ind w:left="0" w:firstLine="0" w:leftChars="0" w:firstLineChars="0"/>
              <w:jc w:val="center"/>
              <w:rPr>
                <w:rFonts w:ascii="宋体" w:eastAsia="宋体" w:hAnsi="宋体" w:cs="宋体" w:hint="default"/>
                <w:sz w:val="18"/>
                <w:szCs w:val="18"/>
              </w:rPr>
            </w:pPr>
            <w:r>
              <w:rPr>
                <w:rFonts w:ascii="宋体" w:hAnsi="宋体" w:cs="宋体" w:hint="eastAsia"/>
                <w:sz w:val="18"/>
                <w:szCs w:val="18"/>
                <w:lang w:val="en-US" w:eastAsia="zh-CN"/>
              </w:rPr>
              <w:t>ARCGIS</w:t>
            </w:r>
          </w:p>
        </w:tc>
        <w:tc>
          <w:tcPr>
            <w:tcW w:w="1187" w:type="dxa"/>
            <w:vAlign w:val="center"/>
          </w:tcPr>
          <w:p>
            <w:pPr>
              <w:snapToGrid w:val="0"/>
              <w:ind w:left="0" w:firstLine="0" w:leftChars="0" w:firstLineChars="0"/>
              <w:jc w:val="center"/>
              <w:rPr>
                <w:rFonts w:ascii="宋体" w:hAnsi="宋体" w:cs="宋体" w:hint="default"/>
                <w:sz w:val="18"/>
                <w:szCs w:val="18"/>
              </w:rPr>
            </w:pPr>
            <w:r>
              <w:rPr>
                <w:rFonts w:ascii="宋体" w:hAnsi="宋体" w:cs="宋体" w:hint="eastAsia"/>
                <w:sz w:val="18"/>
                <w:szCs w:val="18"/>
                <w:lang w:val="en-US" w:eastAsia="zh-CN"/>
              </w:rPr>
              <w:t>10.2</w:t>
            </w:r>
          </w:p>
        </w:tc>
        <w:tc>
          <w:tcPr>
            <w:tcW w:w="1775" w:type="dxa"/>
            <w:vAlign w:val="center"/>
          </w:tcPr>
          <w:p>
            <w:pPr>
              <w:snapToGrid w:val="0"/>
              <w:ind w:left="0" w:firstLine="0" w:leftChars="0" w:firstLineChars="0"/>
              <w:jc w:val="center"/>
              <w:rPr>
                <w:rFonts w:ascii="宋体" w:hAnsi="宋体" w:cs="宋体" w:hint="default"/>
                <w:sz w:val="18"/>
                <w:szCs w:val="18"/>
              </w:rPr>
            </w:pPr>
            <w:r>
              <w:rPr>
                <w:rFonts w:ascii="宋体" w:hAnsi="宋体" w:cs="宋体" w:hint="eastAsia"/>
                <w:sz w:val="18"/>
                <w:szCs w:val="18"/>
                <w:lang w:val="en-US" w:eastAsia="zh-CN"/>
              </w:rPr>
              <w:t>内业建库入库</w:t>
            </w:r>
          </w:p>
        </w:tc>
        <w:tc>
          <w:tcPr>
            <w:tcW w:w="695" w:type="dxa"/>
            <w:vAlign w:val="center"/>
          </w:tcPr>
          <w:p>
            <w:pPr>
              <w:snapToGrid w:val="0"/>
              <w:ind w:left="0" w:firstLine="0" w:leftChars="0" w:firstLineChars="0"/>
              <w:jc w:val="center"/>
              <w:rPr>
                <w:rFonts w:ascii="宋体" w:eastAsia="宋体" w:hAnsi="宋体" w:cs="宋体" w:hint="default"/>
                <w:sz w:val="18"/>
                <w:szCs w:val="18"/>
              </w:rPr>
            </w:pPr>
            <w:r>
              <w:rPr>
                <w:rFonts w:ascii="宋体" w:hAnsi="宋体" w:cs="宋体" w:hint="eastAsia"/>
                <w:sz w:val="18"/>
                <w:szCs w:val="18"/>
                <w:lang w:val="en-US" w:eastAsia="zh-CN"/>
              </w:rPr>
              <w:t>6套</w:t>
            </w:r>
          </w:p>
        </w:tc>
        <w:tc>
          <w:tcPr>
            <w:tcW w:w="788" w:type="dxa"/>
            <w:vAlign w:val="center"/>
          </w:tcPr>
          <w:p>
            <w:pPr>
              <w:snapToGrid w:val="0"/>
              <w:ind w:left="0" w:firstLine="0" w:leftChars="0" w:firstLineChars="0"/>
              <w:jc w:val="center"/>
              <w:rPr>
                <w:rFonts w:ascii="宋体" w:hAnsi="宋体" w:cs="宋体" w:hint="default"/>
                <w:sz w:val="18"/>
                <w:szCs w:val="18"/>
              </w:rPr>
            </w:pPr>
            <w:r>
              <w:rPr>
                <w:rFonts w:ascii="宋体" w:hAnsi="宋体" w:cs="宋体" w:hint="eastAsia"/>
                <w:sz w:val="18"/>
                <w:szCs w:val="18"/>
                <w:lang w:val="en-US" w:eastAsia="zh-CN"/>
              </w:rPr>
              <w:t xml:space="preserve"> ESRI</w:t>
            </w:r>
          </w:p>
        </w:tc>
      </w:tr>
    </w:tbl>
    <w:p>
      <w:pPr>
        <w:pStyle w:val="BodyTextIndent"/>
        <w:spacing w:after="0" w:line="360" w:lineRule="auto"/>
        <w:ind w:left="0" w:firstLine="560" w:leftChars="0" w:firstLineChars="200"/>
        <w:rPr>
          <w:rFonts w:ascii="仿宋_GB2312" w:eastAsia="仿宋_GB2312" w:hAnsi="宋体" w:hint="eastAsia"/>
          <w:sz w:val="28"/>
          <w:szCs w:val="28"/>
        </w:rPr>
      </w:pPr>
      <w:r>
        <w:rPr>
          <w:rFonts w:ascii="仿宋_GB2312" w:eastAsia="仿宋_GB2312" w:hAnsi="宋体" w:hint="eastAsia"/>
          <w:sz w:val="28"/>
          <w:szCs w:val="28"/>
          <w:lang w:val="en-US" w:eastAsia="zh-CN"/>
        </w:rPr>
        <w:t>3、</w:t>
      </w:r>
      <w:r>
        <w:rPr>
          <w:rFonts w:ascii="仿宋_GB2312" w:eastAsia="仿宋_GB2312" w:hAnsi="宋体" w:hint="eastAsia"/>
          <w:sz w:val="28"/>
          <w:szCs w:val="28"/>
        </w:rPr>
        <w:t>进度安排</w:t>
      </w:r>
    </w:p>
    <w:p>
      <w:pPr>
        <w:pStyle w:val="BodyTextIndent"/>
        <w:spacing w:after="0" w:line="360" w:lineRule="auto"/>
        <w:ind w:left="0" w:firstLine="560" w:leftChars="0" w:firstLineChars="200"/>
        <w:rPr>
          <w:rFonts w:ascii="仿宋_GB2312" w:eastAsia="仿宋_GB2312" w:hAnsi="宋体" w:hint="eastAsia"/>
          <w:sz w:val="28"/>
          <w:szCs w:val="28"/>
          <w:highlight w:val="none"/>
        </w:rPr>
      </w:pPr>
      <w:r>
        <w:rPr>
          <w:rFonts w:ascii="仿宋_GB2312" w:eastAsia="仿宋_GB2312" w:hAnsi="宋体" w:hint="eastAsia"/>
          <w:sz w:val="28"/>
          <w:szCs w:val="28"/>
          <w:highlight w:val="none"/>
        </w:rPr>
        <w:t>（1）2022年12月10日至202</w:t>
      </w:r>
      <w:r>
        <w:rPr>
          <w:rFonts w:ascii="仿宋_GB2312" w:eastAsia="仿宋_GB2312" w:hAnsi="宋体" w:hint="eastAsia"/>
          <w:sz w:val="28"/>
          <w:szCs w:val="28"/>
          <w:highlight w:val="none"/>
          <w:lang w:val="en-US" w:eastAsia="zh-CN"/>
        </w:rPr>
        <w:t>3</w:t>
      </w:r>
      <w:r>
        <w:rPr>
          <w:rFonts w:ascii="仿宋_GB2312" w:eastAsia="仿宋_GB2312" w:hAnsi="宋体" w:hint="eastAsia"/>
          <w:sz w:val="28"/>
          <w:szCs w:val="28"/>
          <w:highlight w:val="none"/>
        </w:rPr>
        <w:t>年1月</w:t>
      </w:r>
      <w:r>
        <w:rPr>
          <w:rFonts w:ascii="仿宋_GB2312" w:eastAsia="仿宋_GB2312" w:hAnsi="宋体" w:hint="eastAsia"/>
          <w:sz w:val="28"/>
          <w:szCs w:val="28"/>
          <w:highlight w:val="none"/>
          <w:lang w:val="en-US" w:eastAsia="zh-CN"/>
        </w:rPr>
        <w:t>10</w:t>
      </w:r>
      <w:r>
        <w:rPr>
          <w:rFonts w:ascii="仿宋_GB2312" w:eastAsia="仿宋_GB2312" w:hAnsi="宋体" w:hint="eastAsia"/>
          <w:sz w:val="28"/>
          <w:szCs w:val="28"/>
          <w:highlight w:val="none"/>
        </w:rPr>
        <w:t>日，安排4名外业作业人员完成资料收集、扫描、整理工作；</w:t>
      </w:r>
    </w:p>
    <w:p>
      <w:pPr>
        <w:pStyle w:val="BodyTextIndent"/>
        <w:spacing w:after="0" w:line="360" w:lineRule="auto"/>
        <w:ind w:left="0" w:firstLine="560" w:leftChars="0" w:firstLineChars="200"/>
        <w:rPr>
          <w:rFonts w:ascii="仿宋_GB2312" w:eastAsia="仿宋_GB2312" w:hAnsi="宋体" w:hint="eastAsia"/>
          <w:sz w:val="28"/>
          <w:szCs w:val="28"/>
          <w:highlight w:val="none"/>
        </w:rPr>
      </w:pPr>
      <w:r>
        <w:rPr>
          <w:rFonts w:ascii="仿宋_GB2312" w:eastAsia="仿宋_GB2312" w:hAnsi="宋体" w:hint="eastAsia"/>
          <w:sz w:val="28"/>
          <w:szCs w:val="28"/>
          <w:highlight w:val="none"/>
        </w:rPr>
        <w:t>（2）2023年</w:t>
      </w:r>
      <w:r>
        <w:rPr>
          <w:rFonts w:ascii="仿宋_GB2312" w:eastAsia="仿宋_GB2312" w:hAnsi="宋体" w:hint="eastAsia"/>
          <w:sz w:val="28"/>
          <w:szCs w:val="28"/>
          <w:highlight w:val="none"/>
          <w:lang w:val="en-US" w:eastAsia="zh-CN"/>
        </w:rPr>
        <w:t>1</w:t>
      </w:r>
      <w:r>
        <w:rPr>
          <w:rFonts w:ascii="仿宋_GB2312" w:eastAsia="仿宋_GB2312" w:hAnsi="宋体" w:hint="eastAsia"/>
          <w:sz w:val="28"/>
          <w:szCs w:val="28"/>
          <w:highlight w:val="none"/>
        </w:rPr>
        <w:t>月1</w:t>
      </w:r>
      <w:r>
        <w:rPr>
          <w:rFonts w:ascii="仿宋_GB2312" w:eastAsia="仿宋_GB2312" w:hAnsi="宋体" w:hint="eastAsia"/>
          <w:sz w:val="28"/>
          <w:szCs w:val="28"/>
          <w:highlight w:val="none"/>
          <w:lang w:val="en-US" w:eastAsia="zh-CN"/>
        </w:rPr>
        <w:t>1</w:t>
      </w:r>
      <w:r>
        <w:rPr>
          <w:rFonts w:ascii="仿宋_GB2312" w:eastAsia="仿宋_GB2312" w:hAnsi="宋体" w:hint="eastAsia"/>
          <w:sz w:val="28"/>
          <w:szCs w:val="28"/>
          <w:highlight w:val="none"/>
          <w:lang w:eastAsia="zh-CN"/>
        </w:rPr>
        <w:t>日</w:t>
      </w:r>
      <w:r>
        <w:rPr>
          <w:rFonts w:ascii="仿宋_GB2312" w:eastAsia="仿宋_GB2312" w:hAnsi="宋体" w:hint="eastAsia"/>
          <w:sz w:val="28"/>
          <w:szCs w:val="28"/>
          <w:highlight w:val="none"/>
        </w:rPr>
        <w:t>至2023年3月</w:t>
      </w:r>
      <w:r>
        <w:rPr>
          <w:rFonts w:ascii="仿宋_GB2312" w:eastAsia="仿宋_GB2312" w:hAnsi="宋体" w:hint="eastAsia"/>
          <w:sz w:val="28"/>
          <w:szCs w:val="28"/>
          <w:highlight w:val="none"/>
          <w:lang w:val="en-US" w:eastAsia="zh-CN"/>
        </w:rPr>
        <w:t>31</w:t>
      </w:r>
      <w:r>
        <w:rPr>
          <w:rFonts w:ascii="仿宋_GB2312" w:eastAsia="仿宋_GB2312" w:hAnsi="宋体" w:hint="eastAsia"/>
          <w:sz w:val="28"/>
          <w:szCs w:val="28"/>
          <w:highlight w:val="none"/>
        </w:rPr>
        <w:t>日，安排6名内业作业人员完成台账建立、信息补录工作；</w:t>
      </w:r>
    </w:p>
    <w:p>
      <w:pPr>
        <w:pStyle w:val="BodyTextIndent"/>
        <w:spacing w:after="0" w:line="360" w:lineRule="auto"/>
        <w:ind w:left="0" w:firstLine="560" w:leftChars="0" w:firstLineChars="200"/>
        <w:rPr>
          <w:rFonts w:ascii="仿宋_GB2312" w:eastAsia="仿宋_GB2312" w:hAnsi="宋体" w:hint="eastAsia"/>
          <w:sz w:val="28"/>
          <w:szCs w:val="28"/>
          <w:highlight w:val="none"/>
        </w:rPr>
      </w:pPr>
      <w:r>
        <w:rPr>
          <w:rFonts w:ascii="仿宋_GB2312" w:eastAsia="仿宋_GB2312" w:hAnsi="宋体" w:hint="eastAsia"/>
          <w:sz w:val="28"/>
          <w:szCs w:val="28"/>
          <w:highlight w:val="none"/>
        </w:rPr>
        <w:t>（3）2023年4月1日至2023年5月3</w:t>
      </w:r>
      <w:r>
        <w:rPr>
          <w:rFonts w:ascii="仿宋_GB2312" w:eastAsia="仿宋_GB2312" w:hAnsi="宋体" w:hint="eastAsia"/>
          <w:sz w:val="28"/>
          <w:szCs w:val="28"/>
          <w:highlight w:val="none"/>
          <w:lang w:val="en-US" w:eastAsia="zh-CN"/>
        </w:rPr>
        <w:t>1</w:t>
      </w:r>
      <w:r>
        <w:rPr>
          <w:rFonts w:ascii="仿宋_GB2312" w:eastAsia="仿宋_GB2312" w:hAnsi="宋体" w:hint="eastAsia"/>
          <w:sz w:val="28"/>
          <w:szCs w:val="28"/>
          <w:highlight w:val="none"/>
        </w:rPr>
        <w:t>日，安排5名外业作业人员同步根据问题台账清单完成外业补充调查与核查工作；</w:t>
      </w:r>
    </w:p>
    <w:p>
      <w:pPr>
        <w:pStyle w:val="BodyTextIndent"/>
        <w:spacing w:after="0" w:line="360" w:lineRule="auto"/>
        <w:ind w:left="0" w:firstLine="560" w:leftChars="0" w:firstLineChars="200"/>
        <w:rPr>
          <w:rFonts w:ascii="仿宋_GB2312" w:eastAsia="仿宋_GB2312" w:hAnsi="宋体" w:hint="eastAsia"/>
          <w:sz w:val="28"/>
          <w:szCs w:val="28"/>
          <w:highlight w:val="none"/>
        </w:rPr>
      </w:pPr>
      <w:r>
        <w:rPr>
          <w:rFonts w:ascii="仿宋_GB2312" w:eastAsia="仿宋_GB2312" w:hAnsi="宋体" w:hint="eastAsia"/>
          <w:sz w:val="28"/>
          <w:szCs w:val="28"/>
          <w:highlight w:val="none"/>
        </w:rPr>
        <w:t>（4）2023年6月1日至2023年7月3</w:t>
      </w:r>
      <w:r>
        <w:rPr>
          <w:rFonts w:ascii="仿宋_GB2312" w:eastAsia="仿宋_GB2312" w:hAnsi="宋体" w:hint="eastAsia"/>
          <w:sz w:val="28"/>
          <w:szCs w:val="28"/>
          <w:highlight w:val="none"/>
          <w:lang w:val="en-US" w:eastAsia="zh-CN"/>
        </w:rPr>
        <w:t>1</w:t>
      </w:r>
      <w:r>
        <w:rPr>
          <w:rFonts w:ascii="仿宋_GB2312" w:eastAsia="仿宋_GB2312" w:hAnsi="宋体" w:hint="eastAsia"/>
          <w:sz w:val="28"/>
          <w:szCs w:val="28"/>
          <w:highlight w:val="none"/>
        </w:rPr>
        <w:t>日，安排6名内业作业人员完成数据整合入库、调查成果输出</w:t>
      </w:r>
      <w:r>
        <w:rPr>
          <w:rFonts w:ascii="仿宋_GB2312" w:eastAsia="仿宋_GB2312" w:hAnsi="宋体" w:hint="eastAsia"/>
          <w:sz w:val="28"/>
          <w:szCs w:val="28"/>
          <w:highlight w:val="none"/>
          <w:lang w:val="en-US" w:eastAsia="zh-CN"/>
        </w:rPr>
        <w:t>及</w:t>
      </w:r>
      <w:r>
        <w:rPr>
          <w:rFonts w:ascii="仿宋_GB2312" w:eastAsia="仿宋_GB2312" w:hAnsi="宋体" w:hint="eastAsia"/>
          <w:sz w:val="28"/>
          <w:szCs w:val="28"/>
          <w:highlight w:val="none"/>
        </w:rPr>
        <w:t>签字盖章工作；</w:t>
      </w:r>
    </w:p>
    <w:p>
      <w:pPr>
        <w:pStyle w:val="BodyTextIndent"/>
        <w:spacing w:after="0" w:line="360" w:lineRule="auto"/>
        <w:ind w:left="0" w:firstLine="560" w:leftChars="0" w:firstLineChars="200"/>
        <w:rPr>
          <w:rFonts w:ascii="仿宋_GB2312" w:eastAsia="仿宋_GB2312" w:hAnsi="宋体" w:hint="eastAsia"/>
          <w:sz w:val="28"/>
          <w:szCs w:val="28"/>
          <w:highlight w:val="none"/>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1"/>
          <w:cols w:space="708"/>
          <w:titlePg w:val="0"/>
          <w:docGrid w:type="lines" w:linePitch="312" w:charSpace="0"/>
        </w:sectPr>
      </w:pPr>
      <w:r>
        <w:rPr>
          <w:rFonts w:ascii="仿宋_GB2312" w:eastAsia="仿宋_GB2312" w:hAnsi="宋体" w:hint="eastAsia"/>
          <w:sz w:val="28"/>
          <w:szCs w:val="28"/>
          <w:highlight w:val="none"/>
        </w:rPr>
        <w:t>（5）2023年8月1日至2023年10月底，完成登记成果的更新</w:t>
      </w:r>
    </w:p>
    <w:p>
      <w:pPr>
        <w:pStyle w:val="BodyTextIndent"/>
        <w:spacing w:after="0" w:line="360" w:lineRule="auto"/>
        <w:ind w:left="0" w:firstLine="560" w:leftChars="0" w:firstLineChars="200"/>
        <w:rPr>
          <w:rFonts w:ascii="仿宋_GB2312" w:eastAsia="仿宋_GB2312" w:hAnsi="宋体" w:hint="eastAsia"/>
          <w:sz w:val="28"/>
          <w:szCs w:val="28"/>
          <w:highlight w:val="none"/>
        </w:rPr>
      </w:pPr>
      <w:r>
        <w:rPr>
          <w:rFonts w:ascii="仿宋_GB2312" w:eastAsia="仿宋_GB2312" w:hAnsi="宋体" w:hint="eastAsia"/>
          <w:sz w:val="28"/>
          <w:szCs w:val="28"/>
          <w:highlight w:val="none"/>
          <w:lang w:val="en-US" w:eastAsia="zh-CN"/>
        </w:rPr>
        <w:t>上传</w:t>
      </w:r>
      <w:r>
        <w:rPr>
          <w:rFonts w:ascii="仿宋_GB2312" w:eastAsia="仿宋_GB2312" w:hAnsi="宋体" w:hint="eastAsia"/>
          <w:sz w:val="28"/>
          <w:szCs w:val="28"/>
          <w:highlight w:val="none"/>
        </w:rPr>
        <w:t>工作并进行作业单位自检和县级自检上报，县级自检和市级质检，根据质检结果，开展整改完善工作，直至质检通过。</w:t>
      </w:r>
    </w:p>
    <w:p>
      <w:pPr>
        <w:pStyle w:val="BodyTextIndent"/>
        <w:spacing w:after="0" w:line="360" w:lineRule="auto"/>
        <w:ind w:left="0" w:firstLine="560" w:leftChars="0" w:firstLineChars="200"/>
        <w:rPr>
          <w:rFonts w:ascii="仿宋_GB2312" w:eastAsia="仿宋_GB2312" w:hAnsi="宋体" w:hint="eastAsia"/>
          <w:sz w:val="28"/>
          <w:szCs w:val="28"/>
          <w:highlight w:val="yellow"/>
        </w:rPr>
      </w:pPr>
      <w:r>
        <w:rPr>
          <w:rFonts w:ascii="仿宋_GB2312" w:eastAsia="仿宋_GB2312" w:hAnsi="宋体" w:hint="eastAsia"/>
          <w:sz w:val="28"/>
          <w:szCs w:val="28"/>
          <w:highlight w:val="none"/>
        </w:rPr>
        <w:t>（6）根据自然资源部、省自然资源厅和市自然资源局相关要求，2023年12月底前，完成大田县集体土地所有权确权登记成果整理入库、集中更新、入省级库及成果汇交工作。</w:t>
      </w:r>
    </w:p>
    <w:p>
      <w:pPr>
        <w:pStyle w:val="Heading2"/>
        <w:rPr>
          <w:rFonts w:hint="eastAsia"/>
          <w:sz w:val="30"/>
          <w:szCs w:val="30"/>
          <w:lang w:val="en-US" w:eastAsia="zh-CN"/>
        </w:rPr>
      </w:pPr>
      <w:bookmarkStart w:id="22" w:name="_Toc8901"/>
      <w:r>
        <w:rPr>
          <w:rFonts w:hint="eastAsia"/>
          <w:sz w:val="30"/>
          <w:szCs w:val="30"/>
        </w:rPr>
        <w:t>（二）</w:t>
      </w:r>
      <w:r>
        <w:rPr>
          <w:rFonts w:hint="eastAsia"/>
          <w:sz w:val="30"/>
          <w:szCs w:val="30"/>
          <w:lang w:val="en-US" w:eastAsia="zh-CN"/>
        </w:rPr>
        <w:t>技术培训工作</w:t>
      </w:r>
      <w:bookmarkEnd w:id="22"/>
    </w:p>
    <w:p>
      <w:pPr>
        <w:pStyle w:val="BodyTextIndent"/>
        <w:spacing w:after="0" w:line="360" w:lineRule="auto"/>
        <w:ind w:left="0" w:firstLine="560" w:leftChars="0" w:firstLineChars="200"/>
        <w:rPr>
          <w:rFonts w:ascii="仿宋_GB2312" w:eastAsia="仿宋_GB2312" w:hAnsi="宋体" w:hint="eastAsia"/>
          <w:sz w:val="28"/>
          <w:szCs w:val="28"/>
          <w:lang w:val="en-US" w:eastAsia="zh-CN"/>
        </w:rPr>
      </w:pPr>
      <w:r>
        <w:rPr>
          <w:rFonts w:ascii="仿宋_GB2312" w:eastAsia="仿宋_GB2312" w:hAnsi="宋体" w:hint="eastAsia"/>
          <w:sz w:val="28"/>
          <w:szCs w:val="28"/>
        </w:rPr>
        <w:t>组织公司人员参与福建省制作集体所有权成果整理、建库、更新、汇交相关技术方案培训视频的观看与学习，公司技术负责人组织相关人员参加技术交流和研讨，归纳和总结技术流程，编制相关技术文档。</w:t>
      </w:r>
    </w:p>
    <w:p>
      <w:pPr>
        <w:pStyle w:val="Heading2"/>
        <w:rPr>
          <w:rFonts w:hint="eastAsia"/>
          <w:sz w:val="30"/>
          <w:szCs w:val="30"/>
        </w:rPr>
      </w:pPr>
      <w:bookmarkStart w:id="23" w:name="_Toc26215"/>
      <w:r>
        <w:rPr>
          <w:rFonts w:hint="eastAsia"/>
          <w:sz w:val="30"/>
          <w:szCs w:val="30"/>
        </w:rPr>
        <w:t>（</w:t>
      </w:r>
      <w:r>
        <w:rPr>
          <w:rFonts w:hint="eastAsia"/>
          <w:sz w:val="30"/>
          <w:szCs w:val="30"/>
          <w:lang w:val="en-US" w:eastAsia="zh-CN"/>
        </w:rPr>
        <w:t>三</w:t>
      </w:r>
      <w:r>
        <w:rPr>
          <w:rFonts w:hint="eastAsia"/>
          <w:sz w:val="30"/>
          <w:szCs w:val="30"/>
        </w:rPr>
        <w:t>）试点的确定</w:t>
      </w:r>
      <w:bookmarkEnd w:id="23"/>
    </w:p>
    <w:p>
      <w:pPr>
        <w:spacing w:line="360" w:lineRule="auto"/>
        <w:ind w:firstLine="717" w:firstLineChars="256"/>
        <w:rPr>
          <w:rFonts w:ascii="仿宋_GB2312" w:eastAsia="仿宋_GB2312" w:hAnsi="宋体" w:hint="eastAsia"/>
          <w:sz w:val="28"/>
          <w:szCs w:val="28"/>
        </w:rPr>
      </w:pPr>
      <w:r>
        <w:rPr>
          <w:rFonts w:ascii="仿宋_GB2312" w:eastAsia="仿宋_GB2312" w:hAnsi="宋体" w:hint="eastAsia"/>
          <w:sz w:val="28"/>
          <w:szCs w:val="28"/>
        </w:rPr>
        <w:t>为了保证本次</w:t>
      </w:r>
      <w:r>
        <w:rPr>
          <w:rFonts w:ascii="仿宋_GB2312" w:eastAsia="仿宋_GB2312" w:hAnsi="宋体" w:hint="eastAsia"/>
          <w:sz w:val="28"/>
          <w:szCs w:val="28"/>
          <w:lang w:val="en-US" w:eastAsia="zh-CN"/>
        </w:rPr>
        <w:t>项目</w:t>
      </w:r>
      <w:r>
        <w:rPr>
          <w:rFonts w:ascii="仿宋_GB2312" w:eastAsia="仿宋_GB2312" w:hAnsi="宋体" w:hint="eastAsia"/>
          <w:sz w:val="28"/>
          <w:szCs w:val="28"/>
        </w:rPr>
        <w:t>工作技术方法的切实可行，符合大田县的实际情况，为今后工作全面展开积累经验，大田县</w:t>
      </w:r>
      <w:r>
        <w:rPr>
          <w:rFonts w:ascii="仿宋_GB2312" w:eastAsia="仿宋_GB2312" w:hAnsi="宋体" w:hint="eastAsia"/>
          <w:sz w:val="28"/>
          <w:szCs w:val="28"/>
          <w:lang w:val="en-US" w:eastAsia="zh-CN"/>
        </w:rPr>
        <w:t>自然资源局</w:t>
      </w:r>
      <w:r>
        <w:rPr>
          <w:rFonts w:ascii="仿宋_GB2312" w:eastAsia="仿宋_GB2312" w:hAnsi="宋体" w:hint="eastAsia"/>
          <w:sz w:val="28"/>
          <w:szCs w:val="28"/>
        </w:rPr>
        <w:t>会同</w:t>
      </w:r>
      <w:r>
        <w:rPr>
          <w:rFonts w:ascii="仿宋_GB2312" w:eastAsia="仿宋_GB2312" w:hAnsi="宋体" w:hint="eastAsia"/>
          <w:sz w:val="28"/>
          <w:szCs w:val="28"/>
          <w:lang w:val="en-US" w:eastAsia="zh-CN"/>
        </w:rPr>
        <w:t>伟志股份</w:t>
      </w:r>
      <w:r>
        <w:rPr>
          <w:rFonts w:ascii="仿宋_GB2312" w:eastAsia="仿宋_GB2312" w:hAnsi="宋体" w:hint="eastAsia"/>
          <w:sz w:val="28"/>
          <w:szCs w:val="28"/>
        </w:rPr>
        <w:t>公司经充分的考虑、研究，选取比较有代表性、工作基础较好的</w:t>
      </w:r>
      <w:r>
        <w:rPr>
          <w:rFonts w:ascii="仿宋_GB2312" w:eastAsia="仿宋_GB2312" w:hAnsi="宋体" w:hint="eastAsia"/>
          <w:sz w:val="28"/>
          <w:szCs w:val="28"/>
          <w:lang w:val="en-US" w:eastAsia="zh-CN"/>
        </w:rPr>
        <w:t>建设镇</w:t>
      </w:r>
      <w:r>
        <w:rPr>
          <w:rFonts w:ascii="仿宋_GB2312" w:eastAsia="仿宋_GB2312" w:hAnsi="宋体" w:hint="eastAsia"/>
          <w:sz w:val="28"/>
          <w:szCs w:val="28"/>
        </w:rPr>
        <w:t>作为试点。</w:t>
      </w:r>
    </w:p>
    <w:p>
      <w:pPr>
        <w:pStyle w:val="Heading2"/>
        <w:rPr>
          <w:rFonts w:eastAsia="宋体" w:hint="default"/>
          <w:sz w:val="30"/>
          <w:szCs w:val="30"/>
          <w:lang w:val="en-US" w:eastAsia="zh-CN"/>
        </w:rPr>
      </w:pPr>
      <w:bookmarkStart w:id="24" w:name="_Toc10293"/>
      <w:r>
        <w:rPr>
          <w:rFonts w:hint="eastAsia"/>
          <w:sz w:val="30"/>
          <w:szCs w:val="30"/>
        </w:rPr>
        <w:t>（</w:t>
      </w:r>
      <w:r>
        <w:rPr>
          <w:rFonts w:hint="eastAsia"/>
          <w:sz w:val="30"/>
          <w:szCs w:val="30"/>
          <w:lang w:val="en-US" w:eastAsia="zh-CN"/>
        </w:rPr>
        <w:t>四</w:t>
      </w:r>
      <w:r>
        <w:rPr>
          <w:rFonts w:hint="eastAsia"/>
          <w:sz w:val="30"/>
          <w:szCs w:val="30"/>
        </w:rPr>
        <w:t>）</w:t>
      </w:r>
      <w:r>
        <w:rPr>
          <w:rFonts w:hint="eastAsia"/>
          <w:sz w:val="30"/>
          <w:szCs w:val="30"/>
          <w:lang w:val="en-US" w:eastAsia="zh-CN"/>
        </w:rPr>
        <w:t>制定实施方案</w:t>
      </w:r>
      <w:bookmarkEnd w:id="24"/>
    </w:p>
    <w:p>
      <w:pPr>
        <w:spacing w:line="360" w:lineRule="auto"/>
        <w:ind w:firstLine="560" w:firstLineChars="200"/>
        <w:rPr>
          <w:rFonts w:eastAsia="仿宋_GB2312" w:hint="eastAsia"/>
          <w:color w:val="000000"/>
          <w:sz w:val="28"/>
          <w:szCs w:val="28"/>
        </w:rPr>
      </w:pPr>
      <w:r>
        <w:rPr>
          <w:rFonts w:eastAsia="仿宋_GB2312" w:hint="eastAsia"/>
          <w:color w:val="000000"/>
          <w:sz w:val="28"/>
          <w:szCs w:val="28"/>
        </w:rPr>
        <w:t>根据数据整理和分析情况，制定工作方案，选择一定数量的乡镇作为试点区域，梳理作业方法、流程，明确开展成果建库更新的工作内容和技术路线</w:t>
      </w:r>
      <w:r>
        <w:rPr>
          <w:rFonts w:eastAsia="仿宋_GB2312" w:hint="eastAsia"/>
          <w:color w:val="000000"/>
          <w:sz w:val="28"/>
          <w:szCs w:val="28"/>
          <w:lang w:eastAsia="zh-CN"/>
        </w:rPr>
        <w:t>，</w:t>
      </w:r>
      <w:r>
        <w:rPr>
          <w:rFonts w:eastAsia="仿宋_GB2312" w:hint="eastAsia"/>
          <w:color w:val="000000"/>
          <w:sz w:val="28"/>
          <w:szCs w:val="28"/>
        </w:rPr>
        <w:t>工作方案逐级上报备案。</w:t>
      </w:r>
    </w:p>
    <w:p>
      <w:pPr>
        <w:pStyle w:val="Heading1"/>
        <w:spacing w:before="120" w:after="120" w:line="360" w:lineRule="auto"/>
        <w:rPr>
          <w:rFonts w:ascii="宋体" w:hAnsi="宋体" w:cs="宋体" w:hint="eastAsia"/>
          <w:kern w:val="0"/>
          <w:sz w:val="30"/>
          <w:szCs w:val="30"/>
        </w:rPr>
      </w:pPr>
      <w:bookmarkStart w:id="25" w:name="_Toc1246"/>
      <w:r>
        <w:rPr>
          <w:rFonts w:ascii="宋体" w:hAnsi="宋体" w:cs="宋体" w:hint="eastAsia"/>
          <w:kern w:val="0"/>
          <w:sz w:val="30"/>
          <w:szCs w:val="30"/>
        </w:rPr>
        <w:t>五、技术路线、作业方法和工作流程</w:t>
      </w:r>
      <w:bookmarkEnd w:id="25"/>
    </w:p>
    <w:p>
      <w:pPr>
        <w:pStyle w:val="Heading2"/>
        <w:rPr>
          <w:rFonts w:hint="eastAsia"/>
          <w:sz w:val="30"/>
          <w:szCs w:val="30"/>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2"/>
          <w:cols w:space="708"/>
          <w:titlePg w:val="0"/>
          <w:docGrid w:type="lines" w:linePitch="312" w:charSpace="0"/>
        </w:sectPr>
      </w:pPr>
      <w:bookmarkStart w:id="26" w:name="_Toc28696"/>
      <w:r>
        <w:rPr>
          <w:rFonts w:hint="eastAsia"/>
          <w:sz w:val="30"/>
          <w:szCs w:val="30"/>
        </w:rPr>
        <w:t>（一）技术路线</w:t>
      </w:r>
      <w:bookmarkEnd w:id="26"/>
    </w:p>
    <w:p>
      <w:pPr>
        <w:ind w:firstLine="560" w:firstLineChars="200"/>
        <w:rPr>
          <w:rFonts w:ascii="仿宋_GB2312" w:eastAsia="仿宋_GB2312" w:hAnsi="宋体" w:hint="eastAsia"/>
          <w:sz w:val="28"/>
          <w:szCs w:val="28"/>
        </w:rPr>
      </w:pPr>
      <w:r>
        <w:rPr>
          <w:rFonts w:ascii="仿宋_GB2312" w:eastAsia="仿宋_GB2312" w:hAnsi="宋体" w:hint="eastAsia"/>
          <w:sz w:val="28"/>
          <w:szCs w:val="28"/>
        </w:rPr>
        <w:t>1、收集集体土地所有权确权登记等成果资料，以及集体土地征收批准文件等材料，进行数据整理与分析，建立工作台账，形成任务清单。</w:t>
      </w:r>
    </w:p>
    <w:p>
      <w:pPr>
        <w:ind w:firstLine="560" w:firstLineChars="200"/>
        <w:rPr>
          <w:rFonts w:ascii="仿宋_GB2312" w:eastAsia="仿宋_GB2312" w:hAnsi="宋体" w:hint="eastAsia"/>
          <w:sz w:val="28"/>
          <w:szCs w:val="28"/>
        </w:rPr>
      </w:pPr>
      <w:r>
        <w:rPr>
          <w:rFonts w:ascii="仿宋_GB2312" w:eastAsia="仿宋_GB2312" w:hAnsi="宋体" w:hint="eastAsia"/>
          <w:sz w:val="28"/>
          <w:szCs w:val="28"/>
        </w:rPr>
        <w:t>2、根据已有成果资料，结合本地区实际工作基础，分类开展工作。</w:t>
      </w:r>
    </w:p>
    <w:p>
      <w:pPr>
        <w:ind w:firstLine="560" w:firstLineChars="200"/>
        <w:rPr>
          <w:rFonts w:ascii="仿宋_GB2312" w:eastAsia="仿宋_GB2312" w:hAnsi="宋体" w:hint="eastAsia"/>
          <w:sz w:val="28"/>
          <w:szCs w:val="28"/>
        </w:rPr>
      </w:pPr>
      <w:r>
        <w:rPr>
          <w:rFonts w:ascii="仿宋_GB2312" w:eastAsia="仿宋_GB2312" w:hAnsi="宋体" w:hint="eastAsia"/>
          <w:sz w:val="28"/>
          <w:szCs w:val="28"/>
        </w:rPr>
        <w:t>（1）对已建成集体土地所有权确权登记数据库的，根据《不动产登记数据库标准》，经数据转换、补充采集信息、数据整合关联后，纳入不动产登记数据库。</w:t>
      </w:r>
    </w:p>
    <w:p>
      <w:pPr>
        <w:ind w:firstLine="560" w:firstLineChars="200"/>
        <w:rPr>
          <w:rFonts w:ascii="仿宋_GB2312" w:eastAsia="仿宋_GB2312" w:hAnsi="宋体" w:hint="eastAsia"/>
          <w:sz w:val="28"/>
          <w:szCs w:val="28"/>
        </w:rPr>
      </w:pPr>
      <w:r>
        <w:rPr>
          <w:rFonts w:ascii="仿宋_GB2312" w:eastAsia="仿宋_GB2312" w:hAnsi="宋体" w:hint="eastAsia"/>
          <w:sz w:val="28"/>
          <w:szCs w:val="28"/>
        </w:rPr>
        <w:t>（2）对于未建库只有纸质资料的，完成确权登记成果数字化后纳入不动产登记数据库。</w:t>
      </w:r>
    </w:p>
    <w:p>
      <w:pPr>
        <w:ind w:firstLine="560" w:firstLineChars="200"/>
        <w:rPr>
          <w:rFonts w:ascii="仿宋_GB2312" w:eastAsia="仿宋_GB2312" w:hAnsi="宋体" w:hint="eastAsia"/>
          <w:sz w:val="28"/>
          <w:szCs w:val="28"/>
        </w:rPr>
      </w:pPr>
      <w:r>
        <w:rPr>
          <w:rFonts w:ascii="仿宋_GB2312" w:eastAsia="仿宋_GB2312" w:hAnsi="宋体" w:hint="eastAsia"/>
          <w:sz w:val="28"/>
          <w:szCs w:val="28"/>
        </w:rPr>
        <w:t>3</w:t>
      </w:r>
      <w:r>
        <w:rPr>
          <w:rFonts w:ascii="仿宋_GB2312" w:eastAsia="仿宋_GB2312" w:hAnsi="宋体" w:hint="eastAsia"/>
          <w:sz w:val="28"/>
          <w:szCs w:val="28"/>
          <w:lang w:eastAsia="zh-CN"/>
        </w:rPr>
        <w:t>、</w:t>
      </w:r>
      <w:r>
        <w:rPr>
          <w:rFonts w:ascii="仿宋_GB2312" w:eastAsia="仿宋_GB2312" w:hAnsi="宋体" w:hint="eastAsia"/>
          <w:sz w:val="28"/>
          <w:szCs w:val="28"/>
        </w:rPr>
        <w:t>对已登记的集体土地所有权成果有变化的，通过不动产登记系统办理登记，成果纳入不动产登记数据库。</w:t>
      </w:r>
    </w:p>
    <w:p>
      <w:pPr>
        <w:ind w:firstLine="560" w:firstLineChars="200"/>
        <w:rPr>
          <w:rFonts w:ascii="仿宋_GB2312" w:eastAsia="仿宋_GB2312" w:hAnsi="宋体" w:hint="eastAsia"/>
          <w:sz w:val="28"/>
          <w:szCs w:val="28"/>
        </w:rPr>
      </w:pPr>
      <w:r>
        <w:rPr>
          <w:rFonts w:ascii="仿宋_GB2312" w:eastAsia="仿宋_GB2312" w:hAnsi="宋体" w:hint="eastAsia"/>
          <w:sz w:val="28"/>
          <w:szCs w:val="28"/>
        </w:rPr>
        <w:t>4</w:t>
      </w:r>
      <w:r>
        <w:rPr>
          <w:rFonts w:ascii="仿宋_GB2312" w:eastAsia="仿宋_GB2312" w:hAnsi="宋体" w:hint="eastAsia"/>
          <w:sz w:val="28"/>
          <w:szCs w:val="28"/>
          <w:lang w:eastAsia="zh-CN"/>
        </w:rPr>
        <w:t>、</w:t>
      </w:r>
      <w:r>
        <w:rPr>
          <w:rFonts w:ascii="仿宋_GB2312" w:eastAsia="仿宋_GB2312" w:hAnsi="宋体" w:hint="eastAsia"/>
          <w:sz w:val="28"/>
          <w:szCs w:val="28"/>
        </w:rPr>
        <w:t>按照汇交要求，整理汇交数据，经质量检查后，以县为单位，离线汇交。</w:t>
      </w:r>
    </w:p>
    <w:p>
      <w:pPr>
        <w:pStyle w:val="Heading2"/>
        <w:rPr>
          <w:rFonts w:hint="eastAsia"/>
          <w:sz w:val="30"/>
          <w:szCs w:val="30"/>
        </w:rPr>
      </w:pPr>
      <w:bookmarkStart w:id="27" w:name="_Toc13431"/>
      <w:r>
        <w:rPr>
          <w:rFonts w:hint="eastAsia"/>
          <w:sz w:val="30"/>
          <w:szCs w:val="30"/>
        </w:rPr>
        <w:t>（二）作业方法和工作流程</w:t>
      </w:r>
      <w:bookmarkEnd w:id="27"/>
    </w:p>
    <w:p>
      <w:pPr>
        <w:pStyle w:val="BodyText"/>
        <w:spacing w:line="360" w:lineRule="auto"/>
        <w:ind w:firstLine="560" w:firstLineChars="200"/>
        <w:jc w:val="both"/>
        <w:rPr>
          <w:rFonts w:ascii="仿宋_GB2312" w:eastAsia="仿宋_GB2312" w:hAnsi="宋体" w:hint="eastAsia"/>
          <w:sz w:val="28"/>
          <w:szCs w:val="28"/>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3"/>
          <w:cols w:space="708"/>
          <w:titlePg w:val="0"/>
          <w:docGrid w:type="lines" w:linePitch="312" w:charSpace="0"/>
        </w:sectPr>
      </w:pPr>
      <w:r>
        <w:rPr>
          <w:rFonts w:ascii="仿宋_GB2312" w:eastAsia="仿宋_GB2312" w:hAnsi="宋体" w:hint="eastAsia"/>
          <w:sz w:val="28"/>
          <w:szCs w:val="28"/>
        </w:rPr>
        <w:t>大田县集体土地所有权确权登记成果更新汇交项目</w:t>
      </w:r>
      <w:r>
        <w:rPr>
          <w:rFonts w:ascii="仿宋_GB2312" w:eastAsia="仿宋_GB2312" w:hAnsi="宋体" w:hint="eastAsia"/>
          <w:sz w:val="28"/>
          <w:szCs w:val="28"/>
        </w:rPr>
        <w:t>工作流程图</w:t>
      </w:r>
      <w:r>
        <w:rPr>
          <w:rFonts w:ascii="仿宋_GB2312" w:eastAsia="仿宋_GB2312" w:hAnsi="宋体" w:hint="eastAsia"/>
          <w:sz w:val="28"/>
          <w:szCs w:val="28"/>
          <w:lang w:eastAsia="zh-CN"/>
        </w:rPr>
        <w:t>：</w:t>
      </w:r>
    </w:p>
    <w:p>
      <w:pPr>
        <w:spacing w:line="360" w:lineRule="auto"/>
        <w:rPr>
          <w:rFonts w:ascii="仿宋_GB2312" w:eastAsia="仿宋_GB2312" w:hAnsi="宋体" w:hint="eastAsia"/>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 o:spid="_x0000_i1028" type="#_x0000_t75" style="width:415.29pt;height:548.24pt;mso-position-horizontal-relative:page;mso-position-vertical-relative:page;mso-wrap-style:square" o:preferrelative="t" filled="f" stroked="f">
            <v:fill o:detectmouseclick="t"/>
            <v:stroke linestyle="single"/>
            <v:imagedata r:id="rId94" o:title=""/>
            <v:path o:extrusionok="f"/>
            <o:lock v:ext="edit" aspectratio="t"/>
          </v:shape>
        </w:pict>
      </w:r>
    </w:p>
    <w:p>
      <w:pPr>
        <w:spacing w:line="360" w:lineRule="auto"/>
        <w:ind w:firstLine="601"/>
        <w:rPr>
          <w:rFonts w:ascii="仿宋_GB2312" w:eastAsia="仿宋_GB2312" w:hAnsi="宋体" w:hint="eastAsia"/>
          <w:sz w:val="28"/>
          <w:szCs w:val="28"/>
        </w:rPr>
      </w:pPr>
    </w:p>
    <w:p>
      <w:pPr>
        <w:spacing w:line="360" w:lineRule="auto"/>
        <w:ind w:firstLine="601"/>
        <w:rPr>
          <w:rFonts w:ascii="仿宋_GB2312" w:eastAsia="仿宋_GB2312" w:hAnsi="宋体" w:hint="eastAsia"/>
          <w:sz w:val="28"/>
          <w:szCs w:val="28"/>
        </w:rPr>
      </w:pPr>
    </w:p>
    <w:p>
      <w:pPr>
        <w:spacing w:line="360" w:lineRule="auto"/>
        <w:ind w:firstLine="601"/>
        <w:rPr>
          <w:rFonts w:ascii="仿宋_GB2312" w:eastAsia="仿宋_GB2312" w:hAnsi="宋体" w:hint="eastAsia"/>
          <w:sz w:val="28"/>
          <w:szCs w:val="28"/>
        </w:rPr>
        <w:sectPr>
          <w:headerReference w:type="even" r:id="rId95"/>
          <w:headerReference w:type="default" r:id="rId96"/>
          <w:footerReference w:type="even" r:id="rId97"/>
          <w:footerReference w:type="default" r:id="rId98"/>
          <w:headerReference w:type="first" r:id="rId99"/>
          <w:footerReference w:type="first" r:id="rId100"/>
          <w:type w:val="nextPage"/>
          <w:pgSz w:w="11906" w:h="16838"/>
          <w:pgMar w:top="1440" w:right="1800" w:bottom="1440" w:left="1800" w:header="851" w:footer="992" w:gutter="0"/>
          <w:pgNumType w:start="14"/>
          <w:cols w:space="708"/>
          <w:titlePg w:val="0"/>
          <w:docGrid w:type="lines" w:linePitch="312" w:charSpace="0"/>
        </w:sectPr>
      </w:pPr>
    </w:p>
    <w:p>
      <w:pPr>
        <w:pStyle w:val="Heading1"/>
        <w:spacing w:line="360" w:lineRule="auto"/>
        <w:rPr>
          <w:rFonts w:ascii="宋体" w:hAnsi="宋体" w:cs="宋体" w:hint="eastAsia"/>
          <w:kern w:val="0"/>
          <w:sz w:val="30"/>
          <w:szCs w:val="30"/>
        </w:rPr>
      </w:pPr>
      <w:bookmarkStart w:id="28" w:name="_Toc30758"/>
      <w:r>
        <w:rPr>
          <w:rFonts w:ascii="宋体" w:hAnsi="宋体" w:cs="宋体" w:hint="eastAsia"/>
          <w:kern w:val="0"/>
          <w:sz w:val="30"/>
          <w:szCs w:val="30"/>
        </w:rPr>
        <w:t>六、</w:t>
      </w:r>
      <w:r>
        <w:rPr>
          <w:rFonts w:ascii="宋体" w:hAnsi="宋体" w:cs="宋体" w:hint="eastAsia"/>
          <w:kern w:val="0"/>
          <w:sz w:val="30"/>
          <w:szCs w:val="30"/>
          <w:lang w:val="en-US" w:eastAsia="zh-CN"/>
        </w:rPr>
        <w:t>更新汇交</w:t>
      </w:r>
      <w:r>
        <w:rPr>
          <w:rFonts w:ascii="宋体" w:hAnsi="宋体" w:cs="宋体" w:hint="eastAsia"/>
          <w:kern w:val="0"/>
          <w:sz w:val="30"/>
          <w:szCs w:val="30"/>
        </w:rPr>
        <w:t>工作步骤</w:t>
      </w:r>
      <w:bookmarkEnd w:id="28"/>
    </w:p>
    <w:p>
      <w:pPr>
        <w:pStyle w:val="Heading2"/>
        <w:rPr>
          <w:rFonts w:hint="eastAsia"/>
          <w:sz w:val="30"/>
          <w:szCs w:val="30"/>
        </w:rPr>
      </w:pPr>
      <w:bookmarkStart w:id="29" w:name="_Toc20963"/>
      <w:r>
        <w:rPr>
          <w:rFonts w:hint="eastAsia"/>
          <w:sz w:val="30"/>
          <w:szCs w:val="30"/>
        </w:rPr>
        <w:t>（一）宣传准备工作</w:t>
      </w:r>
      <w:bookmarkEnd w:id="29"/>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通过报纸、电视、广播、网络等媒体，大力宣传农村集体土地所有权确权登记发证的重要意义、工作目标和法律政策，宣传典型经验及做法，创造良好的舆论环境和工作氛围，提高全社会对农村集体土地所有权确权登记发证工作重要性的认识，调动广大农民群众参与的积极性。同时做好培训工作，采取多种形式对参与确权登记发证工作人员和专业队伍开展培训，明确要求、统一方法，确保加快推进大田县集体土地所有权确权登记成果更新汇交工作的顺利进行。</w:t>
      </w:r>
    </w:p>
    <w:p>
      <w:pPr>
        <w:pStyle w:val="Heading2"/>
        <w:rPr>
          <w:rFonts w:hint="eastAsia"/>
          <w:sz w:val="30"/>
          <w:szCs w:val="30"/>
        </w:rPr>
      </w:pPr>
      <w:bookmarkStart w:id="30" w:name="_Toc318470904"/>
      <w:bookmarkStart w:id="31" w:name="_Toc4281"/>
      <w:r>
        <w:rPr>
          <w:rFonts w:hint="eastAsia"/>
          <w:sz w:val="30"/>
          <w:szCs w:val="30"/>
        </w:rPr>
        <w:t>（二）编制技术</w:t>
      </w:r>
      <w:bookmarkEnd w:id="30"/>
      <w:r>
        <w:rPr>
          <w:rFonts w:hint="eastAsia"/>
          <w:sz w:val="30"/>
          <w:szCs w:val="30"/>
        </w:rPr>
        <w:t>方案</w:t>
      </w:r>
      <w:bookmarkEnd w:id="31"/>
    </w:p>
    <w:p>
      <w:pPr>
        <w:spacing w:line="360" w:lineRule="auto"/>
        <w:ind w:firstLine="554" w:firstLineChars="198"/>
        <w:rPr>
          <w:rFonts w:ascii="仿宋_GB2312" w:eastAsia="仿宋_GB2312" w:hAnsi="宋体" w:hint="eastAsia"/>
          <w:sz w:val="28"/>
          <w:szCs w:val="28"/>
        </w:rPr>
      </w:pPr>
      <w:r>
        <w:rPr>
          <w:rFonts w:ascii="仿宋_GB2312" w:eastAsia="仿宋_GB2312" w:hAnsi="宋体" w:hint="eastAsia"/>
          <w:sz w:val="28"/>
          <w:szCs w:val="28"/>
        </w:rPr>
        <w:t>明确调查</w:t>
      </w:r>
      <w:r>
        <w:rPr>
          <w:rFonts w:ascii="仿宋_GB2312" w:eastAsia="仿宋_GB2312" w:hAnsi="宋体" w:hint="eastAsia"/>
          <w:sz w:val="28"/>
          <w:szCs w:val="28"/>
          <w:lang w:val="en-US" w:eastAsia="zh-CN"/>
        </w:rPr>
        <w:t>和更新汇交的</w:t>
      </w:r>
      <w:r>
        <w:rPr>
          <w:rFonts w:ascii="仿宋_GB2312" w:eastAsia="仿宋_GB2312" w:hAnsi="宋体" w:hint="eastAsia"/>
          <w:sz w:val="28"/>
          <w:szCs w:val="28"/>
        </w:rPr>
        <w:t>范围、对象、方法和有关问题处理意见；制定调查表，明确具体填写内容和方法；制定技术路线、技术方法，提出技术要求和实施步骤、工作进度安排、有关质量保障措施等。</w:t>
      </w:r>
    </w:p>
    <w:p>
      <w:pPr>
        <w:pStyle w:val="Heading2"/>
        <w:rPr>
          <w:rFonts w:hint="eastAsia"/>
          <w:bCs/>
          <w:spacing w:val="0"/>
          <w:sz w:val="30"/>
          <w:szCs w:val="30"/>
        </w:rPr>
      </w:pPr>
      <w:bookmarkStart w:id="32" w:name="_Toc318470905"/>
      <w:bookmarkStart w:id="33" w:name="_Toc194"/>
      <w:r>
        <w:rPr>
          <w:rFonts w:hint="eastAsia"/>
          <w:bCs/>
          <w:caps w:val="0"/>
          <w:spacing w:val="0"/>
          <w:sz w:val="30"/>
          <w:szCs w:val="30"/>
        </w:rPr>
        <w:t>（三）发布通告</w:t>
      </w:r>
      <w:bookmarkEnd w:id="32"/>
      <w:bookmarkEnd w:id="33"/>
    </w:p>
    <w:p>
      <w:pPr>
        <w:spacing w:line="360" w:lineRule="auto"/>
        <w:ind w:firstLine="560" w:firstLineChars="200"/>
        <w:jc w:val="left"/>
        <w:rPr>
          <w:rFonts w:ascii="仿宋_GB2312" w:eastAsia="仿宋_GB2312" w:hAnsi="宋体" w:cs="Times New Roman" w:hint="eastAsia"/>
          <w:sz w:val="28"/>
          <w:szCs w:val="28"/>
        </w:rPr>
      </w:pPr>
      <w:r>
        <w:rPr>
          <w:rFonts w:ascii="仿宋_GB2312" w:eastAsia="仿宋_GB2312" w:hAnsi="宋体" w:cs="Times New Roman" w:hint="eastAsia"/>
          <w:sz w:val="28"/>
          <w:szCs w:val="28"/>
        </w:rPr>
        <w:t>以大田县人民政府的名义发布通告，主要内容包括：土地登记的范围和对象、</w:t>
      </w:r>
      <w:r>
        <w:rPr>
          <w:rFonts w:ascii="仿宋_GB2312" w:eastAsia="仿宋_GB2312" w:hAnsi="宋体" w:cs="Times New Roman" w:hint="eastAsia"/>
          <w:sz w:val="28"/>
          <w:szCs w:val="28"/>
          <w:lang w:val="en-US" w:eastAsia="zh-CN"/>
        </w:rPr>
        <w:t>更新汇交</w:t>
      </w:r>
      <w:r>
        <w:rPr>
          <w:rFonts w:ascii="仿宋_GB2312" w:eastAsia="仿宋_GB2312" w:hAnsi="宋体" w:cs="Times New Roman" w:hint="eastAsia"/>
          <w:sz w:val="28"/>
          <w:szCs w:val="28"/>
        </w:rPr>
        <w:t>期限、</w:t>
      </w:r>
      <w:r>
        <w:rPr>
          <w:rFonts w:ascii="仿宋_GB2312" w:eastAsia="仿宋_GB2312" w:hAnsi="宋体" w:cs="Times New Roman" w:hint="eastAsia"/>
          <w:sz w:val="28"/>
          <w:szCs w:val="28"/>
          <w:lang w:val="en-US" w:eastAsia="zh-CN"/>
        </w:rPr>
        <w:t>更新汇交</w:t>
      </w:r>
      <w:r>
        <w:rPr>
          <w:rFonts w:ascii="仿宋_GB2312" w:eastAsia="仿宋_GB2312" w:hAnsi="宋体" w:cs="Times New Roman" w:hint="eastAsia"/>
          <w:sz w:val="28"/>
          <w:szCs w:val="28"/>
        </w:rPr>
        <w:t>地点、</w:t>
      </w:r>
      <w:r>
        <w:rPr>
          <w:rFonts w:ascii="仿宋_GB2312" w:eastAsia="仿宋_GB2312" w:hAnsi="宋体" w:cs="Times New Roman" w:hint="eastAsia"/>
          <w:sz w:val="28"/>
          <w:szCs w:val="28"/>
          <w:lang w:val="en-US" w:eastAsia="zh-CN"/>
        </w:rPr>
        <w:t>更新汇交</w:t>
      </w:r>
      <w:r>
        <w:rPr>
          <w:rFonts w:ascii="仿宋_GB2312" w:eastAsia="仿宋_GB2312" w:hAnsi="宋体" w:cs="Times New Roman" w:hint="eastAsia"/>
          <w:sz w:val="28"/>
          <w:szCs w:val="28"/>
        </w:rPr>
        <w:t>应提交的文件资料，以及需要通告的其他事项。</w:t>
      </w:r>
    </w:p>
    <w:p>
      <w:pPr>
        <w:pStyle w:val="Heading2"/>
        <w:rPr>
          <w:rFonts w:eastAsia="宋体" w:hint="default"/>
          <w:bCs/>
          <w:caps w:val="0"/>
          <w:spacing w:val="0"/>
          <w:sz w:val="30"/>
          <w:szCs w:val="30"/>
          <w:lang w:val="en-US" w:eastAsia="zh-CN"/>
        </w:rPr>
      </w:pPr>
      <w:bookmarkStart w:id="34" w:name="_Toc14582"/>
      <w:r>
        <w:rPr>
          <w:rFonts w:hint="eastAsia"/>
          <w:bCs/>
          <w:caps w:val="0"/>
          <w:spacing w:val="0"/>
          <w:sz w:val="30"/>
          <w:szCs w:val="30"/>
        </w:rPr>
        <w:t>（</w:t>
      </w:r>
      <w:r>
        <w:rPr>
          <w:rFonts w:hint="eastAsia"/>
          <w:bCs/>
          <w:caps w:val="0"/>
          <w:spacing w:val="0"/>
          <w:sz w:val="30"/>
          <w:szCs w:val="30"/>
          <w:lang w:val="en-US" w:eastAsia="zh-CN"/>
        </w:rPr>
        <w:t>四</w:t>
      </w:r>
      <w:r>
        <w:rPr>
          <w:rFonts w:hint="eastAsia"/>
          <w:bCs/>
          <w:caps w:val="0"/>
          <w:spacing w:val="0"/>
          <w:sz w:val="30"/>
          <w:szCs w:val="30"/>
        </w:rPr>
        <w:t>）</w:t>
      </w:r>
      <w:r>
        <w:rPr>
          <w:rFonts w:hint="eastAsia"/>
          <w:bCs/>
          <w:caps w:val="0"/>
          <w:spacing w:val="0"/>
          <w:sz w:val="30"/>
          <w:szCs w:val="30"/>
          <w:lang w:val="en-US" w:eastAsia="zh-CN"/>
        </w:rPr>
        <w:t>资料整理分析</w:t>
      </w:r>
      <w:bookmarkEnd w:id="34"/>
    </w:p>
    <w:p>
      <w:pPr>
        <w:spacing w:line="360" w:lineRule="auto"/>
        <w:ind w:firstLine="560" w:firstLineChars="200"/>
        <w:rPr>
          <w:rFonts w:ascii="仿宋_GB2312" w:eastAsia="仿宋_GB2312" w:hAnsi="宋体" w:cs="宋体" w:hint="eastAsia"/>
          <w:kern w:val="0"/>
          <w:sz w:val="28"/>
          <w:szCs w:val="28"/>
        </w:rPr>
        <w:sectPr>
          <w:headerReference w:type="even" r:id="rId101"/>
          <w:headerReference w:type="default" r:id="rId102"/>
          <w:footerReference w:type="even" r:id="rId103"/>
          <w:footerReference w:type="default" r:id="rId104"/>
          <w:headerReference w:type="first" r:id="rId105"/>
          <w:footerReference w:type="first" r:id="rId106"/>
          <w:type w:val="nextPage"/>
          <w:pgSz w:w="11906" w:h="16838"/>
          <w:pgMar w:top="1440" w:right="1800" w:bottom="1440" w:left="1800" w:header="851" w:footer="992" w:gutter="0"/>
          <w:pgNumType w:start="15"/>
          <w:cols w:space="708"/>
          <w:titlePg w:val="0"/>
          <w:docGrid w:type="lines" w:linePitch="312" w:charSpace="0"/>
        </w:sectPr>
      </w:pP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对集体土地所有权发证成果和登记情况进行清查，形成台账。清查内容包括：已建成集体土地所有登记数据库的情况、未建库只有纸质材料和已登记的集体土地所有权成果有变化的情况，核实内容是否完整、空间数据是否缺失、图属是否一致等，形成问题台账。</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lang w:val="en-US" w:eastAsia="zh-CN"/>
        </w:rPr>
        <w:t>资料具体分析利用如下图所示：</w:t>
      </w:r>
    </w:p>
    <w:p>
      <w:pPr>
        <w:pStyle w:val="a"/>
        <w:ind w:left="0" w:firstLine="0" w:leftChars="0" w:firstLineChars="0"/>
      </w:pPr>
      <w:r>
        <w:pict>
          <v:shape id="图片 5" o:spid="_x0000_i1029" type="#_x0000_t75" style="width:439.2pt;height:244.2pt;mso-position-horizontal-relative:page;mso-position-vertical-relative:page;mso-wrap-style:square" o:preferrelative="t" filled="f" stroked="f">
            <v:stroke linestyle="single"/>
            <v:imagedata r:id="rId107" o:title=""/>
            <v:path o:extrusionok="f"/>
            <o:lock v:ext="edit" aspectratio="t"/>
          </v:shape>
        </w:pict>
      </w:r>
    </w:p>
    <w:p>
      <w:pPr>
        <w:pStyle w:val="Heading2"/>
        <w:rPr>
          <w:rFonts w:eastAsia="宋体" w:hint="default"/>
          <w:bCs/>
          <w:caps w:val="0"/>
          <w:spacing w:val="0"/>
          <w:sz w:val="30"/>
          <w:szCs w:val="30"/>
          <w:lang w:val="en-US" w:eastAsia="zh-CN"/>
        </w:rPr>
      </w:pPr>
      <w:bookmarkStart w:id="35" w:name="_Toc3484"/>
      <w:r>
        <w:rPr>
          <w:rFonts w:hint="eastAsia"/>
          <w:bCs/>
          <w:caps w:val="0"/>
          <w:spacing w:val="0"/>
          <w:sz w:val="30"/>
          <w:szCs w:val="30"/>
        </w:rPr>
        <w:t>（五）</w:t>
      </w:r>
      <w:r>
        <w:rPr>
          <w:rFonts w:hint="eastAsia"/>
          <w:bCs/>
          <w:caps w:val="0"/>
          <w:spacing w:val="0"/>
          <w:sz w:val="30"/>
          <w:szCs w:val="30"/>
          <w:lang w:val="en-US" w:eastAsia="zh-CN"/>
        </w:rPr>
        <w:t>已登记未变化</w:t>
      </w:r>
      <w:bookmarkEnd w:id="35"/>
    </w:p>
    <w:p>
      <w:pPr>
        <w:spacing w:line="360" w:lineRule="auto"/>
        <w:ind w:firstLine="554" w:firstLineChars="198"/>
        <w:rPr>
          <w:rFonts w:ascii="仿宋_GB2312" w:eastAsia="仿宋_GB2312" w:hAnsi="宋体" w:cs="Times New Roman" w:hint="eastAsia"/>
          <w:sz w:val="28"/>
          <w:szCs w:val="28"/>
        </w:rPr>
      </w:pPr>
      <w:r>
        <w:rPr>
          <w:rFonts w:ascii="仿宋_GB2312" w:eastAsia="仿宋_GB2312" w:hAnsi="宋体" w:cs="Times New Roman" w:hint="eastAsia"/>
          <w:sz w:val="28"/>
          <w:szCs w:val="28"/>
          <w:lang w:val="en-US" w:eastAsia="zh-CN"/>
        </w:rPr>
        <w:t>经核实已登记的集体土地所有权土地权属状况，对集体土地所有权有关情况未发生变化的，按照政策和规范要求，登记成果已建库的，要编制不动产单元代码，完成信息补充录入、数据格式转换等工作。</w:t>
      </w:r>
    </w:p>
    <w:p>
      <w:pPr>
        <w:pStyle w:val="Heading2"/>
        <w:rPr>
          <w:rFonts w:eastAsia="宋体" w:hint="default"/>
          <w:bCs/>
          <w:caps w:val="0"/>
          <w:spacing w:val="0"/>
          <w:sz w:val="30"/>
          <w:szCs w:val="30"/>
          <w:lang w:val="en-US" w:eastAsia="zh-CN"/>
        </w:rPr>
      </w:pPr>
      <w:bookmarkStart w:id="36" w:name="_Toc5466"/>
      <w:r>
        <w:rPr>
          <w:rFonts w:hint="eastAsia"/>
          <w:bCs/>
          <w:caps w:val="0"/>
          <w:spacing w:val="0"/>
          <w:sz w:val="30"/>
          <w:szCs w:val="30"/>
        </w:rPr>
        <w:t>（</w:t>
      </w:r>
      <w:r>
        <w:rPr>
          <w:rFonts w:hint="eastAsia"/>
          <w:bCs/>
          <w:caps w:val="0"/>
          <w:spacing w:val="0"/>
          <w:sz w:val="30"/>
          <w:szCs w:val="30"/>
          <w:lang w:val="en-US" w:eastAsia="zh-CN"/>
        </w:rPr>
        <w:t>六</w:t>
      </w:r>
      <w:r>
        <w:rPr>
          <w:rFonts w:hint="eastAsia"/>
          <w:bCs/>
          <w:caps w:val="0"/>
          <w:spacing w:val="0"/>
          <w:sz w:val="30"/>
          <w:szCs w:val="30"/>
        </w:rPr>
        <w:t>）</w:t>
      </w:r>
      <w:r>
        <w:rPr>
          <w:rFonts w:hint="eastAsia"/>
          <w:bCs/>
          <w:caps w:val="0"/>
          <w:spacing w:val="0"/>
          <w:sz w:val="30"/>
          <w:szCs w:val="30"/>
          <w:lang w:val="en-US" w:eastAsia="zh-CN"/>
        </w:rPr>
        <w:t>已登记有变化</w:t>
      </w:r>
      <w:bookmarkEnd w:id="36"/>
    </w:p>
    <w:p>
      <w:pPr>
        <w:ind w:firstLine="560" w:firstLineChars="200"/>
        <w:rPr>
          <w:rFonts w:ascii="仿宋_GB2312" w:eastAsia="仿宋_GB2312" w:hAnsi="宋体" w:cs="Times New Roman" w:hint="eastAsia"/>
          <w:sz w:val="28"/>
          <w:szCs w:val="28"/>
        </w:rPr>
      </w:pPr>
      <w:r>
        <w:rPr>
          <w:rFonts w:ascii="仿宋_GB2312" w:eastAsia="仿宋_GB2312" w:hAnsi="宋体" w:cs="Times New Roman" w:hint="eastAsia"/>
          <w:sz w:val="28"/>
          <w:szCs w:val="28"/>
          <w:lang w:val="en-US" w:eastAsia="zh-CN"/>
        </w:rPr>
        <w:t>1、核实已登记的集体土地所有权土地权属状况，判断集体土地所有权有关情况已发生变化，具体核实过程包括：</w:t>
      </w:r>
    </w:p>
    <w:p>
      <w:pPr>
        <w:ind w:firstLine="560" w:firstLineChars="200"/>
        <w:rPr>
          <w:rFonts w:ascii="仿宋_GB2312" w:eastAsia="仿宋_GB2312" w:hAnsi="宋体" w:cs="Times New Roman" w:hint="eastAsia"/>
          <w:sz w:val="28"/>
          <w:szCs w:val="28"/>
        </w:rPr>
      </w:pPr>
      <w:r>
        <w:rPr>
          <w:rFonts w:ascii="仿宋_GB2312" w:eastAsia="仿宋_GB2312" w:hAnsi="宋体" w:cs="Times New Roman" w:hint="eastAsia"/>
          <w:sz w:val="28"/>
          <w:szCs w:val="28"/>
          <w:lang w:val="en-US" w:eastAsia="zh-CN"/>
        </w:rPr>
        <w:t>（1）已登记数据与农经权数据核对发包方，核实是否村名变更、合村、拆村、并镇等情况；</w:t>
      </w:r>
    </w:p>
    <w:p>
      <w:pPr>
        <w:ind w:firstLine="560" w:firstLineChars="200"/>
        <w:rPr>
          <w:rFonts w:ascii="仿宋_GB2312" w:eastAsia="仿宋_GB2312" w:hAnsi="宋体" w:cs="Times New Roman" w:hint="eastAsia"/>
          <w:sz w:val="28"/>
          <w:szCs w:val="28"/>
        </w:rPr>
        <w:sectPr>
          <w:headerReference w:type="even" r:id="rId108"/>
          <w:headerReference w:type="default" r:id="rId109"/>
          <w:footerReference w:type="even" r:id="rId110"/>
          <w:footerReference w:type="default" r:id="rId111"/>
          <w:headerReference w:type="first" r:id="rId112"/>
          <w:footerReference w:type="first" r:id="rId113"/>
          <w:type w:val="nextPage"/>
          <w:pgSz w:w="11906" w:h="16838"/>
          <w:pgMar w:top="1440" w:right="1800" w:bottom="1440" w:left="1800" w:header="851" w:footer="992" w:gutter="0"/>
          <w:pgNumType w:start="16"/>
          <w:cols w:space="708"/>
          <w:titlePg w:val="0"/>
          <w:docGrid w:type="lines" w:linePitch="312" w:charSpace="0"/>
        </w:sectPr>
      </w:pPr>
    </w:p>
    <w:p>
      <w:pPr>
        <w:ind w:firstLine="560" w:firstLineChars="200"/>
        <w:rPr>
          <w:rFonts w:ascii="仿宋_GB2312" w:eastAsia="仿宋_GB2312" w:hAnsi="宋体" w:cs="Times New Roman" w:hint="eastAsia"/>
          <w:sz w:val="28"/>
          <w:szCs w:val="28"/>
        </w:rPr>
      </w:pPr>
      <w:r>
        <w:rPr>
          <w:rFonts w:ascii="仿宋_GB2312" w:eastAsia="仿宋_GB2312" w:hAnsi="宋体" w:cs="Times New Roman" w:hint="eastAsia"/>
          <w:sz w:val="28"/>
          <w:szCs w:val="28"/>
          <w:lang w:val="en-US" w:eastAsia="zh-CN"/>
        </w:rPr>
        <w:t>（2）农转用征收批复文件与已登记矢量数据核对，形成对比台账，找到变化情况；</w:t>
      </w:r>
    </w:p>
    <w:p>
      <w:pPr>
        <w:ind w:firstLine="560" w:firstLineChars="200"/>
        <w:rPr>
          <w:rFonts w:ascii="仿宋_GB2312" w:eastAsia="仿宋_GB2312" w:hAnsi="宋体" w:cs="Times New Roman" w:hint="eastAsia"/>
          <w:sz w:val="28"/>
          <w:szCs w:val="28"/>
        </w:rPr>
      </w:pPr>
      <w:r>
        <w:rPr>
          <w:rFonts w:ascii="仿宋_GB2312" w:eastAsia="仿宋_GB2312" w:hAnsi="宋体" w:cs="Times New Roman" w:hint="eastAsia"/>
          <w:sz w:val="28"/>
          <w:szCs w:val="28"/>
          <w:lang w:val="en-US" w:eastAsia="zh-CN"/>
        </w:rPr>
        <w:t>（3）已登记矢量数据与档案卷宗的数据是否保持一致，建立问题台账；</w:t>
      </w:r>
    </w:p>
    <w:p>
      <w:pPr>
        <w:ind w:firstLine="560" w:firstLineChars="200"/>
        <w:rPr>
          <w:rFonts w:ascii="仿宋_GB2312" w:eastAsia="仿宋_GB2312" w:hAnsi="宋体" w:cs="Times New Roman" w:hint="eastAsia"/>
          <w:sz w:val="28"/>
          <w:szCs w:val="28"/>
        </w:rPr>
      </w:pPr>
      <w:r>
        <w:rPr>
          <w:rFonts w:ascii="仿宋_GB2312" w:eastAsia="仿宋_GB2312" w:hAnsi="宋体" w:cs="Times New Roman" w:hint="eastAsia"/>
          <w:sz w:val="28"/>
          <w:szCs w:val="28"/>
          <w:lang w:val="en-US" w:eastAsia="zh-CN"/>
        </w:rPr>
        <w:t>（4）已登记数据与国有建设用地、国有林权数据作对比，找到变化情况。</w:t>
      </w:r>
    </w:p>
    <w:p>
      <w:pPr>
        <w:ind w:firstLine="560" w:firstLineChars="200"/>
        <w:rPr>
          <w:rFonts w:ascii="仿宋_GB2312" w:eastAsia="仿宋_GB2312" w:hAnsi="宋体" w:cs="Times New Roman" w:hint="eastAsia"/>
          <w:sz w:val="28"/>
          <w:szCs w:val="28"/>
        </w:rPr>
      </w:pPr>
      <w:r>
        <w:rPr>
          <w:rFonts w:ascii="仿宋_GB2312" w:eastAsia="仿宋_GB2312" w:hAnsi="宋体" w:cs="Times New Roman" w:hint="eastAsia"/>
          <w:sz w:val="28"/>
          <w:szCs w:val="28"/>
          <w:lang w:val="en-US" w:eastAsia="zh-CN"/>
        </w:rPr>
        <w:t>2、制作工作底图，根据问题台账及变化情况安排外业调查人员现场调查核实变化情况，查清权属争议主体，经争议各方指认，核实并确定权属界线，对界址走向进行详细描述和记录。</w:t>
      </w:r>
    </w:p>
    <w:p>
      <w:pPr>
        <w:ind w:firstLine="560" w:firstLineChars="200"/>
        <w:rPr>
          <w:rFonts w:ascii="仿宋_GB2312" w:eastAsia="仿宋_GB2312" w:hAnsi="宋体" w:cs="Times New Roman" w:hint="eastAsia"/>
          <w:sz w:val="28"/>
          <w:szCs w:val="28"/>
        </w:rPr>
      </w:pPr>
      <w:r>
        <w:rPr>
          <w:rFonts w:ascii="仿宋_GB2312" w:eastAsia="仿宋_GB2312" w:hAnsi="宋体" w:cs="Times New Roman" w:hint="eastAsia"/>
          <w:sz w:val="28"/>
          <w:szCs w:val="28"/>
          <w:lang w:val="en-US" w:eastAsia="zh-CN"/>
        </w:rPr>
        <w:t>具体处理办法及更新的不同情况如下：</w:t>
      </w:r>
    </w:p>
    <w:p>
      <w:pPr>
        <w:ind w:firstLine="560" w:firstLineChars="200"/>
        <w:rPr>
          <w:rFonts w:ascii="仿宋_GB2312" w:eastAsia="仿宋_GB2312" w:hAnsi="宋体" w:cs="Times New Roman" w:hint="eastAsia"/>
          <w:sz w:val="28"/>
          <w:szCs w:val="28"/>
        </w:rPr>
      </w:pPr>
      <w:r>
        <w:rPr>
          <w:rFonts w:ascii="仿宋_GB2312" w:eastAsia="仿宋_GB2312" w:hAnsi="宋体" w:cs="Times New Roman" w:hint="eastAsia"/>
          <w:sz w:val="28"/>
          <w:szCs w:val="28"/>
          <w:lang w:val="en-US" w:eastAsia="zh-CN"/>
        </w:rPr>
        <w:t>（1）已登记集体土地所有权界址发生变化，但导致变化的法定文件（如土地征收批准文件）中已有明确界址坐标的，不再开展权属指界和不动产测绘；</w:t>
      </w:r>
    </w:p>
    <w:p>
      <w:pPr>
        <w:ind w:firstLine="560" w:firstLineChars="200"/>
        <w:rPr>
          <w:rFonts w:ascii="仿宋_GB2312" w:eastAsia="仿宋_GB2312" w:hAnsi="宋体" w:cs="Times New Roman" w:hint="eastAsia"/>
          <w:sz w:val="28"/>
          <w:szCs w:val="28"/>
        </w:rPr>
      </w:pPr>
      <w:r>
        <w:rPr>
          <w:rFonts w:ascii="仿宋_GB2312" w:eastAsia="仿宋_GB2312" w:hAnsi="宋体" w:cs="Times New Roman" w:hint="eastAsia"/>
          <w:sz w:val="28"/>
          <w:szCs w:val="28"/>
          <w:lang w:val="en-US" w:eastAsia="zh-CN"/>
        </w:rPr>
        <w:t>（2）已登记集体土地所有权界址发生变化的，依据权属变化材料，编制不动产单元代码，按规定履行权属调查程序。条件具备的，实地指认权属界线，采用解析法实测界址点。条件不具备的，可利用高分辨率正射影像图，经图上指界签字后采集界址点坐标，形成地籍调查成果。对重要的以及影像上不清晰或有争议的界址点，采用解析法实测；</w:t>
      </w:r>
    </w:p>
    <w:p>
      <w:pPr>
        <w:ind w:firstLine="560" w:firstLineChars="200"/>
        <w:rPr>
          <w:rFonts w:ascii="仿宋_GB2312" w:eastAsia="仿宋_GB2312" w:hAnsi="宋体" w:cs="Times New Roman" w:hint="eastAsia"/>
          <w:sz w:val="28"/>
          <w:szCs w:val="28"/>
        </w:rPr>
        <w:sectPr>
          <w:headerReference w:type="even" r:id="rId114"/>
          <w:headerReference w:type="default" r:id="rId115"/>
          <w:footerReference w:type="even" r:id="rId116"/>
          <w:footerReference w:type="default" r:id="rId117"/>
          <w:headerReference w:type="first" r:id="rId118"/>
          <w:footerReference w:type="first" r:id="rId119"/>
          <w:type w:val="nextPage"/>
          <w:pgSz w:w="11906" w:h="16838"/>
          <w:pgMar w:top="1440" w:right="1800" w:bottom="1440" w:left="1800" w:header="851" w:footer="992" w:gutter="0"/>
          <w:pgNumType w:start="17"/>
          <w:cols w:space="708"/>
          <w:titlePg w:val="0"/>
          <w:docGrid w:type="lines" w:linePitch="312" w:charSpace="0"/>
        </w:sectPr>
      </w:pPr>
    </w:p>
    <w:p>
      <w:pPr>
        <w:ind w:firstLine="560" w:firstLineChars="200"/>
        <w:rPr>
          <w:rFonts w:ascii="仿宋_GB2312" w:eastAsia="仿宋_GB2312" w:hAnsi="宋体" w:cs="Times New Roman" w:hint="eastAsia"/>
          <w:sz w:val="28"/>
          <w:szCs w:val="28"/>
        </w:rPr>
      </w:pPr>
      <w:r>
        <w:rPr>
          <w:rFonts w:ascii="仿宋_GB2312" w:eastAsia="仿宋_GB2312" w:hAnsi="宋体" w:cs="Times New Roman" w:hint="eastAsia"/>
          <w:sz w:val="28"/>
          <w:szCs w:val="28"/>
          <w:lang w:val="en-US" w:eastAsia="zh-CN"/>
        </w:rPr>
        <w:t>（3）因采用底图不同、测绘精度不同或坐标转换等原因造成集体土地所有权之间存在交叉重叠或缝隙的，经核实，界址未发生变化且不存在权属争议的，不再开展权属指界。按照集体土地所有权界线的走向说明等权属调查资料，结合影像特征线，调整确定集体土地所有权宗地界线；</w:t>
      </w:r>
    </w:p>
    <w:p>
      <w:pPr>
        <w:ind w:firstLine="560" w:firstLineChars="200"/>
        <w:rPr>
          <w:rFonts w:ascii="仿宋_GB2312" w:eastAsia="仿宋_GB2312" w:hAnsi="宋体" w:cs="Times New Roman" w:hint="eastAsia"/>
          <w:sz w:val="28"/>
          <w:szCs w:val="28"/>
        </w:rPr>
      </w:pPr>
      <w:r>
        <w:rPr>
          <w:rFonts w:ascii="仿宋_GB2312" w:eastAsia="仿宋_GB2312" w:hAnsi="宋体" w:cs="Times New Roman" w:hint="eastAsia"/>
          <w:sz w:val="28"/>
          <w:szCs w:val="28"/>
          <w:lang w:val="en-US" w:eastAsia="zh-CN"/>
        </w:rPr>
        <w:t>（4）存在权属争议且一时难以解决的，编制土地权属争议原由书，查清权属争议主体，经争议各方指认，对有争议部分划定争议区，设立争议宗地，编制不动产单元代码；对无争议部分土地设定不动产单元代码并编码，核实并确定权属界线，对界址走向进行详细描述，纳入登记范围。</w:t>
      </w:r>
    </w:p>
    <w:p>
      <w:pPr>
        <w:ind w:firstLine="560" w:firstLineChars="200"/>
        <w:rPr>
          <w:rFonts w:ascii="仿宋_GB2312" w:eastAsia="仿宋_GB2312" w:hAnsi="宋体" w:cs="Times New Roman" w:hint="eastAsia"/>
          <w:sz w:val="28"/>
          <w:szCs w:val="28"/>
        </w:rPr>
      </w:pPr>
      <w:r>
        <w:rPr>
          <w:rFonts w:ascii="仿宋_GB2312" w:eastAsia="仿宋_GB2312" w:hAnsi="宋体" w:cs="Times New Roman" w:hint="eastAsia"/>
          <w:sz w:val="28"/>
          <w:szCs w:val="28"/>
          <w:lang w:val="en-US" w:eastAsia="zh-CN"/>
        </w:rPr>
        <w:t>3、变化登记包括：注销登记、转移登记、变更登记等。</w:t>
      </w:r>
    </w:p>
    <w:p>
      <w:pPr>
        <w:pStyle w:val="Heading2"/>
        <w:rPr>
          <w:rFonts w:eastAsia="宋体" w:hint="eastAsia"/>
          <w:bCs/>
          <w:spacing w:val="0"/>
          <w:sz w:val="30"/>
          <w:szCs w:val="30"/>
          <w:lang w:val="en-US" w:eastAsia="zh-CN"/>
        </w:rPr>
      </w:pPr>
      <w:bookmarkStart w:id="37" w:name="_Toc318470907"/>
      <w:bookmarkStart w:id="38" w:name="_Toc13509"/>
      <w:r>
        <w:rPr>
          <w:rFonts w:hint="eastAsia"/>
          <w:bCs/>
          <w:caps w:val="0"/>
          <w:spacing w:val="0"/>
          <w:sz w:val="30"/>
          <w:szCs w:val="30"/>
        </w:rPr>
        <w:t>（</w:t>
      </w:r>
      <w:r>
        <w:rPr>
          <w:rFonts w:hint="eastAsia"/>
          <w:bCs/>
          <w:caps w:val="0"/>
          <w:spacing w:val="0"/>
          <w:sz w:val="30"/>
          <w:szCs w:val="30"/>
          <w:lang w:val="en-US" w:eastAsia="zh-CN"/>
        </w:rPr>
        <w:t>七</w:t>
      </w:r>
      <w:r>
        <w:rPr>
          <w:rFonts w:hint="eastAsia"/>
          <w:bCs/>
          <w:caps w:val="0"/>
          <w:spacing w:val="0"/>
          <w:sz w:val="30"/>
          <w:szCs w:val="30"/>
        </w:rPr>
        <w:t>）</w:t>
      </w:r>
      <w:r>
        <w:rPr>
          <w:rFonts w:hint="eastAsia"/>
          <w:bCs/>
          <w:caps w:val="0"/>
          <w:spacing w:val="0"/>
          <w:sz w:val="30"/>
          <w:szCs w:val="30"/>
          <w:lang w:val="en-US" w:eastAsia="zh-CN"/>
        </w:rPr>
        <w:t>实地</w:t>
      </w:r>
      <w:r>
        <w:rPr>
          <w:rFonts w:hint="eastAsia"/>
          <w:bCs/>
          <w:caps w:val="0"/>
          <w:spacing w:val="0"/>
          <w:sz w:val="30"/>
          <w:szCs w:val="30"/>
        </w:rPr>
        <w:t>开展调查</w:t>
      </w:r>
      <w:bookmarkEnd w:id="37"/>
      <w:r>
        <w:rPr>
          <w:rFonts w:hint="eastAsia"/>
          <w:bCs/>
          <w:caps w:val="0"/>
          <w:spacing w:val="0"/>
          <w:sz w:val="30"/>
          <w:szCs w:val="30"/>
          <w:lang w:val="en-US" w:eastAsia="zh-CN"/>
        </w:rPr>
        <w:t>核实</w:t>
      </w:r>
      <w:bookmarkEnd w:id="38"/>
    </w:p>
    <w:p>
      <w:pPr>
        <w:pStyle w:val="Heading3"/>
        <w:rPr>
          <w:rFonts w:ascii="宋体" w:hAnsi="宋体" w:cs="宋体" w:hint="eastAsia"/>
          <w:kern w:val="0"/>
          <w:sz w:val="28"/>
          <w:szCs w:val="28"/>
        </w:rPr>
      </w:pPr>
      <w:bookmarkStart w:id="39" w:name="_Toc346100033"/>
      <w:bookmarkStart w:id="40" w:name="_Toc18145"/>
      <w:bookmarkStart w:id="41" w:name="_Toc19277"/>
      <w:bookmarkStart w:id="42" w:name="_Toc7043"/>
      <w:bookmarkStart w:id="43" w:name="_Toc346100175"/>
      <w:bookmarkStart w:id="44" w:name="_Toc338148101"/>
      <w:r>
        <w:rPr>
          <w:rFonts w:ascii="宋体" w:hAnsi="宋体" w:cs="宋体" w:hint="eastAsia"/>
          <w:kern w:val="0"/>
          <w:sz w:val="28"/>
          <w:szCs w:val="28"/>
        </w:rPr>
        <w:t>1、工作底图的制作</w:t>
      </w:r>
      <w:bookmarkEnd w:id="39"/>
      <w:bookmarkEnd w:id="40"/>
      <w:bookmarkEnd w:id="41"/>
      <w:bookmarkEnd w:id="42"/>
      <w:bookmarkEnd w:id="43"/>
      <w:bookmarkEnd w:id="44"/>
      <w:r>
        <w:rPr>
          <w:rFonts w:ascii="宋体" w:hAnsi="宋体" w:cs="宋体" w:hint="eastAsia"/>
          <w:kern w:val="0"/>
          <w:sz w:val="28"/>
          <w:szCs w:val="28"/>
        </w:rPr>
        <w:t xml:space="preserve">   </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由于大田县更新调查以及历年统一时点变更影像图分辨率较低，影响调查精度，故采用图面清晰的1:10000数字化地形图作为工作底图。通过对比分析，正射遥感影像图色彩相对鲜明，地形轮廓相对清晰，精度和分辨率基本达到调查要求，</w:t>
      </w:r>
      <w:r>
        <w:rPr>
          <w:rFonts w:ascii="仿宋_GB2312" w:eastAsia="仿宋_GB2312" w:hAnsi="宋体" w:hint="eastAsia"/>
          <w:sz w:val="28"/>
          <w:szCs w:val="28"/>
        </w:rPr>
        <w:t>作为内外业判读的辅助图件，但</w:t>
      </w:r>
      <w:r>
        <w:rPr>
          <w:rFonts w:ascii="仿宋_GB2312" w:eastAsia="仿宋_GB2312" w:hAnsi="宋体" w:cs="宋体" w:hint="eastAsia"/>
          <w:kern w:val="0"/>
          <w:sz w:val="28"/>
          <w:szCs w:val="28"/>
        </w:rPr>
        <w:t>由于影像现势性较差，需结合现势性好的卫星遥感影像图作为内业界线走势判读的参考。内业核对工作以地形图为主，影像图为辅，借助扫描配准的宗地图对界线走势进行全面核对。</w:t>
      </w:r>
    </w:p>
    <w:p>
      <w:pPr>
        <w:pStyle w:val="Heading3"/>
        <w:rPr>
          <w:rFonts w:ascii="宋体" w:hAnsi="宋体" w:cs="宋体" w:hint="eastAsia"/>
          <w:kern w:val="0"/>
          <w:sz w:val="28"/>
          <w:szCs w:val="28"/>
        </w:rPr>
      </w:pPr>
      <w:bookmarkStart w:id="45" w:name="_Toc10962"/>
      <w:bookmarkStart w:id="46" w:name="_Toc4968"/>
      <w:bookmarkStart w:id="47" w:name="_Toc338148102"/>
      <w:bookmarkStart w:id="48" w:name="_Toc346100034"/>
      <w:bookmarkStart w:id="49" w:name="_Toc7547"/>
      <w:bookmarkStart w:id="50" w:name="_Toc346100176"/>
      <w:r>
        <w:rPr>
          <w:rFonts w:ascii="宋体" w:hAnsi="宋体" w:cs="宋体" w:hint="eastAsia"/>
          <w:kern w:val="0"/>
          <w:sz w:val="28"/>
          <w:szCs w:val="28"/>
        </w:rPr>
        <w:t>2、内业预判</w:t>
      </w:r>
      <w:bookmarkEnd w:id="45"/>
      <w:bookmarkEnd w:id="46"/>
      <w:bookmarkEnd w:id="47"/>
      <w:bookmarkEnd w:id="48"/>
      <w:bookmarkEnd w:id="49"/>
      <w:bookmarkEnd w:id="50"/>
    </w:p>
    <w:p>
      <w:pPr>
        <w:spacing w:line="360" w:lineRule="auto"/>
        <w:ind w:firstLine="560" w:firstLineChars="200"/>
        <w:rPr>
          <w:rFonts w:ascii="仿宋_GB2312" w:eastAsia="仿宋_GB2312" w:hAnsi="宋体" w:cs="宋体" w:hint="eastAsia"/>
          <w:kern w:val="0"/>
          <w:sz w:val="28"/>
          <w:szCs w:val="28"/>
        </w:rPr>
        <w:sectPr>
          <w:headerReference w:type="even" r:id="rId120"/>
          <w:headerReference w:type="default" r:id="rId121"/>
          <w:footerReference w:type="even" r:id="rId122"/>
          <w:footerReference w:type="default" r:id="rId123"/>
          <w:headerReference w:type="first" r:id="rId124"/>
          <w:footerReference w:type="first" r:id="rId125"/>
          <w:type w:val="nextPage"/>
          <w:pgSz w:w="11906" w:h="16838"/>
          <w:pgMar w:top="1440" w:right="1800" w:bottom="1440" w:left="1800" w:header="851" w:footer="992" w:gutter="0"/>
          <w:pgNumType w:start="18"/>
          <w:cols w:space="708"/>
          <w:titlePg w:val="0"/>
          <w:docGrid w:type="lines" w:linePitch="312" w:charSpace="0"/>
        </w:sectPr>
      </w:pP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大田县登记发证资料中土地登记申请书、土地登记审批表、所有权登记具结报告、权属调查指界表、宗地图等，飞地登记申请书、土地登记审批表、所有权登记具结报告、权属调查指界表、宗地图等以及争议地相关资料手续完整、资料齐全，对于本次农村集体土地所有权登记</w:t>
      </w:r>
      <w:r>
        <w:rPr>
          <w:rFonts w:ascii="仿宋_GB2312" w:eastAsia="仿宋_GB2312" w:hAnsi="宋体" w:cs="宋体" w:hint="eastAsia"/>
          <w:kern w:val="0"/>
          <w:sz w:val="28"/>
          <w:szCs w:val="28"/>
          <w:lang w:val="en-US" w:eastAsia="zh-CN"/>
        </w:rPr>
        <w:t>成果更新汇交</w:t>
      </w:r>
      <w:r>
        <w:rPr>
          <w:rFonts w:ascii="仿宋_GB2312" w:eastAsia="仿宋_GB2312" w:hAnsi="宋体" w:cs="宋体" w:hint="eastAsia"/>
          <w:kern w:val="0"/>
          <w:sz w:val="28"/>
          <w:szCs w:val="28"/>
        </w:rPr>
        <w:t>工作提供了作业依据。</w:t>
      </w:r>
    </w:p>
    <w:p>
      <w:pPr>
        <w:pStyle w:val="CommentText"/>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将原发证的宗地图通过扫描，根据缩编地形图通过图框、相同地物点配准，图上均匀分布一定数量的同名点，将土地利用现状数据库中集体土地所有权界线与原发证的权属界线进行参照对比，先在内业先行找出疑问点。依据原发证的界址点、界址线位置描述，对形态基本一致发生偏移较小的界址点（线）直接在底图上修正；文字描述空缺或描述不详的界址点（线），无法在图上直接修正的，作好疑问记录，利用已套好的工作底图到实地进行核实，实地采集界址位置并按正确的位置进行修正；对缺乏权源材料的宗地或界址线，按初始确权登记要求，进行现场指界及相关材料的填写与签章。</w:t>
      </w:r>
    </w:p>
    <w:p>
      <w:pPr>
        <w:spacing w:line="360" w:lineRule="auto"/>
        <w:ind w:firstLine="560" w:firstLineChars="200"/>
        <w:rPr>
          <w:rFonts w:ascii="仿宋_GB2312" w:eastAsia="仿宋_GB2312" w:hAnsi="宋体" w:cs="宋体" w:hint="eastAsia"/>
          <w:kern w:val="0"/>
          <w:sz w:val="28"/>
          <w:szCs w:val="28"/>
        </w:rPr>
        <w:sectPr>
          <w:headerReference w:type="even" r:id="rId126"/>
          <w:headerReference w:type="default" r:id="rId127"/>
          <w:footerReference w:type="even" r:id="rId128"/>
          <w:footerReference w:type="default" r:id="rId129"/>
          <w:headerReference w:type="first" r:id="rId130"/>
          <w:footerReference w:type="first" r:id="rId131"/>
          <w:type w:val="nextPage"/>
          <w:pgSz w:w="11906" w:h="16838"/>
          <w:pgMar w:top="1440" w:right="1800" w:bottom="1440" w:left="1800" w:header="851" w:footer="992" w:gutter="0"/>
          <w:pgNumType w:start="19"/>
          <w:cols w:space="708"/>
          <w:titlePg w:val="0"/>
          <w:docGrid w:type="lines" w:linePitch="312" w:charSpace="0"/>
        </w:sectPr>
      </w:pPr>
      <w:r>
        <w:rPr>
          <w:rFonts w:ascii="仿宋_GB2312" w:eastAsia="仿宋_GB2312" w:hAnsi="宋体" w:cs="宋体" w:hint="eastAsia"/>
          <w:kern w:val="0"/>
          <w:sz w:val="28"/>
          <w:szCs w:val="28"/>
        </w:rPr>
        <w:t>界线核对过程中，对于尚未登记发证，但已经指界并签订权属协议书的，直接引用其指界成果进行登记发证；一方对原登记土地权属界线提出异议的，除能提供具有法律依据的权源资料证明原登记有误，且权属界线双方均同意重新指界的外，原则上维持原发证成果暂不变动，单方提出修改的，暂时不予处理；遇到行政勘界和权属界线不一致的情况，分析原因：如原权属界线因调查技术、精度引起的与行政勘界产生的微小差距的，以行政勘界为主进行上图；如果行政勘界和权属界线差异较大的以权属界线为主进行落图，落入外县的飞地经过调查，形成飞出地情况汇总表登记造册，提交所在地人民政府确权登记。原权属界线以河流或者公路中心线为界的，现河流改道或者公路改线的，权属界线要以改道前的河流或者改线前的公路为界。</w:t>
      </w:r>
    </w:p>
    <w:p>
      <w:pPr>
        <w:pStyle w:val="Heading3"/>
        <w:rPr>
          <w:rFonts w:ascii="宋体" w:hAnsi="宋体" w:hint="eastAsia"/>
          <w:sz w:val="28"/>
          <w:szCs w:val="28"/>
        </w:rPr>
      </w:pPr>
      <w:bookmarkStart w:id="51" w:name="_Toc346100035"/>
      <w:bookmarkStart w:id="52" w:name="_Toc346100177"/>
      <w:bookmarkStart w:id="53" w:name="_Toc338148103"/>
      <w:bookmarkStart w:id="54" w:name="_Toc18283"/>
      <w:bookmarkStart w:id="55" w:name="_Toc9583"/>
      <w:bookmarkStart w:id="56" w:name="_Toc23906"/>
      <w:r>
        <w:rPr>
          <w:rFonts w:ascii="宋体" w:hAnsi="宋体" w:hint="eastAsia"/>
          <w:sz w:val="28"/>
          <w:szCs w:val="28"/>
        </w:rPr>
        <w:t>3、飞地调查</w:t>
      </w:r>
      <w:bookmarkEnd w:id="51"/>
      <w:bookmarkEnd w:id="52"/>
      <w:bookmarkEnd w:id="53"/>
      <w:bookmarkEnd w:id="54"/>
      <w:bookmarkEnd w:id="55"/>
      <w:bookmarkEnd w:id="56"/>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飞地情况摸底，根据收集的原登记发证成果资料，对辖区内的飞地情况进行一次全面地摸底调查，由于</w:t>
      </w:r>
      <w:r>
        <w:rPr>
          <w:rFonts w:ascii="仿宋_GB2312" w:eastAsia="仿宋_GB2312" w:hAnsi="宋体" w:cs="宋体" w:hint="eastAsia"/>
          <w:kern w:val="0"/>
          <w:sz w:val="28"/>
          <w:szCs w:val="28"/>
          <w:lang w:val="en-US" w:eastAsia="zh-CN"/>
        </w:rPr>
        <w:t>以前</w:t>
      </w:r>
      <w:r>
        <w:rPr>
          <w:rFonts w:ascii="仿宋_GB2312" w:eastAsia="仿宋_GB2312" w:hAnsi="宋体" w:cs="宋体" w:hint="eastAsia"/>
          <w:kern w:val="0"/>
          <w:sz w:val="28"/>
          <w:szCs w:val="28"/>
        </w:rPr>
        <w:t>技术手段的限制，原登记发证宗地图上的飞地界线通过转绘后，必须结合界线协议书、界址线文字说明、最新的地形图逐条进行核对，通过对辖县内飞地的数量、界线走势、面积等核对，权属界线变更或飞地面积未剔出的，开展补充调查。</w:t>
      </w:r>
    </w:p>
    <w:p>
      <w:pPr>
        <w:tabs>
          <w:tab w:val="left" w:pos="1933"/>
        </w:tabs>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lang w:val="en-US" w:eastAsia="zh-CN"/>
        </w:rPr>
        <w:t>（1）</w:t>
      </w:r>
      <w:r>
        <w:rPr>
          <w:rFonts w:ascii="仿宋_GB2312" w:eastAsia="仿宋_GB2312" w:hAnsi="宋体" w:cs="宋体" w:hint="eastAsia"/>
          <w:kern w:val="0"/>
          <w:sz w:val="28"/>
          <w:szCs w:val="28"/>
        </w:rPr>
        <w:t>上一轮已按宗登记发证的飞地，经核实后，以捆绑的形式进行登记发证，对未登记发证，面积较小达不到上图指标的宗地不单独发证，采取</w:t>
      </w:r>
      <w:r>
        <w:rPr>
          <w:rFonts w:ascii="仿宋_GB2312" w:eastAsia="仿宋_GB2312" w:hAnsi="宋体" w:cs="宋体" w:hint="eastAsia"/>
          <w:kern w:val="0"/>
          <w:sz w:val="28"/>
          <w:szCs w:val="28"/>
        </w:rPr>
        <w:t>“</w:t>
      </w:r>
      <w:r>
        <w:rPr>
          <w:rFonts w:ascii="仿宋_GB2312" w:eastAsia="仿宋_GB2312" w:hAnsi="宋体" w:cs="宋体" w:hint="eastAsia"/>
          <w:kern w:val="0"/>
          <w:sz w:val="28"/>
          <w:szCs w:val="28"/>
        </w:rPr>
        <w:t>一个主体、分宗调查、归并登记、捆绑缮证</w:t>
      </w:r>
      <w:r>
        <w:rPr>
          <w:rFonts w:ascii="仿宋_GB2312" w:eastAsia="仿宋_GB2312" w:hAnsi="宋体" w:cs="宋体" w:hint="eastAsia"/>
          <w:kern w:val="0"/>
          <w:sz w:val="28"/>
          <w:szCs w:val="28"/>
        </w:rPr>
        <w:t>”</w:t>
      </w:r>
      <w:r>
        <w:rPr>
          <w:rFonts w:ascii="仿宋_GB2312" w:eastAsia="仿宋_GB2312" w:hAnsi="宋体" w:cs="宋体" w:hint="eastAsia"/>
          <w:kern w:val="0"/>
          <w:sz w:val="28"/>
          <w:szCs w:val="28"/>
        </w:rPr>
        <w:t>的做法。</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lang w:val="en-US" w:eastAsia="zh-CN"/>
        </w:rPr>
        <w:t>（2）</w:t>
      </w:r>
      <w:r>
        <w:rPr>
          <w:rFonts w:ascii="仿宋_GB2312" w:eastAsia="仿宋_GB2312" w:hAnsi="宋体" w:cs="宋体" w:hint="eastAsia"/>
          <w:kern w:val="0"/>
          <w:sz w:val="28"/>
          <w:szCs w:val="28"/>
        </w:rPr>
        <w:t>对原登记时已进行指界或者签订了权属协议书，但未单独发证的飞地，只要界线清楚，直接应用其成果进行登记发证，不再开展界址调查；原登记时签订的权属协议只有界线走向说明，未指界认可的，进行补充调查，完善指界成果，并由双方指界认可。</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lang w:val="en-US" w:eastAsia="zh-CN"/>
        </w:rPr>
        <w:t>（3）</w:t>
      </w:r>
      <w:r>
        <w:rPr>
          <w:rFonts w:ascii="仿宋_GB2312" w:eastAsia="仿宋_GB2312" w:hAnsi="宋体" w:cs="宋体" w:hint="eastAsia"/>
          <w:kern w:val="0"/>
          <w:sz w:val="28"/>
          <w:szCs w:val="28"/>
        </w:rPr>
        <w:t>受条件限制和面积较小不单独发证的飞地，以村为单位进行登记造册，随同该村宗地报送政府审核捆绑缮证，但前提是也要按照规定开展权属调查，签订土地权属协议书。原登记时以村为单位采用簿册汇总的飞地，未经双方签字盖章的，本次调查中要进行补盖。</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lang w:val="en-US" w:eastAsia="zh-CN"/>
        </w:rPr>
        <w:t>（4）</w:t>
      </w:r>
      <w:r>
        <w:rPr>
          <w:rFonts w:ascii="仿宋_GB2312" w:eastAsia="仿宋_GB2312" w:hAnsi="宋体" w:cs="宋体" w:hint="eastAsia"/>
          <w:kern w:val="0"/>
          <w:sz w:val="28"/>
          <w:szCs w:val="28"/>
        </w:rPr>
        <w:t>有权源材料的新增飞地，经过调查核对无误后，调查上图，填写相应的补充调查表格，该飞地面积在落入地所在集体土地中扣除。</w:t>
      </w:r>
    </w:p>
    <w:p>
      <w:pPr>
        <w:spacing w:line="360" w:lineRule="auto"/>
        <w:ind w:firstLine="560" w:firstLineChars="200"/>
        <w:rPr>
          <w:rFonts w:ascii="仿宋_GB2312" w:eastAsia="仿宋_GB2312" w:hAnsi="宋体" w:cs="宋体" w:hint="eastAsia"/>
          <w:kern w:val="0"/>
          <w:sz w:val="28"/>
          <w:szCs w:val="28"/>
        </w:rPr>
        <w:sectPr>
          <w:headerReference w:type="even" r:id="rId132"/>
          <w:headerReference w:type="default" r:id="rId133"/>
          <w:footerReference w:type="even" r:id="rId134"/>
          <w:footerReference w:type="default" r:id="rId135"/>
          <w:headerReference w:type="first" r:id="rId136"/>
          <w:footerReference w:type="first" r:id="rId137"/>
          <w:type w:val="nextPage"/>
          <w:pgSz w:w="11906" w:h="16838"/>
          <w:pgMar w:top="1440" w:right="1800" w:bottom="1440" w:left="1800" w:header="851" w:footer="992" w:gutter="0"/>
          <w:pgNumType w:start="20"/>
          <w:cols w:space="708"/>
          <w:titlePg w:val="0"/>
          <w:docGrid w:type="lines" w:linePitch="312" w:charSpace="0"/>
        </w:sectPr>
      </w:pPr>
      <w:r>
        <w:rPr>
          <w:rFonts w:ascii="仿宋_GB2312" w:eastAsia="仿宋_GB2312" w:hAnsi="宋体" w:cs="宋体" w:hint="eastAsia"/>
          <w:kern w:val="0"/>
          <w:sz w:val="28"/>
          <w:szCs w:val="28"/>
          <w:lang w:val="en-US" w:eastAsia="zh-CN"/>
        </w:rPr>
        <w:t>（5）</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根据描述对飞地的界线走向进行核查，对变形线段进行调整，特别是沿半山腰行走的界线根据地形图进行修正，使飞地界线与地形图上的等高线近视平行，能够与实际情况相符。</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lang w:val="en-US" w:eastAsia="zh-CN"/>
        </w:rPr>
        <w:t>（6）</w:t>
      </w:r>
      <w:r>
        <w:rPr>
          <w:rFonts w:ascii="仿宋_GB2312" w:eastAsia="仿宋_GB2312" w:hAnsi="宋体" w:cs="宋体" w:hint="eastAsia"/>
          <w:kern w:val="0"/>
          <w:sz w:val="28"/>
          <w:szCs w:val="28"/>
        </w:rPr>
        <w:t>外县飞入地处理：飞入大田县行政辖区内的外县飞地先由本县权利人单方指界，再把指界结果通知对方，同属于三明市的跨县飞地指界结果由三明市人民政府组织完善指界成果，外市飞地由省人民政府组织完善指界成果。</w:t>
      </w:r>
    </w:p>
    <w:p>
      <w:pPr>
        <w:pStyle w:val="Heading3"/>
        <w:rPr>
          <w:rFonts w:ascii="宋体" w:hAnsi="宋体" w:hint="eastAsia"/>
          <w:sz w:val="28"/>
          <w:szCs w:val="28"/>
        </w:rPr>
      </w:pPr>
      <w:bookmarkStart w:id="57" w:name="_Toc10371"/>
      <w:bookmarkStart w:id="58" w:name="_Toc4783"/>
      <w:bookmarkStart w:id="59" w:name="_Toc343803327"/>
      <w:bookmarkStart w:id="60" w:name="_Toc24016"/>
      <w:bookmarkStart w:id="61" w:name="_Toc338148105"/>
      <w:bookmarkStart w:id="62" w:name="_Toc346100179"/>
      <w:bookmarkStart w:id="63" w:name="_Toc346100037"/>
      <w:r>
        <w:rPr>
          <w:rFonts w:ascii="宋体" w:hAnsi="宋体" w:hint="eastAsia"/>
          <w:sz w:val="28"/>
          <w:szCs w:val="28"/>
        </w:rPr>
        <w:t>4、国有地调查</w:t>
      </w:r>
      <w:bookmarkEnd w:id="57"/>
      <w:bookmarkEnd w:id="58"/>
      <w:bookmarkEnd w:id="59"/>
      <w:bookmarkEnd w:id="60"/>
    </w:p>
    <w:p>
      <w:pPr>
        <w:spacing w:line="360" w:lineRule="auto"/>
        <w:ind w:firstLine="560" w:firstLineChars="200"/>
        <w:rPr>
          <w:rFonts w:ascii="仿宋_GB2312" w:eastAsia="仿宋_GB2312" w:hAnsi="宋体" w:cs="宋体" w:hint="eastAsia"/>
          <w:kern w:val="0"/>
          <w:sz w:val="28"/>
          <w:szCs w:val="28"/>
        </w:rPr>
      </w:pPr>
      <w:r>
        <w:rPr>
          <w:rFonts w:ascii="宋体" w:eastAsia="仿宋_GB2312" w:hAnsi="宋体" w:cs="宋体" w:hint="eastAsia"/>
          <w:kern w:val="0"/>
          <w:sz w:val="28"/>
          <w:szCs w:val="28"/>
          <w:lang w:eastAsia="zh-CN"/>
        </w:rPr>
        <w:t>（</w:t>
      </w:r>
      <w:r>
        <w:rPr>
          <w:rFonts w:ascii="宋体" w:eastAsia="仿宋_GB2312" w:hAnsi="宋体" w:cs="宋体" w:hint="eastAsia"/>
          <w:kern w:val="0"/>
          <w:sz w:val="28"/>
          <w:szCs w:val="28"/>
          <w:lang w:val="en-US" w:eastAsia="zh-CN"/>
        </w:rPr>
        <w:t>1</w:t>
      </w:r>
      <w:r>
        <w:rPr>
          <w:rFonts w:ascii="宋体" w:eastAsia="仿宋_GB2312" w:hAnsi="宋体" w:cs="宋体" w:hint="eastAsia"/>
          <w:kern w:val="0"/>
          <w:sz w:val="28"/>
          <w:szCs w:val="28"/>
          <w:lang w:eastAsia="zh-CN"/>
        </w:rPr>
        <w:t>）</w:t>
      </w:r>
      <w:r>
        <w:rPr>
          <w:rFonts w:ascii="仿宋_GB2312" w:eastAsia="仿宋_GB2312" w:hAnsi="宋体" w:cs="宋体" w:hint="eastAsia"/>
          <w:kern w:val="0"/>
          <w:sz w:val="28"/>
          <w:szCs w:val="28"/>
        </w:rPr>
        <w:t>国有土地调查的依据</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kern w:val="0"/>
          <w:sz w:val="28"/>
          <w:szCs w:val="28"/>
        </w:rPr>
        <w:fldChar w:fldCharType="begin"/>
      </w:r>
      <w:r>
        <w:rPr>
          <w:rFonts w:ascii="仿宋_GB2312" w:eastAsia="仿宋_GB2312" w:hAnsi="宋体" w:cs="宋体"/>
          <w:kern w:val="0"/>
          <w:sz w:val="28"/>
          <w:szCs w:val="28"/>
        </w:rPr>
        <w:instrText xml:space="preserve"> </w:instrText>
      </w:r>
      <w:r>
        <w:rPr>
          <w:rFonts w:ascii="仿宋_GB2312" w:eastAsia="仿宋_GB2312" w:hAnsi="宋体" w:cs="宋体" w:hint="eastAsia"/>
          <w:kern w:val="0"/>
          <w:sz w:val="28"/>
          <w:szCs w:val="28"/>
        </w:rPr>
        <w:instrText>= 1 \* alphabetic</w:instrText>
      </w:r>
      <w:r>
        <w:rPr>
          <w:rFonts w:ascii="仿宋_GB2312" w:eastAsia="仿宋_GB2312" w:hAnsi="宋体" w:cs="宋体"/>
          <w:kern w:val="0"/>
          <w:sz w:val="28"/>
          <w:szCs w:val="28"/>
        </w:rPr>
        <w:instrText xml:space="preserve"> </w:instrText>
      </w:r>
      <w:r>
        <w:rPr>
          <w:rFonts w:ascii="仿宋_GB2312" w:eastAsia="仿宋_GB2312" w:hAnsi="宋体" w:cs="宋体"/>
          <w:kern w:val="0"/>
          <w:sz w:val="28"/>
          <w:szCs w:val="28"/>
        </w:rPr>
        <w:fldChar w:fldCharType="separate"/>
      </w:r>
      <w:r>
        <w:rPr>
          <w:rFonts w:ascii="仿宋_GB2312" w:eastAsia="仿宋_GB2312" w:hAnsi="宋体" w:cs="宋体"/>
          <w:kern w:val="0"/>
          <w:sz w:val="28"/>
          <w:szCs w:val="28"/>
        </w:rPr>
        <w:t>a</w:t>
      </w:r>
      <w:r>
        <w:rPr>
          <w:rFonts w:ascii="仿宋_GB2312" w:eastAsia="仿宋_GB2312" w:hAnsi="宋体" w:cs="宋体"/>
          <w:kern w:val="0"/>
          <w:sz w:val="28"/>
          <w:szCs w:val="28"/>
        </w:rPr>
        <w:fldChar w:fldCharType="end"/>
      </w:r>
      <w:r>
        <w:rPr>
          <w:rFonts w:ascii="仿宋_GB2312" w:eastAsia="仿宋_GB2312" w:hAnsi="宋体" w:cs="宋体" w:hint="eastAsia"/>
          <w:kern w:val="0"/>
          <w:sz w:val="28"/>
          <w:szCs w:val="28"/>
        </w:rPr>
        <w:t>已登记发证的宗地资料；</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kern w:val="0"/>
          <w:sz w:val="28"/>
          <w:szCs w:val="28"/>
        </w:rPr>
        <w:fldChar w:fldCharType="begin"/>
      </w:r>
      <w:r>
        <w:rPr>
          <w:rFonts w:ascii="仿宋_GB2312" w:eastAsia="仿宋_GB2312" w:hAnsi="宋体" w:cs="宋体"/>
          <w:kern w:val="0"/>
          <w:sz w:val="28"/>
          <w:szCs w:val="28"/>
        </w:rPr>
        <w:instrText xml:space="preserve"> </w:instrText>
      </w:r>
      <w:r>
        <w:rPr>
          <w:rFonts w:ascii="仿宋_GB2312" w:eastAsia="仿宋_GB2312" w:hAnsi="宋体" w:cs="宋体" w:hint="eastAsia"/>
          <w:kern w:val="0"/>
          <w:sz w:val="28"/>
          <w:szCs w:val="28"/>
        </w:rPr>
        <w:instrText>= 2 \* alphabetic</w:instrText>
      </w:r>
      <w:r>
        <w:rPr>
          <w:rFonts w:ascii="仿宋_GB2312" w:eastAsia="仿宋_GB2312" w:hAnsi="宋体" w:cs="宋体"/>
          <w:kern w:val="0"/>
          <w:sz w:val="28"/>
          <w:szCs w:val="28"/>
        </w:rPr>
        <w:instrText xml:space="preserve"> </w:instrText>
      </w:r>
      <w:r>
        <w:rPr>
          <w:rFonts w:ascii="仿宋_GB2312" w:eastAsia="仿宋_GB2312" w:hAnsi="宋体" w:cs="宋体"/>
          <w:kern w:val="0"/>
          <w:sz w:val="28"/>
          <w:szCs w:val="28"/>
        </w:rPr>
        <w:fldChar w:fldCharType="separate"/>
      </w:r>
      <w:r>
        <w:rPr>
          <w:rFonts w:ascii="仿宋_GB2312" w:eastAsia="仿宋_GB2312" w:hAnsi="宋体" w:cs="宋体"/>
          <w:kern w:val="0"/>
          <w:sz w:val="28"/>
          <w:szCs w:val="28"/>
        </w:rPr>
        <w:t>b</w:t>
      </w:r>
      <w:r>
        <w:rPr>
          <w:rFonts w:ascii="仿宋_GB2312" w:eastAsia="仿宋_GB2312" w:hAnsi="宋体" w:cs="宋体"/>
          <w:kern w:val="0"/>
          <w:sz w:val="28"/>
          <w:szCs w:val="28"/>
        </w:rPr>
        <w:fldChar w:fldCharType="end"/>
      </w:r>
      <w:r>
        <w:rPr>
          <w:rFonts w:ascii="仿宋_GB2312" w:eastAsia="仿宋_GB2312" w:hAnsi="宋体" w:cs="宋体" w:hint="eastAsia"/>
          <w:kern w:val="0"/>
          <w:sz w:val="28"/>
          <w:szCs w:val="28"/>
        </w:rPr>
        <w:t>有权机关批准的征收文件及征地红线资料；</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kern w:val="0"/>
          <w:sz w:val="28"/>
          <w:szCs w:val="28"/>
        </w:rPr>
        <w:fldChar w:fldCharType="begin"/>
      </w:r>
      <w:r>
        <w:rPr>
          <w:rFonts w:ascii="仿宋_GB2312" w:eastAsia="仿宋_GB2312" w:hAnsi="宋体" w:cs="宋体"/>
          <w:kern w:val="0"/>
          <w:sz w:val="28"/>
          <w:szCs w:val="28"/>
        </w:rPr>
        <w:instrText xml:space="preserve"> </w:instrText>
      </w:r>
      <w:r>
        <w:rPr>
          <w:rFonts w:ascii="仿宋_GB2312" w:eastAsia="仿宋_GB2312" w:hAnsi="宋体" w:cs="宋体" w:hint="eastAsia"/>
          <w:kern w:val="0"/>
          <w:sz w:val="28"/>
          <w:szCs w:val="28"/>
        </w:rPr>
        <w:instrText>= 3 \* alphabetic</w:instrText>
      </w:r>
      <w:r>
        <w:rPr>
          <w:rFonts w:ascii="仿宋_GB2312" w:eastAsia="仿宋_GB2312" w:hAnsi="宋体" w:cs="宋体"/>
          <w:kern w:val="0"/>
          <w:sz w:val="28"/>
          <w:szCs w:val="28"/>
        </w:rPr>
        <w:instrText xml:space="preserve"> </w:instrText>
      </w:r>
      <w:r>
        <w:rPr>
          <w:rFonts w:ascii="仿宋_GB2312" w:eastAsia="仿宋_GB2312" w:hAnsi="宋体" w:cs="宋体"/>
          <w:kern w:val="0"/>
          <w:sz w:val="28"/>
          <w:szCs w:val="28"/>
        </w:rPr>
        <w:fldChar w:fldCharType="separate"/>
      </w:r>
      <w:r>
        <w:rPr>
          <w:rFonts w:ascii="仿宋_GB2312" w:eastAsia="仿宋_GB2312" w:hAnsi="宋体" w:cs="宋体"/>
          <w:kern w:val="0"/>
          <w:sz w:val="28"/>
          <w:szCs w:val="28"/>
        </w:rPr>
        <w:t>c</w:t>
      </w:r>
      <w:r>
        <w:rPr>
          <w:rFonts w:ascii="仿宋_GB2312" w:eastAsia="仿宋_GB2312" w:hAnsi="宋体" w:cs="宋体"/>
          <w:kern w:val="0"/>
          <w:sz w:val="28"/>
          <w:szCs w:val="28"/>
        </w:rPr>
        <w:fldChar w:fldCharType="end"/>
      </w:r>
      <w:r>
        <w:rPr>
          <w:rFonts w:ascii="仿宋_GB2312" w:eastAsia="仿宋_GB2312" w:hAnsi="宋体" w:cs="宋体" w:hint="eastAsia"/>
          <w:kern w:val="0"/>
          <w:sz w:val="28"/>
          <w:szCs w:val="28"/>
        </w:rPr>
        <w:t>其它确权资料。</w:t>
      </w:r>
    </w:p>
    <w:p>
      <w:pPr>
        <w:ind w:firstLine="560" w:firstLineChars="200"/>
        <w:rPr>
          <w:rFonts w:hint="eastAsia"/>
        </w:rPr>
      </w:pPr>
      <w:r>
        <w:rPr>
          <w:rFonts w:ascii="仿宋_GB2312" w:eastAsia="仿宋_GB2312" w:hAnsi="宋体" w:cs="宋体" w:hint="eastAsia"/>
          <w:kern w:val="0"/>
          <w:sz w:val="28"/>
          <w:szCs w:val="28"/>
        </w:rPr>
        <w:t>此次调查，城区202范围内的集体土地不打开、不细化，203范围内的部分机关单位，如乡政府、卫生院、学校等经核实已经办理过农转用手续，按国有进行确权，权属界线范围可参考最新数字化地形图上的界线；经核实未办理农转用征收的，权属仍归属于农民集体，这部分宗地不上图也不扣面积，还是作为集体所有；乡所在地范围外的学校、卫生院等机关直属单位经核实为国有宗地后，按国有地上图，有颁发土地证的，界线以土地证上的红线为准，未颁发土地证的国有界线参考最新的地形图。</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lang w:eastAsia="zh-CN"/>
        </w:rPr>
        <w:t>（</w:t>
      </w:r>
      <w:r>
        <w:rPr>
          <w:rFonts w:ascii="仿宋_GB2312" w:eastAsia="仿宋_GB2312" w:hAnsi="宋体" w:cs="宋体" w:hint="eastAsia"/>
          <w:kern w:val="0"/>
          <w:sz w:val="28"/>
          <w:szCs w:val="28"/>
          <w:lang w:val="en-US" w:eastAsia="zh-CN"/>
        </w:rPr>
        <w:t>2</w:t>
      </w:r>
      <w:r>
        <w:rPr>
          <w:rFonts w:ascii="仿宋_GB2312" w:eastAsia="仿宋_GB2312" w:hAnsi="宋体" w:cs="宋体" w:hint="eastAsia"/>
          <w:kern w:val="0"/>
          <w:sz w:val="28"/>
          <w:szCs w:val="28"/>
          <w:lang w:eastAsia="zh-CN"/>
        </w:rPr>
        <w:t>）</w:t>
      </w:r>
      <w:r>
        <w:rPr>
          <w:rFonts w:ascii="仿宋_GB2312" w:eastAsia="仿宋_GB2312" w:hAnsi="宋体" w:cs="宋体" w:hint="eastAsia"/>
          <w:kern w:val="0"/>
          <w:sz w:val="28"/>
          <w:szCs w:val="28"/>
        </w:rPr>
        <w:t>国有公路、河流等线状国有地调查</w:t>
      </w:r>
    </w:p>
    <w:p>
      <w:pPr>
        <w:spacing w:line="360" w:lineRule="auto"/>
        <w:ind w:firstLine="560" w:firstLineChars="200"/>
        <w:rPr>
          <w:rFonts w:ascii="仿宋_GB2312" w:eastAsia="仿宋_GB2312" w:hAnsi="宋体" w:cs="宋体" w:hint="eastAsia"/>
          <w:kern w:val="0"/>
          <w:sz w:val="28"/>
          <w:szCs w:val="28"/>
        </w:rPr>
        <w:sectPr>
          <w:headerReference w:type="even" r:id="rId138"/>
          <w:headerReference w:type="default" r:id="rId139"/>
          <w:footerReference w:type="even" r:id="rId140"/>
          <w:footerReference w:type="default" r:id="rId141"/>
          <w:headerReference w:type="first" r:id="rId142"/>
          <w:footerReference w:type="first" r:id="rId143"/>
          <w:type w:val="nextPage"/>
          <w:pgSz w:w="11906" w:h="16838"/>
          <w:pgMar w:top="1440" w:right="1800" w:bottom="1440" w:left="1800" w:header="851" w:footer="992" w:gutter="0"/>
          <w:pgNumType w:start="21"/>
          <w:cols w:space="708"/>
          <w:titlePg w:val="0"/>
          <w:docGrid w:type="lines" w:linePitch="312" w:charSpace="0"/>
        </w:sectPr>
      </w:pP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已登记发证的国有公路，直接采用登记成果来确定土地权属界线，未登记发证的国有公路经确认后，以二调数据库里的图斑作为权属界，本次农村集体所有权调查县道以上的为国有公路。</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铁路、高速公路、县道、省道、国道为国有土地。有经过登记发证的以登记的为准；没有登记但有征收文件的，按征收红线来确定土地权属界线；既没有登记发证，也没有征收文件的国有用地以全国第二次土地调查数据库中的地类图斑为准。水库按登记发证或农转用征收确定的范围上图。</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大田县境内大的河流主要有均溪河、文江河、建设河，这三条主干道必须按国有地进行上图，对于其他流经村内的小支流暂按集体土地处理。</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铁路、高速公路、县道、省道、国道为国有土地。有经过登记发证的直接采用登记成果来确定土地权属界线；没有登记但有征收文件的，按征收红线来确定土地权属界线；既没有登记发证，也没有征收文件的，经调查确实为国有用地的，以全国第二次土地调查数据库中的地类图斑界线为准。本次农村集体所有权调查确定县道以上（含县道）的公路为国有公路，乡道根据是否征用分别确定国有或集体所有。</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目前大田境内的高速公路只有泉三高速公路一条，境内的铁路为鹰厦铁路，铁路位于桃源镇的赤头坂林业采育场内，高速公路未改线，与农转用征收的一致，因此高速公路直接按农转用征收的红线上图。</w:t>
      </w:r>
    </w:p>
    <w:p>
      <w:pPr>
        <w:spacing w:line="360" w:lineRule="auto"/>
        <w:ind w:firstLine="560" w:firstLineChars="200"/>
        <w:rPr>
          <w:rFonts w:ascii="仿宋_GB2312" w:eastAsia="仿宋_GB2312" w:hAnsi="宋体" w:cs="宋体" w:hint="eastAsia"/>
          <w:kern w:val="0"/>
          <w:sz w:val="28"/>
          <w:szCs w:val="28"/>
        </w:rPr>
      </w:pPr>
      <w:r>
        <w:rPr>
          <w:rFonts w:ascii="宋体" w:eastAsia="仿宋_GB2312" w:hAnsi="宋体" w:cs="宋体" w:hint="eastAsia"/>
          <w:kern w:val="0"/>
          <w:sz w:val="28"/>
          <w:szCs w:val="28"/>
          <w:lang w:eastAsia="zh-CN"/>
        </w:rPr>
        <w:t>（</w:t>
      </w:r>
      <w:r>
        <w:rPr>
          <w:rFonts w:ascii="宋体" w:eastAsia="仿宋_GB2312" w:hAnsi="宋体" w:cs="宋体" w:hint="eastAsia"/>
          <w:kern w:val="0"/>
          <w:sz w:val="28"/>
          <w:szCs w:val="28"/>
          <w:lang w:val="en-US" w:eastAsia="zh-CN"/>
        </w:rPr>
        <w:t>3</w:t>
      </w:r>
      <w:r>
        <w:rPr>
          <w:rFonts w:ascii="宋体" w:eastAsia="仿宋_GB2312" w:hAnsi="宋体" w:cs="宋体" w:hint="eastAsia"/>
          <w:kern w:val="0"/>
          <w:sz w:val="28"/>
          <w:szCs w:val="28"/>
          <w:lang w:eastAsia="zh-CN"/>
        </w:rPr>
        <w:t>）</w:t>
      </w:r>
      <w:r>
        <w:rPr>
          <w:rFonts w:ascii="仿宋_GB2312" w:eastAsia="仿宋_GB2312" w:hAnsi="宋体" w:cs="宋体" w:hint="eastAsia"/>
          <w:kern w:val="0"/>
          <w:sz w:val="28"/>
          <w:szCs w:val="28"/>
        </w:rPr>
        <w:t>国有农、林、牧、渔场、苗圃、良种场、矿山等国有地的认定</w:t>
      </w:r>
    </w:p>
    <w:p>
      <w:pPr>
        <w:spacing w:line="360" w:lineRule="auto"/>
        <w:ind w:firstLine="560" w:firstLineChars="200"/>
        <w:rPr>
          <w:rFonts w:ascii="仿宋_GB2312" w:eastAsia="仿宋_GB2312" w:hAnsi="宋体" w:cs="宋体" w:hint="eastAsia"/>
          <w:kern w:val="0"/>
          <w:sz w:val="28"/>
          <w:szCs w:val="28"/>
        </w:rPr>
        <w:sectPr>
          <w:headerReference w:type="even" r:id="rId144"/>
          <w:headerReference w:type="default" r:id="rId145"/>
          <w:footerReference w:type="even" r:id="rId146"/>
          <w:footerReference w:type="default" r:id="rId147"/>
          <w:headerReference w:type="first" r:id="rId148"/>
          <w:footerReference w:type="first" r:id="rId149"/>
          <w:type w:val="nextPage"/>
          <w:pgSz w:w="11906" w:h="16838"/>
          <w:pgMar w:top="1440" w:right="1800" w:bottom="1440" w:left="1800" w:header="851" w:footer="992" w:gutter="0"/>
          <w:pgNumType w:start="22"/>
          <w:cols w:space="708"/>
          <w:titlePg w:val="0"/>
          <w:docGrid w:type="lines" w:linePitch="312" w:charSpace="0"/>
        </w:sectPr>
      </w:pPr>
      <w:r>
        <w:rPr>
          <w:rFonts w:ascii="仿宋_GB2312" w:eastAsia="仿宋_GB2312" w:hAnsi="宋体" w:cs="宋体" w:hint="eastAsia"/>
          <w:kern w:val="0"/>
          <w:sz w:val="28"/>
          <w:szCs w:val="28"/>
        </w:rPr>
        <w:t>对于未发证的农、林、牧场等国有地，先按</w:t>
      </w:r>
      <w:r>
        <w:rPr>
          <w:rFonts w:ascii="仿宋_GB2312" w:eastAsia="仿宋_GB2312" w:hAnsi="宋体" w:cs="宋体" w:hint="eastAsia"/>
          <w:kern w:val="0"/>
          <w:sz w:val="28"/>
          <w:szCs w:val="28"/>
          <w:lang w:val="en-US" w:eastAsia="zh-CN"/>
        </w:rPr>
        <w:t>三</w:t>
      </w:r>
      <w:r>
        <w:rPr>
          <w:rFonts w:ascii="仿宋_GB2312" w:eastAsia="仿宋_GB2312" w:hAnsi="宋体" w:cs="宋体" w:hint="eastAsia"/>
          <w:kern w:val="0"/>
          <w:sz w:val="28"/>
          <w:szCs w:val="28"/>
        </w:rPr>
        <w:t>调的权属界线</w:t>
      </w:r>
      <w:r>
        <w:rPr>
          <w:rFonts w:ascii="仿宋_GB2312" w:eastAsia="仿宋_GB2312" w:hAnsi="宋体" w:cs="宋体" w:hint="eastAsia"/>
          <w:kern w:val="0"/>
          <w:sz w:val="28"/>
          <w:szCs w:val="28"/>
          <w:lang w:val="en-US" w:eastAsia="zh-CN"/>
        </w:rPr>
        <w:t>核实</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，待外业核实清楚后再进行更改；已经颁发过土地证的国有农、林、牧、渔场，苗圃，良种场等宗地严格以发证的权属界线进行调查。</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lang w:eastAsia="zh-CN"/>
        </w:rPr>
        <w:t>（</w:t>
      </w:r>
      <w:r>
        <w:rPr>
          <w:rFonts w:ascii="仿宋_GB2312" w:eastAsia="仿宋_GB2312" w:hAnsi="宋体" w:cs="宋体" w:hint="eastAsia"/>
          <w:kern w:val="0"/>
          <w:sz w:val="28"/>
          <w:szCs w:val="28"/>
          <w:lang w:val="en-US" w:eastAsia="zh-CN"/>
        </w:rPr>
        <w:t>4</w:t>
      </w:r>
      <w:r>
        <w:rPr>
          <w:rFonts w:ascii="仿宋_GB2312" w:eastAsia="仿宋_GB2312" w:hAnsi="宋体" w:cs="宋体" w:hint="eastAsia"/>
          <w:kern w:val="0"/>
          <w:sz w:val="28"/>
          <w:szCs w:val="28"/>
          <w:lang w:eastAsia="zh-CN"/>
        </w:rPr>
        <w:t>）</w:t>
      </w:r>
      <w:r>
        <w:rPr>
          <w:rFonts w:ascii="仿宋_GB2312" w:eastAsia="仿宋_GB2312" w:hAnsi="宋体" w:cs="宋体" w:hint="eastAsia"/>
          <w:kern w:val="0"/>
          <w:sz w:val="28"/>
          <w:szCs w:val="28"/>
        </w:rPr>
        <w:t>国有采矿用地的调查</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大田县已经办过土地证的国有采矿用地主要分布在太华镇、上京镇、广平镇等地，对于已经登记发证的国有采矿用地，收集境内的独立工矿、开发区、库区等国有地资料，国有矿山的办公场所、生活区、采掘面（硐口）等地上建筑物按国有地进行扣除，地下开采的矿区等采矿范围内不表示也不做调查。</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lang w:eastAsia="zh-CN"/>
        </w:rPr>
        <w:t>（</w:t>
      </w:r>
      <w:r>
        <w:rPr>
          <w:rFonts w:ascii="仿宋_GB2312" w:eastAsia="仿宋_GB2312" w:hAnsi="宋体" w:cs="宋体" w:hint="eastAsia"/>
          <w:kern w:val="0"/>
          <w:sz w:val="28"/>
          <w:szCs w:val="28"/>
          <w:lang w:val="en-US" w:eastAsia="zh-CN"/>
        </w:rPr>
        <w:t>5</w:t>
      </w:r>
      <w:r>
        <w:rPr>
          <w:rFonts w:ascii="仿宋_GB2312" w:eastAsia="仿宋_GB2312" w:hAnsi="宋体" w:cs="宋体" w:hint="eastAsia"/>
          <w:kern w:val="0"/>
          <w:sz w:val="28"/>
          <w:szCs w:val="28"/>
          <w:lang w:eastAsia="zh-CN"/>
        </w:rPr>
        <w:t>）</w:t>
      </w:r>
      <w:r>
        <w:rPr>
          <w:rFonts w:ascii="仿宋_GB2312" w:eastAsia="仿宋_GB2312" w:hAnsi="宋体" w:cs="宋体" w:hint="eastAsia"/>
          <w:kern w:val="0"/>
          <w:sz w:val="28"/>
          <w:szCs w:val="28"/>
        </w:rPr>
        <w:t>国有宗地上图</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对于因</w:t>
      </w:r>
      <w:r>
        <w:rPr>
          <w:rFonts w:ascii="仿宋_GB2312" w:eastAsia="仿宋_GB2312" w:hAnsi="宋体" w:cs="宋体" w:hint="eastAsia"/>
          <w:kern w:val="0"/>
          <w:sz w:val="28"/>
          <w:szCs w:val="28"/>
          <w:lang w:val="en-US" w:eastAsia="zh-CN"/>
        </w:rPr>
        <w:t>北京</w:t>
      </w:r>
      <w:r>
        <w:rPr>
          <w:rFonts w:ascii="仿宋_GB2312" w:eastAsia="仿宋_GB2312" w:hAnsi="宋体" w:cs="宋体" w:hint="eastAsia"/>
          <w:kern w:val="0"/>
          <w:sz w:val="28"/>
          <w:szCs w:val="28"/>
        </w:rPr>
        <w:t>54</w:t>
      </w:r>
      <w:r>
        <w:rPr>
          <w:rFonts w:ascii="仿宋_GB2312" w:eastAsia="仿宋_GB2312" w:hAnsi="宋体" w:cs="宋体" w:hint="eastAsia"/>
          <w:kern w:val="0"/>
          <w:sz w:val="28"/>
          <w:szCs w:val="28"/>
          <w:lang w:val="en-US" w:eastAsia="zh-CN"/>
        </w:rPr>
        <w:t>或西安80</w:t>
      </w:r>
      <w:r>
        <w:rPr>
          <w:rFonts w:ascii="仿宋_GB2312" w:eastAsia="仿宋_GB2312" w:hAnsi="宋体" w:cs="宋体" w:hint="eastAsia"/>
          <w:kern w:val="0"/>
          <w:sz w:val="28"/>
          <w:szCs w:val="28"/>
        </w:rPr>
        <w:t>坐标</w:t>
      </w:r>
      <w:r>
        <w:rPr>
          <w:rFonts w:ascii="仿宋_GB2312" w:eastAsia="仿宋_GB2312" w:hAnsi="宋体" w:cs="宋体" w:hint="eastAsia"/>
          <w:kern w:val="0"/>
          <w:sz w:val="28"/>
          <w:szCs w:val="28"/>
          <w:lang w:val="en-US" w:eastAsia="zh-CN"/>
        </w:rPr>
        <w:t>系</w:t>
      </w:r>
      <w:r>
        <w:rPr>
          <w:rFonts w:ascii="仿宋_GB2312" w:eastAsia="仿宋_GB2312" w:hAnsi="宋体" w:cs="宋体" w:hint="eastAsia"/>
          <w:kern w:val="0"/>
          <w:sz w:val="28"/>
          <w:szCs w:val="28"/>
        </w:rPr>
        <w:t>转</w:t>
      </w:r>
      <w:r>
        <w:rPr>
          <w:rFonts w:ascii="仿宋_GB2312" w:eastAsia="仿宋_GB2312" w:hAnsi="宋体" w:cs="宋体" w:hint="eastAsia"/>
          <w:kern w:val="0"/>
          <w:sz w:val="28"/>
          <w:szCs w:val="28"/>
          <w:lang w:val="en-US" w:eastAsia="zh-CN"/>
        </w:rPr>
        <w:t>2000国家大地</w:t>
      </w:r>
      <w:r>
        <w:rPr>
          <w:rFonts w:ascii="仿宋_GB2312" w:eastAsia="仿宋_GB2312" w:hAnsi="宋体" w:cs="宋体" w:hint="eastAsia"/>
          <w:kern w:val="0"/>
          <w:sz w:val="28"/>
          <w:szCs w:val="28"/>
        </w:rPr>
        <w:t>坐标</w:t>
      </w:r>
      <w:r>
        <w:rPr>
          <w:rFonts w:ascii="仿宋_GB2312" w:eastAsia="仿宋_GB2312" w:hAnsi="宋体" w:cs="宋体" w:hint="eastAsia"/>
          <w:kern w:val="0"/>
          <w:sz w:val="28"/>
          <w:szCs w:val="28"/>
          <w:lang w:val="en-US" w:eastAsia="zh-CN"/>
        </w:rPr>
        <w:t>系</w:t>
      </w:r>
      <w:r>
        <w:rPr>
          <w:rFonts w:ascii="仿宋_GB2312" w:eastAsia="仿宋_GB2312" w:hAnsi="宋体" w:cs="宋体" w:hint="eastAsia"/>
          <w:kern w:val="0"/>
          <w:sz w:val="28"/>
          <w:szCs w:val="28"/>
        </w:rPr>
        <w:t>而产生的权属界线偏移，根据原发证指界表中的指界说明直接进行修正，对已改变权利人的国有农、林、牧、渔场、苗圃、良种场权属界线在此次调查中予以变更，对原登记发证时未剔除面积的（村庄外）国有独立厂矿、机关团体、部队、监狱、学校及企事业单位的国有土地应予以剔除；对近几年新增的有权机关批复的农转用宗地，应根据红线图调绘上图并扣除其面积；对</w:t>
      </w:r>
      <w:r>
        <w:rPr>
          <w:rFonts w:ascii="仿宋_GB2312" w:eastAsia="仿宋_GB2312" w:hAnsi="宋体" w:cs="宋体" w:hint="eastAsia"/>
          <w:kern w:val="0"/>
          <w:sz w:val="28"/>
          <w:szCs w:val="28"/>
          <w:lang w:val="en-US" w:eastAsia="zh-CN"/>
        </w:rPr>
        <w:t>三</w:t>
      </w:r>
      <w:r>
        <w:rPr>
          <w:rFonts w:ascii="仿宋_GB2312" w:eastAsia="仿宋_GB2312" w:hAnsi="宋体" w:cs="宋体" w:hint="eastAsia"/>
          <w:kern w:val="0"/>
          <w:sz w:val="28"/>
          <w:szCs w:val="28"/>
        </w:rPr>
        <w:t>调中权属变更调查未上图未扣除面积的点状国有地、点状飞地，在此次登记发证工作外业核实中根据原发证飞地调查表（图）相应位置用1</w:t>
      </w:r>
      <w:r>
        <w:rPr>
          <w:rFonts w:ascii="宋体" w:hAnsi="宋体" w:cs="宋体" w:hint="eastAsia"/>
          <w:kern w:val="0"/>
          <w:sz w:val="28"/>
          <w:szCs w:val="28"/>
        </w:rPr>
        <w:t>mm</w:t>
      </w:r>
      <w:r>
        <w:rPr>
          <w:rFonts w:ascii="仿宋_GB2312" w:eastAsia="仿宋_GB2312" w:hAnsi="宋体" w:cs="宋体" w:hint="eastAsia"/>
          <w:kern w:val="0"/>
          <w:sz w:val="28"/>
          <w:szCs w:val="28"/>
        </w:rPr>
        <w:t>的点状子图加以表示，点状国有地、飞地入库时在实际位置以面状图斑进行表示，图斑形状适当微调，数据库中图斑面积必须与实际面积保持一致。</w:t>
      </w:r>
    </w:p>
    <w:p>
      <w:pPr>
        <w:pStyle w:val="Heading3"/>
        <w:rPr>
          <w:rFonts w:ascii="仿宋_GB2312" w:eastAsia="仿宋_GB2312" w:hAnsi="宋体" w:cs="宋体" w:hint="eastAsia"/>
          <w:kern w:val="0"/>
          <w:sz w:val="28"/>
          <w:szCs w:val="28"/>
        </w:rPr>
      </w:pPr>
      <w:bookmarkStart w:id="64" w:name="_Toc23583"/>
      <w:bookmarkStart w:id="65" w:name="_Toc17861"/>
      <w:bookmarkStart w:id="66" w:name="_Toc28552"/>
      <w:r>
        <w:rPr>
          <w:rFonts w:ascii="仿宋_GB2312" w:eastAsia="仿宋_GB2312" w:hAnsi="宋体" w:cs="宋体" w:hint="eastAsia"/>
          <w:kern w:val="0"/>
          <w:sz w:val="28"/>
          <w:szCs w:val="28"/>
        </w:rPr>
        <w:t>5、林场宗地的处理</w:t>
      </w:r>
      <w:bookmarkEnd w:id="64"/>
      <w:bookmarkEnd w:id="65"/>
      <w:bookmarkEnd w:id="66"/>
    </w:p>
    <w:p>
      <w:pPr>
        <w:spacing w:line="360" w:lineRule="auto"/>
        <w:ind w:firstLine="560" w:firstLineChars="200"/>
        <w:rPr>
          <w:rFonts w:ascii="仿宋_GB2312" w:eastAsia="仿宋_GB2312" w:hAnsi="宋体" w:cs="宋体" w:hint="eastAsia"/>
          <w:kern w:val="0"/>
          <w:sz w:val="28"/>
          <w:szCs w:val="28"/>
        </w:rPr>
        <w:sectPr>
          <w:headerReference w:type="even" r:id="rId150"/>
          <w:headerReference w:type="default" r:id="rId151"/>
          <w:footerReference w:type="even" r:id="rId152"/>
          <w:footerReference w:type="default" r:id="rId153"/>
          <w:headerReference w:type="first" r:id="rId154"/>
          <w:footerReference w:type="first" r:id="rId155"/>
          <w:type w:val="nextPage"/>
          <w:pgSz w:w="11906" w:h="16838"/>
          <w:pgMar w:top="1440" w:right="1800" w:bottom="1440" w:left="1800" w:header="851" w:footer="992" w:gutter="0"/>
          <w:pgNumType w:start="23"/>
          <w:cols w:space="708"/>
          <w:titlePg w:val="0"/>
          <w:docGrid w:type="lines" w:linePitch="312" w:charSpace="0"/>
        </w:sectPr>
      </w:pPr>
      <w:r>
        <w:rPr>
          <w:rFonts w:ascii="仿宋_GB2312" w:eastAsia="仿宋_GB2312" w:hAnsi="宋体" w:cs="宋体" w:hint="eastAsia"/>
          <w:kern w:val="0"/>
          <w:sz w:val="28"/>
          <w:szCs w:val="28"/>
        </w:rPr>
        <w:t>林场宗地的处理：</w:t>
      </w:r>
      <w:r>
        <w:rPr>
          <w:rFonts w:ascii="仿宋_GB2312" w:eastAsia="仿宋_GB2312" w:hAnsi="宋体" w:cs="宋体" w:hint="eastAsia"/>
          <w:kern w:val="0"/>
          <w:sz w:val="28"/>
          <w:szCs w:val="28"/>
          <w:lang w:val="en-US" w:eastAsia="zh-CN"/>
        </w:rPr>
        <w:t>三</w:t>
      </w:r>
    </w:p>
    <w:p>
      <w:pPr>
        <w:spacing w:line="360" w:lineRule="auto"/>
        <w:ind w:firstLine="560" w:firstLineChars="200"/>
        <w:rPr>
          <w:rFonts w:ascii="仿宋_GB2312" w:eastAsia="仿宋_GB2312" w:hAnsi="宋体" w:cs="宋体" w:hint="eastAsia"/>
          <w:kern w:val="0"/>
          <w:sz w:val="28"/>
          <w:szCs w:val="28"/>
        </w:rPr>
      </w:pPr>
      <w:r>
        <w:rPr>
          <w:rFonts w:ascii="仿宋_GB2312" w:eastAsia="仿宋_GB2312" w:hAnsi="宋体" w:cs="宋体" w:hint="eastAsia"/>
          <w:kern w:val="0"/>
          <w:sz w:val="28"/>
          <w:szCs w:val="28"/>
        </w:rPr>
        <w:t>调权属调查中引用林权资料上图的宗地，收集最新的林权证资料，权属界线按最新林权证上的资料上图，并在补充调查表中注明该段界线是引用</w:t>
      </w:r>
      <w:r>
        <w:rPr>
          <w:rFonts w:ascii="仿宋_GB2312" w:eastAsia="仿宋_GB2312" w:hAnsi="宋体" w:hint="eastAsia"/>
          <w:sz w:val="28"/>
          <w:szCs w:val="28"/>
        </w:rPr>
        <w:t>××</w:t>
      </w:r>
      <w:r>
        <w:rPr>
          <w:rFonts w:ascii="仿宋_GB2312" w:eastAsia="仿宋_GB2312" w:hAnsi="宋体" w:hint="eastAsia"/>
          <w:sz w:val="28"/>
          <w:szCs w:val="28"/>
        </w:rPr>
        <w:t>年</w:t>
      </w:r>
      <w:r>
        <w:rPr>
          <w:rFonts w:ascii="仿宋_GB2312" w:eastAsia="仿宋_GB2312" w:hAnsi="宋体" w:hint="eastAsia"/>
          <w:sz w:val="28"/>
          <w:szCs w:val="28"/>
        </w:rPr>
        <w:t>××</w:t>
      </w:r>
      <w:r>
        <w:rPr>
          <w:rFonts w:ascii="仿宋_GB2312" w:eastAsia="仿宋_GB2312" w:hAnsi="宋体" w:hint="eastAsia"/>
          <w:sz w:val="28"/>
          <w:szCs w:val="28"/>
        </w:rPr>
        <w:t>村林权证资料</w:t>
      </w:r>
      <w:r>
        <w:rPr>
          <w:rFonts w:ascii="仿宋_GB2312" w:eastAsia="仿宋_GB2312" w:hAnsi="宋体" w:hint="eastAsia"/>
          <w:sz w:val="28"/>
          <w:szCs w:val="28"/>
          <w:lang w:eastAsia="zh-CN"/>
        </w:rPr>
        <w:t>。</w:t>
      </w:r>
    </w:p>
    <w:p>
      <w:pPr>
        <w:pStyle w:val="Heading3"/>
        <w:rPr>
          <w:rFonts w:ascii="宋体" w:hAnsi="宋体" w:hint="eastAsia"/>
          <w:sz w:val="28"/>
          <w:szCs w:val="28"/>
        </w:rPr>
      </w:pPr>
      <w:bookmarkStart w:id="67" w:name="_Toc3933"/>
      <w:bookmarkStart w:id="68" w:name="_Toc1316"/>
      <w:bookmarkStart w:id="69" w:name="_Toc2562"/>
      <w:r>
        <w:rPr>
          <w:rFonts w:ascii="宋体" w:hAnsi="宋体" w:hint="eastAsia"/>
          <w:sz w:val="28"/>
          <w:szCs w:val="28"/>
          <w:lang w:eastAsia="zh-CN"/>
        </w:rPr>
        <w:t>6</w:t>
      </w:r>
      <w:r>
        <w:rPr>
          <w:rFonts w:ascii="宋体" w:hAnsi="宋体" w:hint="eastAsia"/>
          <w:sz w:val="28"/>
          <w:szCs w:val="28"/>
        </w:rPr>
        <w:t>、土地权属争议调处</w:t>
      </w:r>
      <w:bookmarkEnd w:id="61"/>
      <w:bookmarkEnd w:id="62"/>
      <w:bookmarkEnd w:id="63"/>
      <w:bookmarkEnd w:id="67"/>
      <w:bookmarkEnd w:id="68"/>
      <w:bookmarkEnd w:id="69"/>
    </w:p>
    <w:p>
      <w:pPr>
        <w:spacing w:line="360" w:lineRule="auto"/>
        <w:ind w:firstLine="560" w:firstLineChars="200"/>
        <w:rPr>
          <w:rFonts w:ascii="仿宋_GB2312" w:eastAsia="仿宋_GB2312" w:hAnsi="宋体" w:hint="eastAsia"/>
          <w:sz w:val="28"/>
          <w:szCs w:val="28"/>
        </w:rPr>
      </w:pPr>
      <w:r>
        <w:rPr>
          <w:rFonts w:ascii="仿宋_GB2312" w:eastAsia="仿宋_GB2312" w:hAnsi="宋体" w:hint="eastAsia"/>
          <w:sz w:val="28"/>
          <w:szCs w:val="28"/>
        </w:rPr>
        <w:t>土地权属争议遵循</w:t>
      </w:r>
      <w:r>
        <w:rPr>
          <w:rFonts w:ascii="仿宋_GB2312" w:eastAsia="仿宋_GB2312" w:hAnsi="宋体" w:hint="eastAsia"/>
          <w:sz w:val="28"/>
          <w:szCs w:val="28"/>
        </w:rPr>
        <w:t>“</w:t>
      </w:r>
      <w:r>
        <w:rPr>
          <w:rFonts w:ascii="仿宋_GB2312" w:eastAsia="仿宋_GB2312" w:hAnsi="宋体" w:hint="eastAsia"/>
          <w:sz w:val="28"/>
          <w:szCs w:val="28"/>
        </w:rPr>
        <w:t>先易后难</w:t>
      </w:r>
      <w:r>
        <w:rPr>
          <w:rFonts w:ascii="仿宋_GB2312" w:eastAsia="仿宋_GB2312" w:hAnsi="宋体" w:hint="eastAsia"/>
          <w:sz w:val="28"/>
          <w:szCs w:val="28"/>
        </w:rPr>
        <w:t>”</w:t>
      </w:r>
      <w:r>
        <w:rPr>
          <w:rFonts w:ascii="仿宋_GB2312" w:eastAsia="仿宋_GB2312" w:hAnsi="宋体" w:hint="eastAsia"/>
          <w:sz w:val="28"/>
          <w:szCs w:val="28"/>
        </w:rPr>
        <w:t>的原则，按有关规定处理，对基础资料好、较易调处的宗地应抓紧调处解决。对调处困难较大的争议宗地，尽量调处，经调解仍一时无法解决的，在数据库中注记，同时制作《土地权属争议原由书》存入宗地档案，并分送争议各方。土地争议数量、面积、类型等有关数据，以乡（镇）为单位进行统计造册。</w:t>
      </w:r>
    </w:p>
    <w:p>
      <w:pPr>
        <w:spacing w:line="360" w:lineRule="auto"/>
        <w:ind w:firstLine="560" w:firstLineChars="200"/>
        <w:rPr>
          <w:rFonts w:ascii="仿宋_GB2312" w:eastAsia="仿宋_GB2312" w:hAnsi="宋体" w:hint="eastAsia"/>
          <w:sz w:val="28"/>
          <w:szCs w:val="28"/>
        </w:rPr>
      </w:pPr>
      <w:r>
        <w:rPr>
          <w:rFonts w:ascii="仿宋_GB2312" w:eastAsia="仿宋_GB2312" w:hAnsi="宋体" w:hint="eastAsia"/>
          <w:sz w:val="28"/>
          <w:szCs w:val="28"/>
        </w:rPr>
        <w:t>争议地原则上要求双方共同确定争议地范围和界线，制作争议原由书，并签字盖章确认。对土地权属界线调处无法达成一致意见，双方又不同意作为争议地处理的地块，根据指导意见：作业队伍绘制出单方指界界线迭加图并说明相关情况，由乡(镇）人民政府或县</w:t>
      </w:r>
      <w:r>
        <w:rPr>
          <w:rFonts w:ascii="仿宋_GB2312" w:eastAsia="仿宋_GB2312" w:hAnsi="宋体" w:hint="eastAsia"/>
          <w:sz w:val="28"/>
          <w:szCs w:val="28"/>
          <w:lang w:val="en-US" w:eastAsia="zh-CN"/>
        </w:rPr>
        <w:t>自然资源</w:t>
      </w:r>
      <w:r>
        <w:rPr>
          <w:rFonts w:ascii="仿宋_GB2312" w:eastAsia="仿宋_GB2312" w:hAnsi="宋体" w:hint="eastAsia"/>
          <w:sz w:val="28"/>
          <w:szCs w:val="28"/>
        </w:rPr>
        <w:t>部门对此提出是否作为争议地的意见，并将该处理意见送达争议双方，有关迭加地块情况说明表格样式如下表所示：</w:t>
      </w:r>
    </w:p>
    <w:p>
      <w:pPr>
        <w:pStyle w:val="a"/>
        <w:rPr>
          <w:rFonts w:ascii="仿宋_GB2312" w:eastAsia="仿宋_GB2312" w:hAnsi="宋体" w:hint="eastAsia"/>
          <w:szCs w:val="28"/>
        </w:rPr>
      </w:pPr>
    </w:p>
    <w:p>
      <w:pPr>
        <w:pStyle w:val="a"/>
        <w:rPr>
          <w:rFonts w:ascii="仿宋_GB2312" w:eastAsia="仿宋_GB2312" w:hAnsi="宋体" w:hint="eastAsia"/>
          <w:szCs w:val="28"/>
        </w:rPr>
      </w:pPr>
    </w:p>
    <w:p>
      <w:pPr>
        <w:pStyle w:val="a"/>
        <w:rPr>
          <w:rFonts w:ascii="仿宋_GB2312" w:eastAsia="仿宋_GB2312" w:hAnsi="宋体" w:hint="eastAsia"/>
          <w:szCs w:val="28"/>
        </w:rPr>
      </w:pPr>
    </w:p>
    <w:tbl>
      <w:tblPr>
        <w:tblStyle w:val="TableNormal"/>
        <w:tblW w:w="8085" w:type="dxa"/>
        <w:jc w:val="center"/>
        <w:tblInd w:w="103" w:type="dxa"/>
        <w:tblCellMar>
          <w:top w:w="0" w:type="dxa"/>
          <w:left w:w="108" w:type="dxa"/>
          <w:bottom w:w="0" w:type="dxa"/>
          <w:right w:w="108" w:type="dxa"/>
        </w:tblCellMar>
        <w:tblLook w:val="0000"/>
      </w:tblPr>
      <w:tblGrid>
        <w:gridCol w:w="2300"/>
        <w:gridCol w:w="3075"/>
        <w:gridCol w:w="2710"/>
      </w:tblGrid>
      <w:tr>
        <w:tblPrEx>
          <w:tblW w:w="8085" w:type="dxa"/>
          <w:jc w:val="center"/>
          <w:tblInd w:w="103" w:type="dxa"/>
          <w:tblCellMar>
            <w:top w:w="0" w:type="dxa"/>
            <w:left w:w="108" w:type="dxa"/>
            <w:bottom w:w="0" w:type="dxa"/>
            <w:right w:w="108" w:type="dxa"/>
          </w:tblCellMar>
          <w:tblLook w:val="0000"/>
        </w:tblPrEx>
        <w:trPr>
          <w:trHeight w:val="699"/>
          <w:jc w:val="center"/>
        </w:trPr>
        <w:tc>
          <w:tcPr>
            <w:tcW w:w="2300"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双方名称</w:t>
            </w:r>
          </w:p>
        </w:tc>
        <w:tc>
          <w:tcPr>
            <w:tcW w:w="5785" w:type="dxa"/>
            <w:gridSpan w:val="2"/>
            <w:tcBorders>
              <w:top w:val="single" w:sz="4" w:space="0" w:color="auto"/>
              <w:left w:val="nil"/>
              <w:bottom w:val="single" w:sz="4" w:space="0" w:color="auto"/>
              <w:right w:val="single" w:sz="4" w:space="0" w:color="auto"/>
            </w:tcBorders>
            <w:noWrap/>
            <w:vAlign w:val="center"/>
          </w:tcPr>
          <w:p>
            <w:pPr>
              <w:widowControl/>
              <w:jc w:val="left"/>
              <w:rPr>
                <w:rFonts w:ascii="宋体" w:hAnsi="宋体" w:cs="宋体"/>
                <w:color w:val="000000"/>
                <w:kern w:val="0"/>
                <w:sz w:val="22"/>
                <w:szCs w:val="22"/>
              </w:rPr>
            </w:pPr>
            <w:r>
              <w:rPr>
                <w:rFonts w:ascii="宋体" w:hAnsi="宋体" w:cs="宋体" w:hint="eastAsia"/>
                <w:color w:val="000000"/>
                <w:kern w:val="0"/>
                <w:sz w:val="22"/>
                <w:szCs w:val="22"/>
                <w:u w:val="single"/>
              </w:rPr>
              <w:t xml:space="preserve">       </w:t>
            </w:r>
            <w:r>
              <w:rPr>
                <w:rFonts w:ascii="宋体" w:hAnsi="宋体" w:cs="宋体" w:hint="eastAsia"/>
                <w:color w:val="000000"/>
                <w:kern w:val="0"/>
                <w:sz w:val="22"/>
                <w:szCs w:val="22"/>
              </w:rPr>
              <w:t>村与</w:t>
            </w:r>
            <w:r>
              <w:rPr>
                <w:rFonts w:ascii="宋体" w:hAnsi="宋体" w:cs="宋体" w:hint="eastAsia"/>
                <w:color w:val="000000"/>
                <w:kern w:val="0"/>
                <w:sz w:val="22"/>
                <w:szCs w:val="22"/>
                <w:u w:val="single"/>
              </w:rPr>
              <w:t xml:space="preserve">       </w:t>
            </w:r>
            <w:r>
              <w:rPr>
                <w:rFonts w:ascii="宋体" w:hAnsi="宋体" w:cs="宋体" w:hint="eastAsia"/>
                <w:color w:val="000000"/>
                <w:kern w:val="0"/>
                <w:sz w:val="22"/>
                <w:szCs w:val="22"/>
              </w:rPr>
              <w:t>村</w:t>
            </w:r>
          </w:p>
        </w:tc>
      </w:tr>
      <w:tr>
        <w:tblPrEx>
          <w:tblW w:w="8085" w:type="dxa"/>
          <w:jc w:val="center"/>
          <w:tblInd w:w="103" w:type="dxa"/>
          <w:tblCellMar>
            <w:top w:w="0" w:type="dxa"/>
            <w:left w:w="108" w:type="dxa"/>
            <w:bottom w:w="0" w:type="dxa"/>
            <w:right w:w="108" w:type="dxa"/>
          </w:tblCellMar>
          <w:tblLook w:val="0000"/>
        </w:tblPrEx>
        <w:trPr>
          <w:trHeight w:val="555"/>
          <w:jc w:val="center"/>
        </w:trPr>
        <w:tc>
          <w:tcPr>
            <w:tcW w:w="2300" w:type="dxa"/>
            <w:tcBorders>
              <w:top w:val="nil"/>
              <w:left w:val="single" w:sz="4" w:space="0" w:color="auto"/>
              <w:bottom w:val="single" w:sz="4" w:space="0" w:color="auto"/>
              <w:right w:val="single" w:sz="4" w:space="0" w:color="auto"/>
            </w:tcBorders>
            <w:noWrap/>
            <w:vAlign w:val="center"/>
          </w:tcPr>
          <w:p>
            <w:pPr>
              <w:widowControl/>
              <w:jc w:val="left"/>
              <w:rPr>
                <w:rFonts w:ascii="宋体" w:hAnsi="宋体" w:cs="宋体"/>
                <w:color w:val="000000"/>
                <w:kern w:val="0"/>
                <w:sz w:val="22"/>
                <w:szCs w:val="22"/>
              </w:rPr>
            </w:pPr>
            <w:r>
              <w:rPr>
                <w:rFonts w:ascii="宋体" w:hAnsi="宋体" w:cs="宋体" w:hint="eastAsia"/>
                <w:color w:val="000000"/>
                <w:kern w:val="0"/>
                <w:sz w:val="22"/>
                <w:szCs w:val="22"/>
              </w:rPr>
              <w:t xml:space="preserve">  宗地号：</w:t>
            </w:r>
          </w:p>
        </w:tc>
        <w:tc>
          <w:tcPr>
            <w:tcW w:w="3075" w:type="dxa"/>
            <w:tcBorders>
              <w:top w:val="nil"/>
              <w:left w:val="nil"/>
              <w:bottom w:val="single" w:sz="4" w:space="0" w:color="auto"/>
              <w:right w:val="single" w:sz="4" w:space="0" w:color="auto"/>
            </w:tcBorders>
            <w:noWrap/>
            <w:vAlign w:val="center"/>
          </w:tcPr>
          <w:p>
            <w:pPr>
              <w:widowControl/>
              <w:jc w:val="left"/>
              <w:rPr>
                <w:rFonts w:ascii="宋体" w:hAnsi="宋体" w:cs="宋体"/>
                <w:color w:val="000000"/>
                <w:kern w:val="0"/>
                <w:sz w:val="22"/>
                <w:szCs w:val="22"/>
              </w:rPr>
            </w:pPr>
            <w:r>
              <w:rPr>
                <w:rFonts w:ascii="宋体" w:hAnsi="宋体" w:cs="宋体" w:hint="eastAsia"/>
                <w:color w:val="000000"/>
                <w:kern w:val="0"/>
                <w:sz w:val="22"/>
                <w:szCs w:val="22"/>
              </w:rPr>
              <w:t xml:space="preserve">  图幅号：</w:t>
            </w:r>
          </w:p>
        </w:tc>
        <w:tc>
          <w:tcPr>
            <w:tcW w:w="2710" w:type="dxa"/>
            <w:tcBorders>
              <w:top w:val="nil"/>
              <w:left w:val="nil"/>
              <w:bottom w:val="single" w:sz="4" w:space="0" w:color="auto"/>
              <w:right w:val="single" w:sz="4" w:space="0" w:color="auto"/>
            </w:tcBorders>
            <w:noWrap/>
            <w:vAlign w:val="center"/>
          </w:tcPr>
          <w:p>
            <w:pPr>
              <w:widowControl/>
              <w:jc w:val="left"/>
              <w:rPr>
                <w:rFonts w:ascii="宋体" w:hAnsi="宋体" w:cs="宋体"/>
                <w:color w:val="000000"/>
                <w:kern w:val="0"/>
                <w:sz w:val="22"/>
                <w:szCs w:val="22"/>
              </w:rPr>
            </w:pPr>
            <w:r>
              <w:rPr>
                <w:rFonts w:ascii="宋体" w:hAnsi="宋体" w:cs="宋体" w:hint="eastAsia"/>
                <w:color w:val="000000"/>
                <w:kern w:val="0"/>
                <w:sz w:val="22"/>
                <w:szCs w:val="22"/>
              </w:rPr>
              <w:t xml:space="preserve">  面积：</w:t>
            </w:r>
          </w:p>
        </w:tc>
      </w:tr>
      <w:tr>
        <w:tblPrEx>
          <w:tblW w:w="8085" w:type="dxa"/>
          <w:jc w:val="center"/>
          <w:tblInd w:w="103" w:type="dxa"/>
          <w:tblCellMar>
            <w:top w:w="0" w:type="dxa"/>
            <w:left w:w="108" w:type="dxa"/>
            <w:bottom w:w="0" w:type="dxa"/>
            <w:right w:w="108" w:type="dxa"/>
          </w:tblCellMar>
          <w:tblLook w:val="0000"/>
        </w:tblPrEx>
        <w:trPr>
          <w:trHeight w:val="330"/>
          <w:jc w:val="center"/>
        </w:trPr>
        <w:tc>
          <w:tcPr>
            <w:tcW w:w="8085" w:type="dxa"/>
            <w:gridSpan w:val="3"/>
            <w:tcBorders>
              <w:top w:val="single" w:sz="4" w:space="0" w:color="auto"/>
              <w:left w:val="single" w:sz="4" w:space="0" w:color="auto"/>
              <w:bottom w:val="single" w:sz="4" w:space="0" w:color="000000"/>
              <w:right w:val="single" w:sz="4" w:space="0" w:color="000000"/>
            </w:tcBorders>
            <w:noWrap/>
          </w:tcPr>
          <w:p>
            <w:pPr>
              <w:widowControl/>
              <w:jc w:val="left"/>
              <w:rPr>
                <w:rFonts w:ascii="宋体" w:hAnsi="宋体" w:cs="宋体"/>
                <w:color w:val="000000"/>
                <w:kern w:val="0"/>
                <w:sz w:val="22"/>
                <w:szCs w:val="22"/>
              </w:rPr>
            </w:pPr>
            <w:r>
              <w:pict>
                <v:shape id="图片 2" o:spid="_x0000_i1030" type="#_x0000_t75" style="width:389.26pt;height:235.13pt;mso-position-horizontal-relative:page;mso-position-vertical-relative:page;mso-wrap-style:square" filled="f" stroked="f">
                  <v:stroke linestyle="single"/>
                  <v:imagedata r:id="rId156" o:title=""/>
                  <v:path o:extrusionok="f"/>
                  <o:lock v:ext="edit" aspectratio="t"/>
                </v:shape>
              </w:pict>
            </w:r>
          </w:p>
        </w:tc>
      </w:tr>
    </w:tbl>
    <w:p>
      <w:pPr>
        <w:sectPr>
          <w:headerReference w:type="even" r:id="rId157"/>
          <w:headerReference w:type="default" r:id="rId158"/>
          <w:footerReference w:type="even" r:id="rId159"/>
          <w:footerReference w:type="default" r:id="rId160"/>
          <w:headerReference w:type="first" r:id="rId161"/>
          <w:footerReference w:type="first" r:id="rId162"/>
          <w:type w:val="nextPage"/>
          <w:pgSz w:w="11906" w:h="16838"/>
          <w:pgMar w:top="1440" w:right="1800" w:bottom="1440" w:left="1800" w:header="851" w:footer="992" w:gutter="0"/>
          <w:pgNumType w:start="24"/>
          <w:cols w:space="708"/>
          <w:titlePg w:val="0"/>
          <w:docGrid w:type="lines" w:linePitch="312" w:charSpace="0"/>
        </w:sectPr>
      </w:pPr>
    </w:p>
    <w:tbl>
      <w:tblPr>
        <w:tblStyle w:val="TableNormal"/>
        <w:tblW w:w="8085" w:type="dxa"/>
        <w:jc w:val="center"/>
        <w:tblInd w:w="103" w:type="dxa"/>
        <w:tblCellMar>
          <w:top w:w="0" w:type="dxa"/>
          <w:left w:w="108" w:type="dxa"/>
          <w:bottom w:w="0" w:type="dxa"/>
          <w:right w:w="108" w:type="dxa"/>
        </w:tblCellMar>
        <w:tblLook w:val="0000"/>
      </w:tblPr>
      <w:tblGrid>
        <w:gridCol w:w="2300"/>
        <w:gridCol w:w="5785"/>
      </w:tblGrid>
      <w:tr>
        <w:tblPrEx>
          <w:tblW w:w="8085" w:type="dxa"/>
          <w:jc w:val="center"/>
          <w:tblInd w:w="103" w:type="dxa"/>
          <w:tblCellMar>
            <w:top w:w="0" w:type="dxa"/>
            <w:left w:w="108" w:type="dxa"/>
            <w:bottom w:w="0" w:type="dxa"/>
            <w:right w:w="108" w:type="dxa"/>
          </w:tblCellMar>
          <w:tblLook w:val="0000"/>
        </w:tblPrEx>
        <w:trPr>
          <w:trHeight w:val="312"/>
          <w:jc w:val="center"/>
        </w:trPr>
        <w:tc>
          <w:tcPr>
            <w:tcW w:w="8085" w:type="dxa"/>
            <w:gridSpan w:val="2"/>
            <w:vMerge w:val="restart"/>
            <w:tcBorders>
              <w:top w:val="single" w:sz="4" w:space="0" w:color="auto"/>
              <w:left w:val="single" w:sz="4" w:space="0" w:color="auto"/>
              <w:bottom w:val="single" w:sz="4" w:space="0" w:color="000000"/>
              <w:right w:val="single" w:sz="4" w:space="0" w:color="000000"/>
            </w:tcBorders>
            <w:vAlign w:val="center"/>
          </w:tcPr>
          <w:p>
            <w:pPr>
              <w:widowControl/>
              <w:jc w:val="left"/>
              <w:rPr>
                <w:rFonts w:ascii="宋体" w:hAnsi="宋体" w:cs="宋体"/>
                <w:color w:val="000000"/>
                <w:kern w:val="0"/>
                <w:sz w:val="22"/>
                <w:szCs w:val="22"/>
              </w:rPr>
            </w:pPr>
          </w:p>
        </w:tc>
      </w:tr>
      <w:tr>
        <w:tblPrEx>
          <w:tblW w:w="8085" w:type="dxa"/>
          <w:jc w:val="center"/>
          <w:tblInd w:w="103" w:type="dxa"/>
          <w:tblCellMar>
            <w:top w:w="0" w:type="dxa"/>
            <w:left w:w="108" w:type="dxa"/>
            <w:bottom w:w="0" w:type="dxa"/>
            <w:right w:w="108" w:type="dxa"/>
          </w:tblCellMar>
          <w:tblLook w:val="0000"/>
        </w:tblPrEx>
        <w:trPr>
          <w:trHeight w:val="312"/>
          <w:jc w:val="center"/>
        </w:trPr>
        <w:tc>
          <w:tcPr>
            <w:tcW w:w="8085" w:type="dxa"/>
            <w:gridSpan w:val="2"/>
            <w:vMerge/>
            <w:tcBorders>
              <w:top w:val="single" w:sz="4" w:space="0" w:color="auto"/>
              <w:left w:val="single" w:sz="4" w:space="0" w:color="auto"/>
              <w:bottom w:val="single" w:sz="4" w:space="0" w:color="000000"/>
              <w:right w:val="single" w:sz="4" w:space="0" w:color="000000"/>
            </w:tcBorders>
            <w:vAlign w:val="center"/>
          </w:tcPr>
          <w:p>
            <w:pPr>
              <w:widowControl/>
              <w:jc w:val="left"/>
              <w:rPr>
                <w:rFonts w:ascii="宋体" w:hAnsi="宋体" w:cs="宋体"/>
                <w:color w:val="000000"/>
                <w:kern w:val="0"/>
                <w:sz w:val="22"/>
                <w:szCs w:val="22"/>
              </w:rPr>
            </w:pPr>
          </w:p>
        </w:tc>
      </w:tr>
      <w:tr>
        <w:tblPrEx>
          <w:tblW w:w="8085" w:type="dxa"/>
          <w:jc w:val="center"/>
          <w:tblInd w:w="103" w:type="dxa"/>
          <w:tblCellMar>
            <w:top w:w="0" w:type="dxa"/>
            <w:left w:w="108" w:type="dxa"/>
            <w:bottom w:w="0" w:type="dxa"/>
            <w:right w:w="108" w:type="dxa"/>
          </w:tblCellMar>
          <w:tblLook w:val="0000"/>
        </w:tblPrEx>
        <w:trPr>
          <w:trHeight w:val="312"/>
          <w:jc w:val="center"/>
        </w:trPr>
        <w:tc>
          <w:tcPr>
            <w:tcW w:w="8085" w:type="dxa"/>
            <w:gridSpan w:val="2"/>
            <w:vMerge/>
            <w:tcBorders>
              <w:top w:val="single" w:sz="4" w:space="0" w:color="auto"/>
              <w:left w:val="single" w:sz="4" w:space="0" w:color="auto"/>
              <w:bottom w:val="single" w:sz="4" w:space="0" w:color="000000"/>
              <w:right w:val="single" w:sz="4" w:space="0" w:color="000000"/>
            </w:tcBorders>
            <w:vAlign w:val="center"/>
          </w:tcPr>
          <w:p>
            <w:pPr>
              <w:widowControl/>
              <w:jc w:val="left"/>
              <w:rPr>
                <w:rFonts w:ascii="宋体" w:hAnsi="宋体" w:cs="宋体"/>
                <w:color w:val="000000"/>
                <w:kern w:val="0"/>
                <w:sz w:val="22"/>
                <w:szCs w:val="22"/>
              </w:rPr>
            </w:pPr>
          </w:p>
        </w:tc>
      </w:tr>
      <w:tr>
        <w:tblPrEx>
          <w:tblW w:w="8085" w:type="dxa"/>
          <w:jc w:val="center"/>
          <w:tblInd w:w="103" w:type="dxa"/>
          <w:tblCellMar>
            <w:top w:w="0" w:type="dxa"/>
            <w:left w:w="108" w:type="dxa"/>
            <w:bottom w:w="0" w:type="dxa"/>
            <w:right w:w="108" w:type="dxa"/>
          </w:tblCellMar>
          <w:tblLook w:val="0000"/>
        </w:tblPrEx>
        <w:trPr>
          <w:trHeight w:val="312"/>
          <w:jc w:val="center"/>
        </w:trPr>
        <w:tc>
          <w:tcPr>
            <w:tcW w:w="8085" w:type="dxa"/>
            <w:gridSpan w:val="2"/>
            <w:vMerge/>
            <w:tcBorders>
              <w:top w:val="single" w:sz="4" w:space="0" w:color="auto"/>
              <w:left w:val="single" w:sz="4" w:space="0" w:color="auto"/>
              <w:bottom w:val="single" w:sz="4" w:space="0" w:color="000000"/>
              <w:right w:val="single" w:sz="4" w:space="0" w:color="000000"/>
            </w:tcBorders>
            <w:vAlign w:val="center"/>
          </w:tcPr>
          <w:p>
            <w:pPr>
              <w:widowControl/>
              <w:jc w:val="left"/>
              <w:rPr>
                <w:rFonts w:ascii="宋体" w:hAnsi="宋体" w:cs="宋体"/>
                <w:color w:val="000000"/>
                <w:kern w:val="0"/>
                <w:sz w:val="22"/>
                <w:szCs w:val="22"/>
              </w:rPr>
            </w:pPr>
          </w:p>
        </w:tc>
      </w:tr>
      <w:tr>
        <w:tblPrEx>
          <w:tblW w:w="8085" w:type="dxa"/>
          <w:jc w:val="center"/>
          <w:tblInd w:w="103" w:type="dxa"/>
          <w:tblCellMar>
            <w:top w:w="0" w:type="dxa"/>
            <w:left w:w="108" w:type="dxa"/>
            <w:bottom w:w="0" w:type="dxa"/>
            <w:right w:w="108" w:type="dxa"/>
          </w:tblCellMar>
          <w:tblLook w:val="0000"/>
        </w:tblPrEx>
        <w:trPr>
          <w:trHeight w:val="312"/>
          <w:jc w:val="center"/>
        </w:trPr>
        <w:tc>
          <w:tcPr>
            <w:tcW w:w="8085" w:type="dxa"/>
            <w:gridSpan w:val="2"/>
            <w:vMerge/>
            <w:tcBorders>
              <w:top w:val="single" w:sz="4" w:space="0" w:color="auto"/>
              <w:left w:val="single" w:sz="4" w:space="0" w:color="auto"/>
              <w:bottom w:val="single" w:sz="4" w:space="0" w:color="000000"/>
              <w:right w:val="single" w:sz="4" w:space="0" w:color="000000"/>
            </w:tcBorders>
            <w:vAlign w:val="center"/>
          </w:tcPr>
          <w:p>
            <w:pPr>
              <w:widowControl/>
              <w:jc w:val="left"/>
              <w:rPr>
                <w:rFonts w:ascii="宋体" w:hAnsi="宋体" w:cs="宋体"/>
                <w:color w:val="000000"/>
                <w:kern w:val="0"/>
                <w:sz w:val="22"/>
                <w:szCs w:val="22"/>
              </w:rPr>
            </w:pPr>
          </w:p>
        </w:tc>
      </w:tr>
      <w:tr>
        <w:tblPrEx>
          <w:tblW w:w="8085" w:type="dxa"/>
          <w:jc w:val="center"/>
          <w:tblInd w:w="103" w:type="dxa"/>
          <w:tblCellMar>
            <w:top w:w="0" w:type="dxa"/>
            <w:left w:w="108" w:type="dxa"/>
            <w:bottom w:w="0" w:type="dxa"/>
            <w:right w:w="108" w:type="dxa"/>
          </w:tblCellMar>
          <w:tblLook w:val="0000"/>
        </w:tblPrEx>
        <w:trPr>
          <w:trHeight w:val="312"/>
          <w:jc w:val="center"/>
        </w:trPr>
        <w:tc>
          <w:tcPr>
            <w:tcW w:w="8085" w:type="dxa"/>
            <w:gridSpan w:val="2"/>
            <w:vMerge/>
            <w:tcBorders>
              <w:top w:val="single" w:sz="4" w:space="0" w:color="auto"/>
              <w:left w:val="single" w:sz="4" w:space="0" w:color="auto"/>
              <w:bottom w:val="single" w:sz="4" w:space="0" w:color="000000"/>
              <w:right w:val="single" w:sz="4" w:space="0" w:color="000000"/>
            </w:tcBorders>
            <w:vAlign w:val="center"/>
          </w:tcPr>
          <w:p>
            <w:pPr>
              <w:widowControl/>
              <w:jc w:val="left"/>
              <w:rPr>
                <w:rFonts w:ascii="宋体" w:hAnsi="宋体" w:cs="宋体"/>
                <w:color w:val="000000"/>
                <w:kern w:val="0"/>
                <w:sz w:val="22"/>
                <w:szCs w:val="22"/>
              </w:rPr>
            </w:pPr>
          </w:p>
        </w:tc>
      </w:tr>
      <w:tr>
        <w:tblPrEx>
          <w:tblW w:w="8085" w:type="dxa"/>
          <w:jc w:val="center"/>
          <w:tblInd w:w="103" w:type="dxa"/>
          <w:tblCellMar>
            <w:top w:w="0" w:type="dxa"/>
            <w:left w:w="108" w:type="dxa"/>
            <w:bottom w:w="0" w:type="dxa"/>
            <w:right w:w="108" w:type="dxa"/>
          </w:tblCellMar>
          <w:tblLook w:val="0000"/>
        </w:tblPrEx>
        <w:trPr>
          <w:trHeight w:val="312"/>
          <w:jc w:val="center"/>
        </w:trPr>
        <w:tc>
          <w:tcPr>
            <w:tcW w:w="8085" w:type="dxa"/>
            <w:gridSpan w:val="2"/>
            <w:vMerge/>
            <w:tcBorders>
              <w:top w:val="single" w:sz="4" w:space="0" w:color="auto"/>
              <w:left w:val="single" w:sz="4" w:space="0" w:color="auto"/>
              <w:bottom w:val="single" w:sz="4" w:space="0" w:color="000000"/>
              <w:right w:val="single" w:sz="4" w:space="0" w:color="000000"/>
            </w:tcBorders>
            <w:vAlign w:val="center"/>
          </w:tcPr>
          <w:p>
            <w:pPr>
              <w:widowControl/>
              <w:jc w:val="left"/>
              <w:rPr>
                <w:rFonts w:ascii="宋体" w:hAnsi="宋体" w:cs="宋体"/>
                <w:color w:val="000000"/>
                <w:kern w:val="0"/>
                <w:sz w:val="22"/>
                <w:szCs w:val="22"/>
              </w:rPr>
            </w:pPr>
          </w:p>
        </w:tc>
      </w:tr>
      <w:tr>
        <w:tblPrEx>
          <w:tblW w:w="8085" w:type="dxa"/>
          <w:jc w:val="center"/>
          <w:tblInd w:w="103" w:type="dxa"/>
          <w:tblCellMar>
            <w:top w:w="0" w:type="dxa"/>
            <w:left w:w="108" w:type="dxa"/>
            <w:bottom w:w="0" w:type="dxa"/>
            <w:right w:w="108" w:type="dxa"/>
          </w:tblCellMar>
          <w:tblLook w:val="0000"/>
        </w:tblPrEx>
        <w:trPr>
          <w:trHeight w:val="915"/>
          <w:jc w:val="center"/>
        </w:trPr>
        <w:tc>
          <w:tcPr>
            <w:tcW w:w="8085" w:type="dxa"/>
            <w:gridSpan w:val="2"/>
            <w:vMerge/>
            <w:tcBorders>
              <w:top w:val="single" w:sz="4" w:space="0" w:color="auto"/>
              <w:left w:val="single" w:sz="4" w:space="0" w:color="auto"/>
              <w:bottom w:val="single" w:sz="4" w:space="0" w:color="000000"/>
              <w:right w:val="single" w:sz="4" w:space="0" w:color="000000"/>
            </w:tcBorders>
            <w:vAlign w:val="center"/>
          </w:tcPr>
          <w:p>
            <w:pPr>
              <w:widowControl/>
              <w:jc w:val="left"/>
              <w:rPr>
                <w:rFonts w:ascii="宋体" w:hAnsi="宋体" w:cs="宋体"/>
                <w:color w:val="000000"/>
                <w:kern w:val="0"/>
                <w:sz w:val="22"/>
                <w:szCs w:val="22"/>
              </w:rPr>
            </w:pPr>
          </w:p>
        </w:tc>
      </w:tr>
      <w:tr>
        <w:tblPrEx>
          <w:tblW w:w="8085" w:type="dxa"/>
          <w:jc w:val="center"/>
          <w:tblInd w:w="103" w:type="dxa"/>
          <w:tblCellMar>
            <w:top w:w="0" w:type="dxa"/>
            <w:left w:w="108" w:type="dxa"/>
            <w:bottom w:w="0" w:type="dxa"/>
            <w:right w:w="108" w:type="dxa"/>
          </w:tblCellMar>
          <w:tblLook w:val="0000"/>
        </w:tblPrEx>
        <w:trPr>
          <w:trHeight w:val="312"/>
          <w:jc w:val="center"/>
        </w:trPr>
        <w:tc>
          <w:tcPr>
            <w:tcW w:w="8085" w:type="dxa"/>
            <w:gridSpan w:val="2"/>
            <w:vMerge/>
            <w:tcBorders>
              <w:top w:val="single" w:sz="4" w:space="0" w:color="auto"/>
              <w:left w:val="single" w:sz="4" w:space="0" w:color="auto"/>
              <w:bottom w:val="single" w:sz="4" w:space="0" w:color="000000"/>
              <w:right w:val="single" w:sz="4" w:space="0" w:color="000000"/>
            </w:tcBorders>
            <w:vAlign w:val="center"/>
          </w:tcPr>
          <w:p>
            <w:pPr>
              <w:widowControl/>
              <w:jc w:val="left"/>
              <w:rPr>
                <w:rFonts w:ascii="宋体" w:hAnsi="宋体" w:cs="宋体"/>
                <w:color w:val="000000"/>
                <w:kern w:val="0"/>
                <w:sz w:val="22"/>
                <w:szCs w:val="22"/>
              </w:rPr>
            </w:pPr>
          </w:p>
        </w:tc>
      </w:tr>
      <w:tr>
        <w:tblPrEx>
          <w:tblW w:w="8085" w:type="dxa"/>
          <w:jc w:val="center"/>
          <w:tblInd w:w="103" w:type="dxa"/>
          <w:tblCellMar>
            <w:top w:w="0" w:type="dxa"/>
            <w:left w:w="108" w:type="dxa"/>
            <w:bottom w:w="0" w:type="dxa"/>
            <w:right w:w="108" w:type="dxa"/>
          </w:tblCellMar>
          <w:tblLook w:val="0000"/>
        </w:tblPrEx>
        <w:trPr>
          <w:trHeight w:val="1215"/>
          <w:jc w:val="center"/>
        </w:trPr>
        <w:tc>
          <w:tcPr>
            <w:tcW w:w="8085" w:type="dxa"/>
            <w:gridSpan w:val="2"/>
            <w:vMerge/>
            <w:tcBorders>
              <w:top w:val="single" w:sz="4" w:space="0" w:color="auto"/>
              <w:left w:val="single" w:sz="4" w:space="0" w:color="auto"/>
              <w:bottom w:val="single" w:sz="4" w:space="0" w:color="000000"/>
              <w:right w:val="single" w:sz="4" w:space="0" w:color="000000"/>
            </w:tcBorders>
            <w:vAlign w:val="center"/>
          </w:tcPr>
          <w:p>
            <w:pPr>
              <w:widowControl/>
              <w:jc w:val="left"/>
              <w:rPr>
                <w:rFonts w:ascii="宋体" w:hAnsi="宋体" w:cs="宋体"/>
                <w:color w:val="000000"/>
                <w:kern w:val="0"/>
                <w:sz w:val="22"/>
                <w:szCs w:val="22"/>
              </w:rPr>
            </w:pPr>
          </w:p>
        </w:tc>
      </w:tr>
      <w:tr>
        <w:tblPrEx>
          <w:tblW w:w="8085" w:type="dxa"/>
          <w:jc w:val="center"/>
          <w:tblInd w:w="103" w:type="dxa"/>
          <w:tblCellMar>
            <w:top w:w="0" w:type="dxa"/>
            <w:left w:w="108" w:type="dxa"/>
            <w:bottom w:w="0" w:type="dxa"/>
            <w:right w:w="108" w:type="dxa"/>
          </w:tblCellMar>
          <w:tblLook w:val="0000"/>
        </w:tblPrEx>
        <w:trPr>
          <w:trHeight w:val="390"/>
          <w:jc w:val="center"/>
        </w:trPr>
        <w:tc>
          <w:tcPr>
            <w:tcW w:w="8085" w:type="dxa"/>
            <w:gridSpan w:val="2"/>
            <w:vMerge/>
            <w:tcBorders>
              <w:top w:val="single" w:sz="4" w:space="0" w:color="auto"/>
              <w:left w:val="single" w:sz="4" w:space="0" w:color="auto"/>
              <w:bottom w:val="single" w:sz="4" w:space="0" w:color="000000"/>
              <w:right w:val="single" w:sz="4" w:space="0" w:color="000000"/>
            </w:tcBorders>
            <w:vAlign w:val="center"/>
          </w:tcPr>
          <w:p>
            <w:pPr>
              <w:widowControl/>
              <w:jc w:val="left"/>
              <w:rPr>
                <w:rFonts w:ascii="宋体" w:hAnsi="宋体" w:cs="宋体"/>
                <w:color w:val="000000"/>
                <w:kern w:val="0"/>
                <w:sz w:val="22"/>
                <w:szCs w:val="22"/>
              </w:rPr>
            </w:pPr>
          </w:p>
        </w:tc>
      </w:tr>
      <w:tr>
        <w:tblPrEx>
          <w:tblW w:w="8085" w:type="dxa"/>
          <w:jc w:val="center"/>
          <w:tblInd w:w="103" w:type="dxa"/>
          <w:tblCellMar>
            <w:top w:w="0" w:type="dxa"/>
            <w:left w:w="108" w:type="dxa"/>
            <w:bottom w:w="0" w:type="dxa"/>
            <w:right w:w="108" w:type="dxa"/>
          </w:tblCellMar>
          <w:tblLook w:val="0000"/>
        </w:tblPrEx>
        <w:trPr>
          <w:trHeight w:val="765"/>
          <w:jc w:val="center"/>
        </w:trPr>
        <w:tc>
          <w:tcPr>
            <w:tcW w:w="2300" w:type="dxa"/>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说  明</w:t>
            </w:r>
          </w:p>
        </w:tc>
        <w:tc>
          <w:tcPr>
            <w:tcW w:w="5785" w:type="dxa"/>
            <w:tcBorders>
              <w:top w:val="single" w:sz="4" w:space="0" w:color="auto"/>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　</w:t>
            </w:r>
          </w:p>
        </w:tc>
      </w:tr>
      <w:tr>
        <w:tblPrEx>
          <w:tblW w:w="8085" w:type="dxa"/>
          <w:jc w:val="center"/>
          <w:tblInd w:w="103" w:type="dxa"/>
          <w:tblCellMar>
            <w:top w:w="0" w:type="dxa"/>
            <w:left w:w="108" w:type="dxa"/>
            <w:bottom w:w="0" w:type="dxa"/>
            <w:right w:w="108" w:type="dxa"/>
          </w:tblCellMar>
          <w:tblLook w:val="0000"/>
        </w:tblPrEx>
        <w:trPr>
          <w:trHeight w:val="1020"/>
          <w:jc w:val="center"/>
        </w:trPr>
        <w:tc>
          <w:tcPr>
            <w:tcW w:w="2300" w:type="dxa"/>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乡（镇）人民政府或</w:t>
            </w:r>
            <w:r>
              <w:rPr>
                <w:rFonts w:ascii="宋体" w:hAnsi="宋体" w:cs="宋体" w:hint="eastAsia"/>
                <w:color w:val="000000"/>
                <w:kern w:val="0"/>
                <w:sz w:val="22"/>
                <w:szCs w:val="22"/>
                <w:lang w:val="en-US" w:eastAsia="zh-CN"/>
              </w:rPr>
              <w:t>自然资源局</w:t>
            </w:r>
            <w:r>
              <w:rPr>
                <w:rFonts w:ascii="宋体" w:hAnsi="宋体" w:cs="宋体" w:hint="eastAsia"/>
                <w:color w:val="000000"/>
                <w:kern w:val="0"/>
                <w:sz w:val="22"/>
                <w:szCs w:val="22"/>
              </w:rPr>
              <w:t>意见</w:t>
            </w:r>
          </w:p>
        </w:tc>
        <w:tc>
          <w:tcPr>
            <w:tcW w:w="5785" w:type="dxa"/>
            <w:tcBorders>
              <w:top w:val="single" w:sz="4" w:space="0" w:color="auto"/>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　</w:t>
            </w:r>
          </w:p>
        </w:tc>
      </w:tr>
      <w:tr>
        <w:tblPrEx>
          <w:tblW w:w="8085" w:type="dxa"/>
          <w:jc w:val="center"/>
          <w:tblInd w:w="103" w:type="dxa"/>
          <w:tblCellMar>
            <w:top w:w="0" w:type="dxa"/>
            <w:left w:w="108" w:type="dxa"/>
            <w:bottom w:w="0" w:type="dxa"/>
            <w:right w:w="108" w:type="dxa"/>
          </w:tblCellMar>
          <w:tblLook w:val="0000"/>
        </w:tblPrEx>
        <w:trPr>
          <w:trHeight w:val="615"/>
          <w:jc w:val="center"/>
        </w:trPr>
        <w:tc>
          <w:tcPr>
            <w:tcW w:w="2300" w:type="dxa"/>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备  注</w:t>
            </w:r>
          </w:p>
        </w:tc>
        <w:tc>
          <w:tcPr>
            <w:tcW w:w="5785" w:type="dxa"/>
            <w:tcBorders>
              <w:top w:val="single" w:sz="4" w:space="0" w:color="auto"/>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　</w:t>
            </w:r>
          </w:p>
        </w:tc>
      </w:tr>
    </w:tbl>
    <w:p>
      <w:pPr>
        <w:pStyle w:val="Heading3"/>
        <w:rPr>
          <w:rFonts w:ascii="宋体" w:hAnsi="宋体" w:cs="宋体" w:hint="eastAsia"/>
          <w:kern w:val="0"/>
          <w:sz w:val="28"/>
          <w:szCs w:val="28"/>
        </w:rPr>
      </w:pPr>
      <w:bookmarkStart w:id="70" w:name="_Toc338148106"/>
      <w:bookmarkStart w:id="71" w:name="_Toc20263"/>
      <w:bookmarkStart w:id="72" w:name="_Toc14146"/>
      <w:bookmarkStart w:id="73" w:name="_Toc346100180"/>
      <w:bookmarkStart w:id="74" w:name="_Toc346100038"/>
      <w:bookmarkStart w:id="75" w:name="_Toc24628"/>
      <w:r>
        <w:rPr>
          <w:rFonts w:ascii="宋体" w:hAnsi="宋体" w:cs="宋体" w:hint="eastAsia"/>
          <w:kern w:val="0"/>
          <w:sz w:val="28"/>
          <w:szCs w:val="28"/>
          <w:lang w:eastAsia="zh-CN"/>
        </w:rPr>
        <w:t>7</w:t>
      </w:r>
      <w:r>
        <w:rPr>
          <w:rFonts w:ascii="宋体" w:hAnsi="宋体" w:cs="宋体" w:hint="eastAsia"/>
          <w:kern w:val="0"/>
          <w:sz w:val="28"/>
          <w:szCs w:val="28"/>
        </w:rPr>
        <w:t>、外业核实</w:t>
      </w:r>
      <w:bookmarkEnd w:id="70"/>
      <w:bookmarkEnd w:id="71"/>
      <w:bookmarkEnd w:id="72"/>
      <w:bookmarkEnd w:id="73"/>
      <w:bookmarkEnd w:id="74"/>
      <w:bookmarkEnd w:id="75"/>
    </w:p>
    <w:p>
      <w:pPr>
        <w:spacing w:line="360" w:lineRule="auto"/>
        <w:ind w:firstLine="560" w:firstLineChars="200"/>
        <w:rPr>
          <w:rFonts w:ascii="仿宋_GB2312" w:eastAsia="仿宋_GB2312" w:hAnsi="宋体" w:hint="eastAsia"/>
          <w:sz w:val="28"/>
          <w:szCs w:val="28"/>
        </w:rPr>
      </w:pPr>
      <w:r>
        <w:rPr>
          <w:rFonts w:ascii="仿宋_GB2312" w:eastAsia="仿宋_GB2312" w:hAnsi="宋体" w:hint="eastAsia"/>
          <w:sz w:val="28"/>
          <w:szCs w:val="28"/>
        </w:rPr>
        <w:t>以乡（镇）政府领导统一召集各乡镇内权利人代表到会场，</w:t>
      </w:r>
      <w:r>
        <w:rPr>
          <w:rFonts w:ascii="仿宋_GB2312" w:eastAsia="仿宋_GB2312" w:hAnsi="宋体" w:hint="eastAsia"/>
          <w:sz w:val="28"/>
          <w:szCs w:val="28"/>
          <w:lang w:val="en-US" w:eastAsia="zh-CN"/>
        </w:rPr>
        <w:t>自然资源局以及</w:t>
      </w:r>
      <w:r>
        <w:rPr>
          <w:rFonts w:ascii="仿宋_GB2312" w:eastAsia="仿宋_GB2312" w:hAnsi="宋体" w:hint="eastAsia"/>
          <w:sz w:val="28"/>
          <w:szCs w:val="28"/>
        </w:rPr>
        <w:t>作业队项目负责介绍本次确权登记发证工作的概况、三部委有关农村所有权登记发证工作的主要精神及本次工作的重要性和紧迫性。由国土部门统一组织各村权利人集中指界，作业队伍准备权源材料复印件、外业调查工作底图、补充调查表和手持GPS等，向涉及权利人负责解读该成果，并对内业预判提出的疑问点进行现场核实。</w:t>
      </w:r>
    </w:p>
    <w:p>
      <w:pPr>
        <w:spacing w:line="360" w:lineRule="auto"/>
        <w:ind w:firstLine="560" w:firstLineChars="200"/>
        <w:rPr>
          <w:rFonts w:eastAsia="仿宋_GB2312" w:hint="eastAsia"/>
          <w:color w:val="000000"/>
          <w:sz w:val="28"/>
          <w:szCs w:val="28"/>
        </w:rPr>
        <w:sectPr>
          <w:headerReference w:type="even" r:id="rId163"/>
          <w:headerReference w:type="default" r:id="rId164"/>
          <w:footerReference w:type="even" r:id="rId165"/>
          <w:footerReference w:type="default" r:id="rId166"/>
          <w:headerReference w:type="first" r:id="rId167"/>
          <w:footerReference w:type="first" r:id="rId168"/>
          <w:type w:val="nextPage"/>
          <w:pgSz w:w="11906" w:h="16838"/>
          <w:pgMar w:top="1440" w:right="1800" w:bottom="1440" w:left="1800" w:header="851" w:footer="992" w:gutter="0"/>
          <w:pgNumType w:start="25"/>
          <w:cols w:space="708"/>
          <w:titlePg w:val="0"/>
          <w:docGrid w:type="lines" w:linePitch="312" w:charSpace="0"/>
        </w:sectPr>
      </w:pPr>
    </w:p>
    <w:p>
      <w:pPr>
        <w:spacing w:line="360" w:lineRule="auto"/>
        <w:ind w:firstLine="560" w:firstLineChars="200"/>
        <w:rPr>
          <w:rFonts w:eastAsia="仿宋_GB2312" w:hint="eastAsia"/>
          <w:color w:val="000000"/>
          <w:sz w:val="28"/>
          <w:szCs w:val="28"/>
        </w:rPr>
      </w:pPr>
      <w:r>
        <w:rPr>
          <w:rFonts w:ascii="仿宋_GB2312" w:eastAsia="仿宋_GB2312" w:hAnsi="宋体" w:hint="eastAsia"/>
          <w:sz w:val="28"/>
          <w:szCs w:val="28"/>
        </w:rPr>
        <w:t>外业调查时召集本乡镇权利人到会场，权利人无异议，在权利人配合下完成本宗及飞出（入）地相关纸质材料的填写、签章；权利人提出异议，充分收集和分析权利人所提供的举证材料，与权利人共同讨论出解决办法；需要实地指界的宗地或宗地内的部分界址线（点），由作业队准备纸质资料和仪器设备，进行实地指界，并按初始登记的要求完成相关的纸质材料的填写、签章。</w:t>
      </w:r>
    </w:p>
    <w:p>
      <w:pPr>
        <w:pStyle w:val="CommentText"/>
        <w:ind w:firstLine="560" w:firstLineChars="200"/>
        <w:rPr>
          <w:rFonts w:ascii="仿宋_GB2312" w:eastAsia="仿宋_GB2312" w:hAnsi="宋体" w:hint="eastAsia"/>
          <w:sz w:val="28"/>
          <w:szCs w:val="28"/>
        </w:rPr>
      </w:pPr>
      <w:r>
        <w:rPr>
          <w:rFonts w:ascii="仿宋_GB2312" w:eastAsia="仿宋_GB2312" w:hAnsi="宋体" w:hint="eastAsia"/>
          <w:sz w:val="28"/>
          <w:szCs w:val="28"/>
        </w:rPr>
        <w:t>为方便作业员外业时指界表或协议书在指界过程中能够更好地衔接和对照，不致于遗漏盖章（尤其是跨乡镇的情况），特制作了</w:t>
      </w:r>
      <w:r>
        <w:rPr>
          <w:rFonts w:ascii="仿宋_GB2312" w:eastAsia="仿宋_GB2312" w:hAnsi="宋体" w:hint="eastAsia"/>
          <w:sz w:val="28"/>
          <w:szCs w:val="28"/>
        </w:rPr>
        <w:t>××</w:t>
      </w:r>
      <w:r>
        <w:rPr>
          <w:rFonts w:ascii="仿宋_GB2312" w:eastAsia="仿宋_GB2312" w:hAnsi="宋体" w:hint="eastAsia"/>
          <w:sz w:val="28"/>
          <w:szCs w:val="28"/>
        </w:rPr>
        <w:t>乡（镇）外业指界情况汇总表，如下：</w:t>
      </w:r>
    </w:p>
    <w:tbl>
      <w:tblPr>
        <w:tblStyle w:val="TableNormal"/>
        <w:tblW w:w="9201" w:type="dxa"/>
        <w:jc w:val="center"/>
        <w:tblInd w:w="-339" w:type="dxa"/>
        <w:tblCellMar>
          <w:top w:w="0" w:type="dxa"/>
          <w:left w:w="108" w:type="dxa"/>
          <w:bottom w:w="0" w:type="dxa"/>
          <w:right w:w="108" w:type="dxa"/>
        </w:tblCellMar>
        <w:tblLook w:val="0000"/>
      </w:tblPr>
      <w:tblGrid>
        <w:gridCol w:w="798"/>
        <w:gridCol w:w="1085"/>
        <w:gridCol w:w="1311"/>
        <w:gridCol w:w="1085"/>
        <w:gridCol w:w="1181"/>
        <w:gridCol w:w="1762"/>
        <w:gridCol w:w="1181"/>
        <w:gridCol w:w="798"/>
      </w:tblGrid>
      <w:tr>
        <w:tblPrEx>
          <w:tblW w:w="9201" w:type="dxa"/>
          <w:jc w:val="center"/>
          <w:tblInd w:w="-339" w:type="dxa"/>
          <w:tblCellMar>
            <w:top w:w="0" w:type="dxa"/>
            <w:left w:w="108" w:type="dxa"/>
            <w:bottom w:w="0" w:type="dxa"/>
            <w:right w:w="108" w:type="dxa"/>
          </w:tblCellMar>
          <w:tblLook w:val="0000"/>
        </w:tblPrEx>
        <w:trPr>
          <w:trHeight w:val="489"/>
          <w:jc w:val="center"/>
        </w:trPr>
        <w:tc>
          <w:tcPr>
            <w:tcW w:w="9201" w:type="dxa"/>
            <w:gridSpan w:val="8"/>
            <w:tcBorders>
              <w:top w:val="nil"/>
              <w:left w:val="nil"/>
              <w:bottom w:val="nil"/>
              <w:right w:val="nil"/>
            </w:tcBorders>
            <w:noWrap/>
            <w:vAlign w:val="center"/>
          </w:tcPr>
          <w:p>
            <w:pPr>
              <w:widowControl/>
              <w:jc w:val="center"/>
              <w:rPr>
                <w:rFonts w:ascii="黑体" w:eastAsia="黑体" w:hAnsi="宋体" w:cs="宋体"/>
                <w:color w:val="000000"/>
                <w:kern w:val="0"/>
                <w:sz w:val="24"/>
              </w:rPr>
            </w:pPr>
            <w:r>
              <w:rPr>
                <w:rFonts w:ascii="黑体" w:eastAsia="黑体" w:hAnsi="宋体" w:cs="宋体" w:hint="eastAsia"/>
                <w:color w:val="000000"/>
                <w:kern w:val="0"/>
                <w:sz w:val="24"/>
                <w:u w:val="single"/>
              </w:rPr>
              <w:t xml:space="preserve">           </w:t>
            </w:r>
            <w:r>
              <w:rPr>
                <w:rFonts w:ascii="黑体" w:eastAsia="黑体" w:hAnsi="宋体" w:cs="宋体" w:hint="eastAsia"/>
                <w:color w:val="000000"/>
                <w:kern w:val="0"/>
                <w:sz w:val="24"/>
              </w:rPr>
              <w:t>乡（镇）外业指界情况汇总表</w:t>
            </w:r>
          </w:p>
        </w:tc>
      </w:tr>
      <w:tr>
        <w:tblPrEx>
          <w:tblW w:w="9201" w:type="dxa"/>
          <w:jc w:val="center"/>
          <w:tblInd w:w="-339" w:type="dxa"/>
          <w:tblCellMar>
            <w:top w:w="0" w:type="dxa"/>
            <w:left w:w="108" w:type="dxa"/>
            <w:bottom w:w="0" w:type="dxa"/>
            <w:right w:w="108" w:type="dxa"/>
          </w:tblCellMar>
          <w:tblLook w:val="0000"/>
        </w:tblPrEx>
        <w:trPr>
          <w:trHeight w:val="526"/>
          <w:jc w:val="center"/>
        </w:trPr>
        <w:tc>
          <w:tcPr>
            <w:tcW w:w="798"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序号</w:t>
            </w:r>
          </w:p>
        </w:tc>
        <w:tc>
          <w:tcPr>
            <w:tcW w:w="1085" w:type="dxa"/>
            <w:tcBorders>
              <w:top w:val="single" w:sz="4" w:space="0" w:color="auto"/>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乡镇</w:t>
            </w:r>
          </w:p>
        </w:tc>
        <w:tc>
          <w:tcPr>
            <w:tcW w:w="1311" w:type="dxa"/>
            <w:tcBorders>
              <w:top w:val="single" w:sz="4" w:space="0" w:color="auto"/>
              <w:left w:val="nil"/>
              <w:bottom w:val="single" w:sz="4" w:space="0" w:color="auto"/>
              <w:right w:val="single" w:sz="4" w:space="0" w:color="auto"/>
            </w:tcBorders>
            <w:vAlign w:val="center"/>
          </w:tcPr>
          <w:p>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指界表或</w:t>
            </w:r>
          </w:p>
          <w:p>
            <w:pPr>
              <w:widowControl/>
              <w:jc w:val="center"/>
              <w:rPr>
                <w:rFonts w:ascii="宋体" w:hAnsi="宋体" w:cs="宋体"/>
                <w:color w:val="000000"/>
                <w:kern w:val="0"/>
                <w:sz w:val="22"/>
                <w:szCs w:val="22"/>
              </w:rPr>
            </w:pPr>
            <w:r>
              <w:rPr>
                <w:rFonts w:ascii="宋体" w:hAnsi="宋体" w:cs="宋体" w:hint="eastAsia"/>
                <w:color w:val="000000"/>
                <w:kern w:val="0"/>
                <w:sz w:val="22"/>
                <w:szCs w:val="22"/>
              </w:rPr>
              <w:t>协议书</w:t>
            </w:r>
          </w:p>
        </w:tc>
        <w:tc>
          <w:tcPr>
            <w:tcW w:w="1085" w:type="dxa"/>
            <w:tcBorders>
              <w:top w:val="single" w:sz="4" w:space="0" w:color="auto"/>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座落</w:t>
            </w:r>
          </w:p>
        </w:tc>
        <w:tc>
          <w:tcPr>
            <w:tcW w:w="1181" w:type="dxa"/>
            <w:tcBorders>
              <w:top w:val="single" w:sz="4" w:space="0" w:color="auto"/>
              <w:left w:val="nil"/>
              <w:bottom w:val="single" w:sz="4" w:space="0" w:color="auto"/>
              <w:right w:val="single" w:sz="4" w:space="0" w:color="auto"/>
            </w:tcBorders>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座落单位指界情况</w:t>
            </w:r>
          </w:p>
        </w:tc>
        <w:tc>
          <w:tcPr>
            <w:tcW w:w="1762" w:type="dxa"/>
            <w:tcBorders>
              <w:top w:val="single" w:sz="4" w:space="0" w:color="auto"/>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权利人</w:t>
            </w:r>
          </w:p>
        </w:tc>
        <w:tc>
          <w:tcPr>
            <w:tcW w:w="1181" w:type="dxa"/>
            <w:tcBorders>
              <w:top w:val="single" w:sz="4" w:space="0" w:color="auto"/>
              <w:left w:val="nil"/>
              <w:bottom w:val="single" w:sz="4" w:space="0" w:color="auto"/>
              <w:right w:val="single" w:sz="4" w:space="0" w:color="auto"/>
            </w:tcBorders>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权利人指界情况</w:t>
            </w:r>
          </w:p>
        </w:tc>
        <w:tc>
          <w:tcPr>
            <w:tcW w:w="798" w:type="dxa"/>
            <w:tcBorders>
              <w:top w:val="single" w:sz="4" w:space="0" w:color="auto"/>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备注</w:t>
            </w:r>
          </w:p>
        </w:tc>
      </w:tr>
      <w:tr>
        <w:tblPrEx>
          <w:tblW w:w="9201" w:type="dxa"/>
          <w:jc w:val="center"/>
          <w:tblInd w:w="-339" w:type="dxa"/>
          <w:tblCellMar>
            <w:top w:w="0" w:type="dxa"/>
            <w:left w:w="108" w:type="dxa"/>
            <w:bottom w:w="0" w:type="dxa"/>
            <w:right w:w="108" w:type="dxa"/>
          </w:tblCellMar>
          <w:tblLook w:val="0000"/>
        </w:tblPrEx>
        <w:trPr>
          <w:trHeight w:val="536"/>
          <w:jc w:val="center"/>
        </w:trPr>
        <w:tc>
          <w:tcPr>
            <w:tcW w:w="798" w:type="dxa"/>
            <w:tcBorders>
              <w:top w:val="nil"/>
              <w:left w:val="single" w:sz="4" w:space="0" w:color="auto"/>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1085"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乡</w:t>
            </w:r>
          </w:p>
        </w:tc>
        <w:tc>
          <w:tcPr>
            <w:tcW w:w="131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协议书</w:t>
            </w:r>
          </w:p>
        </w:tc>
        <w:tc>
          <w:tcPr>
            <w:tcW w:w="1085"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村</w:t>
            </w:r>
          </w:p>
        </w:tc>
        <w:tc>
          <w:tcPr>
            <w:tcW w:w="118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762"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村</w:t>
            </w:r>
          </w:p>
        </w:tc>
        <w:tc>
          <w:tcPr>
            <w:tcW w:w="118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　</w:t>
            </w:r>
          </w:p>
        </w:tc>
        <w:tc>
          <w:tcPr>
            <w:tcW w:w="798"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F3</w:t>
            </w:r>
          </w:p>
        </w:tc>
      </w:tr>
      <w:tr>
        <w:tblPrEx>
          <w:tblW w:w="9201" w:type="dxa"/>
          <w:jc w:val="center"/>
          <w:tblInd w:w="-339" w:type="dxa"/>
          <w:tblCellMar>
            <w:top w:w="0" w:type="dxa"/>
            <w:left w:w="108" w:type="dxa"/>
            <w:bottom w:w="0" w:type="dxa"/>
            <w:right w:w="108" w:type="dxa"/>
          </w:tblCellMar>
          <w:tblLook w:val="0000"/>
        </w:tblPrEx>
        <w:trPr>
          <w:trHeight w:val="536"/>
          <w:jc w:val="center"/>
        </w:trPr>
        <w:tc>
          <w:tcPr>
            <w:tcW w:w="798" w:type="dxa"/>
            <w:tcBorders>
              <w:top w:val="nil"/>
              <w:left w:val="single" w:sz="4" w:space="0" w:color="auto"/>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c>
          <w:tcPr>
            <w:tcW w:w="1085"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乡</w:t>
            </w:r>
          </w:p>
        </w:tc>
        <w:tc>
          <w:tcPr>
            <w:tcW w:w="131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调查表</w:t>
            </w:r>
          </w:p>
        </w:tc>
        <w:tc>
          <w:tcPr>
            <w:tcW w:w="1085"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村</w:t>
            </w:r>
          </w:p>
        </w:tc>
        <w:tc>
          <w:tcPr>
            <w:tcW w:w="118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762"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村</w:t>
            </w:r>
          </w:p>
        </w:tc>
        <w:tc>
          <w:tcPr>
            <w:tcW w:w="118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　</w:t>
            </w:r>
          </w:p>
        </w:tc>
        <w:tc>
          <w:tcPr>
            <w:tcW w:w="798"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F3</w:t>
            </w:r>
          </w:p>
        </w:tc>
      </w:tr>
      <w:tr>
        <w:tblPrEx>
          <w:tblW w:w="9201" w:type="dxa"/>
          <w:jc w:val="center"/>
          <w:tblInd w:w="-339" w:type="dxa"/>
          <w:tblCellMar>
            <w:top w:w="0" w:type="dxa"/>
            <w:left w:w="108" w:type="dxa"/>
            <w:bottom w:w="0" w:type="dxa"/>
            <w:right w:w="108" w:type="dxa"/>
          </w:tblCellMar>
          <w:tblLook w:val="0000"/>
        </w:tblPrEx>
        <w:trPr>
          <w:trHeight w:val="536"/>
          <w:jc w:val="center"/>
        </w:trPr>
        <w:tc>
          <w:tcPr>
            <w:tcW w:w="798" w:type="dxa"/>
            <w:tcBorders>
              <w:top w:val="nil"/>
              <w:left w:val="single" w:sz="4" w:space="0" w:color="auto"/>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c>
          <w:tcPr>
            <w:tcW w:w="1085"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乡</w:t>
            </w:r>
          </w:p>
        </w:tc>
        <w:tc>
          <w:tcPr>
            <w:tcW w:w="131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协议书</w:t>
            </w:r>
          </w:p>
        </w:tc>
        <w:tc>
          <w:tcPr>
            <w:tcW w:w="1085"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村</w:t>
            </w:r>
          </w:p>
        </w:tc>
        <w:tc>
          <w:tcPr>
            <w:tcW w:w="118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762"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村</w:t>
            </w:r>
          </w:p>
        </w:tc>
        <w:tc>
          <w:tcPr>
            <w:tcW w:w="118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798"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F2</w:t>
            </w:r>
          </w:p>
        </w:tc>
      </w:tr>
      <w:tr>
        <w:tblPrEx>
          <w:tblW w:w="9201" w:type="dxa"/>
          <w:jc w:val="center"/>
          <w:tblInd w:w="-339" w:type="dxa"/>
          <w:tblCellMar>
            <w:top w:w="0" w:type="dxa"/>
            <w:left w:w="108" w:type="dxa"/>
            <w:bottom w:w="0" w:type="dxa"/>
            <w:right w:w="108" w:type="dxa"/>
          </w:tblCellMar>
          <w:tblLook w:val="0000"/>
        </w:tblPrEx>
        <w:trPr>
          <w:trHeight w:val="536"/>
          <w:jc w:val="center"/>
        </w:trPr>
        <w:tc>
          <w:tcPr>
            <w:tcW w:w="798" w:type="dxa"/>
            <w:tcBorders>
              <w:top w:val="nil"/>
              <w:left w:val="single" w:sz="4" w:space="0" w:color="auto"/>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c>
          <w:tcPr>
            <w:tcW w:w="1085"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乡</w:t>
            </w:r>
          </w:p>
        </w:tc>
        <w:tc>
          <w:tcPr>
            <w:tcW w:w="131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调查表</w:t>
            </w:r>
          </w:p>
        </w:tc>
        <w:tc>
          <w:tcPr>
            <w:tcW w:w="1085"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村</w:t>
            </w:r>
          </w:p>
        </w:tc>
        <w:tc>
          <w:tcPr>
            <w:tcW w:w="118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762"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村</w:t>
            </w:r>
          </w:p>
        </w:tc>
        <w:tc>
          <w:tcPr>
            <w:tcW w:w="118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798"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F2</w:t>
            </w:r>
          </w:p>
        </w:tc>
      </w:tr>
      <w:tr>
        <w:tblPrEx>
          <w:tblW w:w="9201" w:type="dxa"/>
          <w:jc w:val="center"/>
          <w:tblInd w:w="-339" w:type="dxa"/>
          <w:tblCellMar>
            <w:top w:w="0" w:type="dxa"/>
            <w:left w:w="108" w:type="dxa"/>
            <w:bottom w:w="0" w:type="dxa"/>
            <w:right w:w="108" w:type="dxa"/>
          </w:tblCellMar>
          <w:tblLook w:val="0000"/>
        </w:tblPrEx>
        <w:trPr>
          <w:trHeight w:val="536"/>
          <w:jc w:val="center"/>
        </w:trPr>
        <w:tc>
          <w:tcPr>
            <w:tcW w:w="798" w:type="dxa"/>
            <w:tcBorders>
              <w:top w:val="nil"/>
              <w:left w:val="single" w:sz="4" w:space="0" w:color="auto"/>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p>
        </w:tc>
        <w:tc>
          <w:tcPr>
            <w:tcW w:w="1085"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p>
        </w:tc>
        <w:tc>
          <w:tcPr>
            <w:tcW w:w="131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p>
        </w:tc>
        <w:tc>
          <w:tcPr>
            <w:tcW w:w="1085"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p>
        </w:tc>
        <w:tc>
          <w:tcPr>
            <w:tcW w:w="118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p>
        </w:tc>
        <w:tc>
          <w:tcPr>
            <w:tcW w:w="1762"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p>
        </w:tc>
        <w:tc>
          <w:tcPr>
            <w:tcW w:w="1181"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p>
        </w:tc>
        <w:tc>
          <w:tcPr>
            <w:tcW w:w="798" w:type="dxa"/>
            <w:tcBorders>
              <w:top w:val="nil"/>
              <w:left w:val="nil"/>
              <w:bottom w:val="single" w:sz="4" w:space="0" w:color="auto"/>
              <w:right w:val="single" w:sz="4" w:space="0" w:color="auto"/>
            </w:tcBorders>
            <w:noWrap/>
            <w:vAlign w:val="center"/>
          </w:tcPr>
          <w:p>
            <w:pPr>
              <w:widowControl/>
              <w:jc w:val="center"/>
              <w:rPr>
                <w:rFonts w:ascii="宋体" w:hAnsi="宋体" w:cs="宋体"/>
                <w:color w:val="000000"/>
                <w:kern w:val="0"/>
                <w:sz w:val="22"/>
                <w:szCs w:val="22"/>
              </w:rPr>
            </w:pPr>
          </w:p>
        </w:tc>
      </w:tr>
    </w:tbl>
    <w:p>
      <w:pPr>
        <w:spacing w:line="360" w:lineRule="auto"/>
        <w:ind w:firstLine="560" w:firstLineChars="200"/>
        <w:rPr>
          <w:rFonts w:ascii="仿宋_GB2312" w:eastAsia="仿宋_GB2312" w:hAnsi="宋体" w:hint="eastAsia"/>
          <w:sz w:val="28"/>
          <w:szCs w:val="28"/>
        </w:rPr>
      </w:pPr>
      <w:r>
        <w:rPr>
          <w:rFonts w:ascii="仿宋_GB2312" w:eastAsia="仿宋_GB2312" w:hAnsi="宋体" w:hint="eastAsia"/>
          <w:sz w:val="28"/>
          <w:szCs w:val="28"/>
        </w:rPr>
        <w:t>（1）界址点、界址线外业调查</w:t>
      </w:r>
    </w:p>
    <w:p>
      <w:pPr>
        <w:spacing w:line="360" w:lineRule="auto"/>
        <w:ind w:firstLine="560" w:firstLineChars="200"/>
        <w:rPr>
          <w:rFonts w:ascii="仿宋_GB2312" w:eastAsia="仿宋_GB2312" w:hAnsi="宋体" w:hint="eastAsia"/>
          <w:sz w:val="28"/>
          <w:szCs w:val="28"/>
        </w:rPr>
      </w:pPr>
      <w:r>
        <w:rPr>
          <w:rFonts w:ascii="仿宋_GB2312" w:eastAsia="仿宋_GB2312" w:hAnsi="宋体" w:hint="eastAsia"/>
          <w:sz w:val="28"/>
          <w:szCs w:val="28"/>
        </w:rPr>
        <w:t xml:space="preserve"> 实地调查（包括村指界）标定界址点位置，或采用GPS定位技术实测界址点坐标，需要重新指界的应同时组织开展。实测界址点坐标有困难的，可采用文字注记法，即：用界址点四周的明显地物、地貌，描述界址点的准确位置及权属界线走向，将核实后的界址点位置标绘在工作底图上。</w:t>
      </w:r>
    </w:p>
    <w:p>
      <w:pPr>
        <w:spacing w:line="360" w:lineRule="auto"/>
        <w:ind w:firstLine="560" w:firstLineChars="200"/>
        <w:rPr>
          <w:rFonts w:ascii="仿宋_GB2312" w:eastAsia="仿宋_GB2312" w:hAnsi="宋体" w:hint="eastAsia"/>
          <w:sz w:val="28"/>
          <w:szCs w:val="28"/>
        </w:rPr>
        <w:sectPr>
          <w:headerReference w:type="even" r:id="rId169"/>
          <w:headerReference w:type="default" r:id="rId170"/>
          <w:footerReference w:type="even" r:id="rId171"/>
          <w:footerReference w:type="default" r:id="rId172"/>
          <w:headerReference w:type="first" r:id="rId173"/>
          <w:footerReference w:type="first" r:id="rId174"/>
          <w:type w:val="nextPage"/>
          <w:pgSz w:w="11906" w:h="16838"/>
          <w:pgMar w:top="1440" w:right="1800" w:bottom="1440" w:left="1800" w:header="851" w:footer="992" w:gutter="0"/>
          <w:pgNumType w:start="26"/>
          <w:cols w:space="708"/>
          <w:titlePg w:val="0"/>
          <w:docGrid w:type="lines" w:linePitch="312" w:charSpace="0"/>
        </w:sectPr>
      </w:pPr>
    </w:p>
    <w:p>
      <w:pPr>
        <w:spacing w:line="360" w:lineRule="auto"/>
        <w:ind w:firstLine="560" w:firstLineChars="200"/>
        <w:rPr>
          <w:rFonts w:ascii="仿宋_GB2312" w:eastAsia="仿宋_GB2312" w:hAnsi="宋体" w:hint="eastAsia"/>
          <w:sz w:val="28"/>
          <w:szCs w:val="28"/>
        </w:rPr>
      </w:pPr>
      <w:r>
        <w:rPr>
          <w:rFonts w:ascii="仿宋_GB2312" w:eastAsia="仿宋_GB2312" w:hAnsi="宋体" w:hint="eastAsia"/>
          <w:sz w:val="28"/>
          <w:szCs w:val="28"/>
        </w:rPr>
        <w:t>界址线位置按实地调查结果准确标绘。当界线沿堤、坎、道路、沟渠等线状地物行走时，应分清是沿中线还是边线，调查清楚界标物的归属（国有、双方共有、一方所有）。当工作底图上的权属界线沿河流或者道路中线走向的，要开展补充调查，并将土地权属界线按土地权利人实际所有位置重新进行标绘，补充调查表中描述界址变化的情况。</w:t>
      </w:r>
    </w:p>
    <w:p>
      <w:pPr>
        <w:spacing w:line="360" w:lineRule="auto"/>
        <w:ind w:firstLine="560" w:firstLineChars="200"/>
        <w:rPr>
          <w:rFonts w:ascii="仿宋_GB2312" w:eastAsia="仿宋_GB2312" w:hAnsi="宋体" w:hint="eastAsia"/>
          <w:sz w:val="28"/>
          <w:szCs w:val="28"/>
        </w:rPr>
      </w:pPr>
      <w:r>
        <w:rPr>
          <w:rFonts w:ascii="仿宋_GB2312" w:eastAsia="仿宋_GB2312" w:hAnsi="宋体" w:hint="eastAsia"/>
          <w:sz w:val="28"/>
          <w:szCs w:val="28"/>
        </w:rPr>
        <w:t>（2）飞地和国有地外业调查</w:t>
      </w:r>
    </w:p>
    <w:p>
      <w:pPr>
        <w:spacing w:line="360" w:lineRule="auto"/>
        <w:ind w:firstLine="560" w:firstLineChars="200"/>
        <w:rPr>
          <w:rFonts w:ascii="仿宋_GB2312" w:eastAsia="仿宋_GB2312" w:hAnsi="宋体" w:hint="eastAsia"/>
          <w:sz w:val="28"/>
          <w:szCs w:val="28"/>
        </w:rPr>
      </w:pPr>
      <w:r>
        <w:rPr>
          <w:rFonts w:ascii="仿宋_GB2312" w:eastAsia="仿宋_GB2312" w:hAnsi="宋体" w:hint="eastAsia"/>
          <w:sz w:val="28"/>
          <w:szCs w:val="28"/>
        </w:rPr>
        <w:t>外业核实本村宗地内飞入地和国有地的</w:t>
      </w:r>
      <w:r>
        <w:rPr>
          <w:rFonts w:ascii="仿宋_GB2312" w:eastAsia="仿宋_GB2312" w:hAnsi="宋体" w:cs="宋体" w:hint="eastAsia"/>
          <w:kern w:val="0"/>
          <w:sz w:val="28"/>
          <w:szCs w:val="28"/>
        </w:rPr>
        <w:t>数量、界线走势、面积等，权属界线变更或飞地面积未剔出的，开展补充调查，</w:t>
      </w:r>
      <w:r>
        <w:rPr>
          <w:rFonts w:ascii="仿宋_GB2312" w:eastAsia="仿宋_GB2312" w:hAnsi="宋体" w:hint="eastAsia"/>
          <w:sz w:val="28"/>
          <w:szCs w:val="28"/>
        </w:rPr>
        <w:t>或本权属单位在别的宗地内有飞出地存在，如果飞入地所在权利人指界配合不顺畅的，</w:t>
      </w:r>
      <w:r>
        <w:rPr>
          <w:rFonts w:ascii="仿宋_GB2312" w:eastAsia="仿宋_GB2312" w:hAnsi="宋体" w:cs="宋体" w:hint="eastAsia"/>
          <w:kern w:val="0"/>
          <w:sz w:val="28"/>
          <w:szCs w:val="28"/>
        </w:rPr>
        <w:t>填写</w:t>
      </w:r>
      <w:r>
        <w:rPr>
          <w:rFonts w:ascii="宋体" w:hAnsi="宋体" w:cs="宋体" w:hint="eastAsia"/>
          <w:kern w:val="0"/>
          <w:sz w:val="28"/>
          <w:szCs w:val="28"/>
        </w:rPr>
        <w:t>**</w:t>
      </w:r>
      <w:r>
        <w:rPr>
          <w:rFonts w:ascii="仿宋_GB2312" w:eastAsia="仿宋_GB2312" w:hAnsi="宋体" w:cs="宋体" w:hint="eastAsia"/>
          <w:kern w:val="0"/>
          <w:sz w:val="28"/>
          <w:szCs w:val="28"/>
        </w:rPr>
        <w:t>村飞出地调查情况表记录</w:t>
      </w:r>
      <w:r>
        <w:rPr>
          <w:rFonts w:ascii="仿宋_GB2312" w:eastAsia="仿宋_GB2312" w:hAnsi="宋体" w:hint="eastAsia"/>
          <w:sz w:val="28"/>
          <w:szCs w:val="28"/>
        </w:rPr>
        <w:t>以</w:t>
      </w:r>
      <w:r>
        <w:rPr>
          <w:rFonts w:ascii="仿宋_GB2312" w:eastAsia="仿宋_GB2312" w:hAnsi="宋体" w:cs="宋体" w:hint="eastAsia"/>
          <w:kern w:val="0"/>
          <w:sz w:val="28"/>
          <w:szCs w:val="28"/>
        </w:rPr>
        <w:t>防错漏。飞地由乡、镇政府召集法定代表人在乡镇所在地集中指界，若</w:t>
      </w:r>
      <w:r>
        <w:rPr>
          <w:rFonts w:ascii="仿宋_GB2312" w:eastAsia="仿宋_GB2312" w:hAnsi="宋体" w:hint="eastAsia"/>
          <w:sz w:val="28"/>
          <w:szCs w:val="28"/>
        </w:rPr>
        <w:t>双方无异议，则认可调查结果，有异议的则由飞入方共同重新指界。</w:t>
      </w:r>
    </w:p>
    <w:tbl>
      <w:tblPr>
        <w:tblStyle w:val="TableNormal"/>
        <w:tblW w:w="9191" w:type="dxa"/>
        <w:jc w:val="center"/>
        <w:tblInd w:w="93" w:type="dxa"/>
        <w:tblCellMar>
          <w:top w:w="0" w:type="dxa"/>
          <w:left w:w="108" w:type="dxa"/>
          <w:bottom w:w="0" w:type="dxa"/>
          <w:right w:w="108" w:type="dxa"/>
        </w:tblCellMar>
        <w:tblLook w:val="0000"/>
      </w:tblPr>
      <w:tblGrid>
        <w:gridCol w:w="1182"/>
        <w:gridCol w:w="2090"/>
        <w:gridCol w:w="1431"/>
        <w:gridCol w:w="1393"/>
        <w:gridCol w:w="1878"/>
        <w:gridCol w:w="1217"/>
      </w:tblGrid>
      <w:tr>
        <w:tblPrEx>
          <w:tblW w:w="9191" w:type="dxa"/>
          <w:jc w:val="center"/>
          <w:tblInd w:w="93" w:type="dxa"/>
          <w:tblCellMar>
            <w:top w:w="0" w:type="dxa"/>
            <w:left w:w="108" w:type="dxa"/>
            <w:bottom w:w="0" w:type="dxa"/>
            <w:right w:w="108" w:type="dxa"/>
          </w:tblCellMar>
          <w:tblLook w:val="0000"/>
        </w:tblPrEx>
        <w:trPr>
          <w:trHeight w:val="735"/>
          <w:jc w:val="center"/>
        </w:trPr>
        <w:tc>
          <w:tcPr>
            <w:tcW w:w="9191" w:type="dxa"/>
            <w:gridSpan w:val="6"/>
            <w:tcBorders>
              <w:top w:val="nil"/>
              <w:left w:val="nil"/>
              <w:bottom w:val="single" w:sz="4" w:space="0" w:color="auto"/>
              <w:right w:val="nil"/>
            </w:tcBorders>
            <w:noWrap/>
          </w:tcPr>
          <w:p>
            <w:pPr>
              <w:widowControl/>
              <w:jc w:val="center"/>
              <w:rPr>
                <w:rFonts w:ascii="黑体" w:eastAsia="黑体" w:hAnsi="宋体" w:cs="宋体"/>
                <w:kern w:val="0"/>
                <w:sz w:val="28"/>
                <w:szCs w:val="28"/>
              </w:rPr>
            </w:pPr>
            <w:r>
              <w:rPr>
                <w:rFonts w:ascii="黑体" w:eastAsia="黑体" w:hAnsi="宋体" w:cs="宋体" w:hint="eastAsia"/>
                <w:kern w:val="0"/>
                <w:sz w:val="28"/>
                <w:szCs w:val="28"/>
                <w:u w:val="single"/>
              </w:rPr>
              <w:t xml:space="preserve">          </w:t>
            </w:r>
            <w:r>
              <w:rPr>
                <w:rFonts w:ascii="黑体" w:eastAsia="黑体" w:hAnsi="宋体" w:cs="宋体" w:hint="eastAsia"/>
                <w:kern w:val="0"/>
                <w:sz w:val="28"/>
                <w:szCs w:val="28"/>
              </w:rPr>
              <w:t>村飞出地调查情况表</w:t>
            </w:r>
          </w:p>
        </w:tc>
      </w:tr>
      <w:tr>
        <w:tblPrEx>
          <w:tblW w:w="9191" w:type="dxa"/>
          <w:jc w:val="center"/>
          <w:tblInd w:w="93" w:type="dxa"/>
          <w:tblCellMar>
            <w:top w:w="0" w:type="dxa"/>
            <w:left w:w="108" w:type="dxa"/>
            <w:bottom w:w="0" w:type="dxa"/>
            <w:right w:w="108" w:type="dxa"/>
          </w:tblCellMar>
          <w:tblLook w:val="0000"/>
        </w:tblPrEx>
        <w:trPr>
          <w:trHeight w:val="735"/>
          <w:jc w:val="center"/>
        </w:trPr>
        <w:tc>
          <w:tcPr>
            <w:tcW w:w="1182" w:type="dxa"/>
            <w:tcBorders>
              <w:top w:val="nil"/>
              <w:left w:val="single" w:sz="4" w:space="0" w:color="auto"/>
              <w:bottom w:val="single" w:sz="4" w:space="0" w:color="auto"/>
              <w:right w:val="single" w:sz="4" w:space="0" w:color="auto"/>
            </w:tcBorders>
            <w:vAlign w:val="center"/>
          </w:tcPr>
          <w:p>
            <w:pPr>
              <w:widowControl/>
              <w:jc w:val="center"/>
              <w:rPr>
                <w:rFonts w:ascii="宋体" w:hAnsi="宋体" w:cs="宋体"/>
                <w:kern w:val="0"/>
                <w:sz w:val="24"/>
              </w:rPr>
            </w:pPr>
            <w:r>
              <w:rPr>
                <w:rFonts w:ascii="宋体" w:hAnsi="宋体" w:cs="宋体" w:hint="eastAsia"/>
                <w:kern w:val="0"/>
                <w:sz w:val="24"/>
              </w:rPr>
              <w:t>编号</w:t>
            </w:r>
          </w:p>
        </w:tc>
        <w:tc>
          <w:tcPr>
            <w:tcW w:w="2090" w:type="dxa"/>
            <w:tcBorders>
              <w:top w:val="nil"/>
              <w:left w:val="nil"/>
              <w:bottom w:val="single" w:sz="4" w:space="0" w:color="auto"/>
              <w:right w:val="single" w:sz="4" w:space="0" w:color="auto"/>
            </w:tcBorders>
            <w:vAlign w:val="center"/>
          </w:tcPr>
          <w:p>
            <w:pPr>
              <w:widowControl/>
              <w:jc w:val="center"/>
              <w:rPr>
                <w:rFonts w:ascii="宋体" w:eastAsia="宋体" w:hAnsi="宋体" w:cs="宋体" w:hint="eastAsia"/>
                <w:kern w:val="0"/>
                <w:sz w:val="24"/>
              </w:rPr>
            </w:pPr>
            <w:r>
              <w:rPr>
                <w:rFonts w:ascii="宋体" w:hAnsi="宋体" w:cs="宋体" w:hint="eastAsia"/>
                <w:kern w:val="0"/>
                <w:sz w:val="24"/>
              </w:rPr>
              <w:t>飞出地所在</w:t>
            </w:r>
          </w:p>
          <w:p>
            <w:pPr>
              <w:widowControl/>
              <w:jc w:val="center"/>
              <w:rPr>
                <w:rFonts w:ascii="宋体" w:hAnsi="宋体" w:cs="宋体"/>
                <w:kern w:val="0"/>
                <w:sz w:val="24"/>
              </w:rPr>
            </w:pPr>
            <w:r>
              <w:rPr>
                <w:rFonts w:ascii="宋体" w:hAnsi="宋体" w:cs="宋体" w:hint="eastAsia"/>
                <w:kern w:val="0"/>
                <w:sz w:val="24"/>
              </w:rPr>
              <w:t xml:space="preserve"> 行政村</w:t>
            </w:r>
          </w:p>
        </w:tc>
        <w:tc>
          <w:tcPr>
            <w:tcW w:w="1431" w:type="dxa"/>
            <w:tcBorders>
              <w:top w:val="nil"/>
              <w:left w:val="nil"/>
              <w:bottom w:val="single" w:sz="4" w:space="0" w:color="auto"/>
              <w:right w:val="single" w:sz="4" w:space="0" w:color="auto"/>
            </w:tcBorders>
            <w:vAlign w:val="center"/>
          </w:tcPr>
          <w:p>
            <w:pPr>
              <w:widowControl/>
              <w:jc w:val="center"/>
              <w:rPr>
                <w:rFonts w:ascii="宋体" w:hAnsi="宋体" w:cs="宋体"/>
                <w:kern w:val="0"/>
                <w:sz w:val="24"/>
              </w:rPr>
            </w:pPr>
            <w:r>
              <w:rPr>
                <w:rFonts w:ascii="宋体" w:hAnsi="宋体" w:cs="宋体" w:hint="eastAsia"/>
                <w:kern w:val="0"/>
                <w:sz w:val="24"/>
              </w:rPr>
              <w:t>现状地类</w:t>
            </w:r>
          </w:p>
        </w:tc>
        <w:tc>
          <w:tcPr>
            <w:tcW w:w="1393" w:type="dxa"/>
            <w:tcBorders>
              <w:top w:val="nil"/>
              <w:left w:val="nil"/>
              <w:bottom w:val="single" w:sz="4" w:space="0" w:color="auto"/>
              <w:right w:val="single" w:sz="4" w:space="0" w:color="auto"/>
            </w:tcBorders>
            <w:vAlign w:val="center"/>
          </w:tcPr>
          <w:p>
            <w:pPr>
              <w:widowControl/>
              <w:jc w:val="center"/>
              <w:rPr>
                <w:rFonts w:ascii="宋体" w:hAnsi="宋体" w:cs="宋体"/>
                <w:kern w:val="0"/>
                <w:sz w:val="24"/>
              </w:rPr>
            </w:pPr>
            <w:r>
              <w:rPr>
                <w:rFonts w:ascii="宋体" w:hAnsi="宋体" w:cs="宋体" w:hint="eastAsia"/>
                <w:kern w:val="0"/>
                <w:sz w:val="24"/>
              </w:rPr>
              <w:t>面积：亩  （大约）</w:t>
            </w:r>
          </w:p>
        </w:tc>
        <w:tc>
          <w:tcPr>
            <w:tcW w:w="1878" w:type="dxa"/>
            <w:tcBorders>
              <w:top w:val="nil"/>
              <w:left w:val="nil"/>
              <w:bottom w:val="single" w:sz="4" w:space="0" w:color="auto"/>
              <w:right w:val="single" w:sz="4" w:space="0" w:color="auto"/>
            </w:tcBorders>
            <w:vAlign w:val="center"/>
          </w:tcPr>
          <w:p>
            <w:pPr>
              <w:widowControl/>
              <w:jc w:val="center"/>
              <w:rPr>
                <w:rFonts w:ascii="宋体" w:hAnsi="宋体" w:cs="宋体"/>
                <w:kern w:val="0"/>
                <w:sz w:val="24"/>
              </w:rPr>
            </w:pPr>
            <w:r>
              <w:rPr>
                <w:rFonts w:ascii="宋体" w:hAnsi="宋体" w:cs="宋体" w:hint="eastAsia"/>
                <w:kern w:val="0"/>
                <w:sz w:val="24"/>
              </w:rPr>
              <w:t>坐落地名</w:t>
            </w:r>
          </w:p>
        </w:tc>
        <w:tc>
          <w:tcPr>
            <w:tcW w:w="1217" w:type="dxa"/>
            <w:tcBorders>
              <w:top w:val="nil"/>
              <w:left w:val="nil"/>
              <w:bottom w:val="single" w:sz="4" w:space="0" w:color="auto"/>
              <w:right w:val="single" w:sz="4" w:space="0" w:color="auto"/>
            </w:tcBorders>
            <w:vAlign w:val="center"/>
          </w:tcPr>
          <w:p>
            <w:pPr>
              <w:widowControl/>
              <w:jc w:val="center"/>
              <w:rPr>
                <w:rFonts w:ascii="宋体" w:hAnsi="宋体" w:cs="宋体"/>
                <w:kern w:val="0"/>
                <w:sz w:val="24"/>
              </w:rPr>
            </w:pPr>
            <w:r>
              <w:rPr>
                <w:rFonts w:ascii="宋体" w:hAnsi="宋体" w:cs="宋体" w:hint="eastAsia"/>
                <w:kern w:val="0"/>
                <w:sz w:val="24"/>
              </w:rPr>
              <w:t>备注</w:t>
            </w:r>
          </w:p>
        </w:tc>
      </w:tr>
      <w:tr>
        <w:tblPrEx>
          <w:tblW w:w="9191" w:type="dxa"/>
          <w:jc w:val="center"/>
          <w:tblInd w:w="93" w:type="dxa"/>
          <w:tblCellMar>
            <w:top w:w="0" w:type="dxa"/>
            <w:left w:w="108" w:type="dxa"/>
            <w:bottom w:w="0" w:type="dxa"/>
            <w:right w:w="108" w:type="dxa"/>
          </w:tblCellMar>
          <w:tblLook w:val="0000"/>
        </w:tblPrEx>
        <w:trPr>
          <w:trHeight w:val="555"/>
          <w:jc w:val="center"/>
        </w:trPr>
        <w:tc>
          <w:tcPr>
            <w:tcW w:w="1182" w:type="dxa"/>
            <w:tcBorders>
              <w:top w:val="nil"/>
              <w:left w:val="single" w:sz="4" w:space="0" w:color="auto"/>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2090"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431"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393"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878"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217"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r>
      <w:tr>
        <w:tblPrEx>
          <w:tblW w:w="9191" w:type="dxa"/>
          <w:jc w:val="center"/>
          <w:tblInd w:w="93" w:type="dxa"/>
          <w:tblCellMar>
            <w:top w:w="0" w:type="dxa"/>
            <w:left w:w="108" w:type="dxa"/>
            <w:bottom w:w="0" w:type="dxa"/>
            <w:right w:w="108" w:type="dxa"/>
          </w:tblCellMar>
          <w:tblLook w:val="0000"/>
        </w:tblPrEx>
        <w:trPr>
          <w:trHeight w:val="555"/>
          <w:jc w:val="center"/>
        </w:trPr>
        <w:tc>
          <w:tcPr>
            <w:tcW w:w="1182" w:type="dxa"/>
            <w:tcBorders>
              <w:top w:val="nil"/>
              <w:left w:val="single" w:sz="4" w:space="0" w:color="auto"/>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2090"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431"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393"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878"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217"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r>
      <w:tr>
        <w:tblPrEx>
          <w:tblW w:w="9191" w:type="dxa"/>
          <w:jc w:val="center"/>
          <w:tblInd w:w="93" w:type="dxa"/>
          <w:tblCellMar>
            <w:top w:w="0" w:type="dxa"/>
            <w:left w:w="108" w:type="dxa"/>
            <w:bottom w:w="0" w:type="dxa"/>
            <w:right w:w="108" w:type="dxa"/>
          </w:tblCellMar>
          <w:tblLook w:val="0000"/>
        </w:tblPrEx>
        <w:trPr>
          <w:trHeight w:val="555"/>
          <w:jc w:val="center"/>
        </w:trPr>
        <w:tc>
          <w:tcPr>
            <w:tcW w:w="1182" w:type="dxa"/>
            <w:tcBorders>
              <w:top w:val="nil"/>
              <w:left w:val="single" w:sz="4" w:space="0" w:color="auto"/>
              <w:bottom w:val="single" w:sz="4" w:space="0" w:color="auto"/>
              <w:right w:val="single" w:sz="4" w:space="0" w:color="auto"/>
            </w:tcBorders>
            <w:noWrap/>
            <w:vAlign w:val="bottom"/>
          </w:tcPr>
          <w:p>
            <w:pPr>
              <w:widowControl/>
              <w:jc w:val="left"/>
              <w:rPr>
                <w:rFonts w:ascii="宋体" w:hAnsi="宋体" w:cs="宋体" w:hint="eastAsia"/>
                <w:kern w:val="0"/>
                <w:sz w:val="24"/>
              </w:rPr>
            </w:pPr>
          </w:p>
        </w:tc>
        <w:tc>
          <w:tcPr>
            <w:tcW w:w="2090" w:type="dxa"/>
            <w:tcBorders>
              <w:top w:val="nil"/>
              <w:left w:val="nil"/>
              <w:bottom w:val="single" w:sz="4" w:space="0" w:color="auto"/>
              <w:right w:val="single" w:sz="4" w:space="0" w:color="auto"/>
            </w:tcBorders>
            <w:noWrap/>
            <w:vAlign w:val="bottom"/>
          </w:tcPr>
          <w:p>
            <w:pPr>
              <w:widowControl/>
              <w:jc w:val="left"/>
              <w:rPr>
                <w:rFonts w:ascii="宋体" w:hAnsi="宋体" w:cs="宋体" w:hint="eastAsia"/>
                <w:kern w:val="0"/>
                <w:sz w:val="24"/>
              </w:rPr>
            </w:pPr>
          </w:p>
        </w:tc>
        <w:tc>
          <w:tcPr>
            <w:tcW w:w="1431" w:type="dxa"/>
            <w:tcBorders>
              <w:top w:val="nil"/>
              <w:left w:val="nil"/>
              <w:bottom w:val="single" w:sz="4" w:space="0" w:color="auto"/>
              <w:right w:val="single" w:sz="4" w:space="0" w:color="auto"/>
            </w:tcBorders>
            <w:noWrap/>
            <w:vAlign w:val="bottom"/>
          </w:tcPr>
          <w:p>
            <w:pPr>
              <w:widowControl/>
              <w:jc w:val="left"/>
              <w:rPr>
                <w:rFonts w:ascii="宋体" w:hAnsi="宋体" w:cs="宋体" w:hint="eastAsia"/>
                <w:kern w:val="0"/>
                <w:sz w:val="24"/>
              </w:rPr>
            </w:pPr>
          </w:p>
        </w:tc>
        <w:tc>
          <w:tcPr>
            <w:tcW w:w="1393" w:type="dxa"/>
            <w:tcBorders>
              <w:top w:val="nil"/>
              <w:left w:val="nil"/>
              <w:bottom w:val="single" w:sz="4" w:space="0" w:color="auto"/>
              <w:right w:val="single" w:sz="4" w:space="0" w:color="auto"/>
            </w:tcBorders>
            <w:noWrap/>
            <w:vAlign w:val="bottom"/>
          </w:tcPr>
          <w:p>
            <w:pPr>
              <w:widowControl/>
              <w:jc w:val="left"/>
              <w:rPr>
                <w:rFonts w:ascii="宋体" w:hAnsi="宋体" w:cs="宋体" w:hint="eastAsia"/>
                <w:kern w:val="0"/>
                <w:sz w:val="24"/>
              </w:rPr>
            </w:pPr>
          </w:p>
        </w:tc>
        <w:tc>
          <w:tcPr>
            <w:tcW w:w="1878" w:type="dxa"/>
            <w:tcBorders>
              <w:top w:val="nil"/>
              <w:left w:val="nil"/>
              <w:bottom w:val="single" w:sz="4" w:space="0" w:color="auto"/>
              <w:right w:val="single" w:sz="4" w:space="0" w:color="auto"/>
            </w:tcBorders>
            <w:noWrap/>
            <w:vAlign w:val="bottom"/>
          </w:tcPr>
          <w:p>
            <w:pPr>
              <w:widowControl/>
              <w:jc w:val="left"/>
              <w:rPr>
                <w:rFonts w:ascii="宋体" w:hAnsi="宋体" w:cs="宋体" w:hint="eastAsia"/>
                <w:kern w:val="0"/>
                <w:sz w:val="24"/>
              </w:rPr>
            </w:pPr>
          </w:p>
        </w:tc>
        <w:tc>
          <w:tcPr>
            <w:tcW w:w="1217" w:type="dxa"/>
            <w:tcBorders>
              <w:top w:val="nil"/>
              <w:left w:val="nil"/>
              <w:bottom w:val="single" w:sz="4" w:space="0" w:color="auto"/>
              <w:right w:val="single" w:sz="4" w:space="0" w:color="auto"/>
            </w:tcBorders>
            <w:noWrap/>
            <w:vAlign w:val="bottom"/>
          </w:tcPr>
          <w:p>
            <w:pPr>
              <w:widowControl/>
              <w:jc w:val="left"/>
              <w:rPr>
                <w:rFonts w:ascii="宋体" w:hAnsi="宋体" w:cs="宋体" w:hint="eastAsia"/>
                <w:kern w:val="0"/>
                <w:sz w:val="24"/>
              </w:rPr>
            </w:pPr>
          </w:p>
        </w:tc>
      </w:tr>
      <w:tr>
        <w:tblPrEx>
          <w:tblW w:w="9191" w:type="dxa"/>
          <w:jc w:val="center"/>
          <w:tblInd w:w="93" w:type="dxa"/>
          <w:tblCellMar>
            <w:top w:w="0" w:type="dxa"/>
            <w:left w:w="108" w:type="dxa"/>
            <w:bottom w:w="0" w:type="dxa"/>
            <w:right w:w="108" w:type="dxa"/>
          </w:tblCellMar>
          <w:tblLook w:val="0000"/>
        </w:tblPrEx>
        <w:trPr>
          <w:trHeight w:val="555"/>
          <w:jc w:val="center"/>
        </w:trPr>
        <w:tc>
          <w:tcPr>
            <w:tcW w:w="1182" w:type="dxa"/>
            <w:tcBorders>
              <w:top w:val="nil"/>
              <w:left w:val="single" w:sz="4" w:space="0" w:color="auto"/>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2090"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431"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393"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878"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217"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r>
      <w:tr>
        <w:tblPrEx>
          <w:tblW w:w="9191" w:type="dxa"/>
          <w:jc w:val="center"/>
          <w:tblInd w:w="93" w:type="dxa"/>
          <w:tblCellMar>
            <w:top w:w="0" w:type="dxa"/>
            <w:left w:w="108" w:type="dxa"/>
            <w:bottom w:w="0" w:type="dxa"/>
            <w:right w:w="108" w:type="dxa"/>
          </w:tblCellMar>
          <w:tblLook w:val="0000"/>
        </w:tblPrEx>
        <w:trPr>
          <w:trHeight w:val="555"/>
          <w:jc w:val="center"/>
        </w:trPr>
        <w:tc>
          <w:tcPr>
            <w:tcW w:w="1182" w:type="dxa"/>
            <w:tcBorders>
              <w:top w:val="nil"/>
              <w:left w:val="single" w:sz="4" w:space="0" w:color="auto"/>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2090"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431"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393"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878"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c>
          <w:tcPr>
            <w:tcW w:w="1217" w:type="dxa"/>
            <w:tcBorders>
              <w:top w:val="nil"/>
              <w:left w:val="nil"/>
              <w:bottom w:val="single" w:sz="4" w:space="0" w:color="auto"/>
              <w:right w:val="single" w:sz="4" w:space="0" w:color="auto"/>
            </w:tcBorders>
            <w:noWrap/>
            <w:vAlign w:val="bottom"/>
          </w:tcPr>
          <w:p>
            <w:pPr>
              <w:widowControl/>
              <w:jc w:val="left"/>
              <w:rPr>
                <w:rFonts w:ascii="宋体" w:hAnsi="宋体" w:cs="宋体"/>
                <w:kern w:val="0"/>
                <w:sz w:val="24"/>
              </w:rPr>
            </w:pPr>
            <w:r>
              <w:rPr>
                <w:rFonts w:ascii="宋体" w:hAnsi="宋体" w:cs="宋体" w:hint="eastAsia"/>
                <w:kern w:val="0"/>
                <w:sz w:val="24"/>
              </w:rPr>
              <w:t>　</w:t>
            </w:r>
          </w:p>
        </w:tc>
      </w:tr>
    </w:tbl>
    <w:p>
      <w:pPr>
        <w:spacing w:before="156" w:beforeLines="50" w:after="156" w:afterLines="50"/>
        <w:ind w:firstLine="5180" w:firstLineChars="1850"/>
        <w:rPr>
          <w:rFonts w:ascii="仿宋_GB2312" w:eastAsia="仿宋_GB2312" w:hAnsi="宋体" w:hint="eastAsia"/>
          <w:sz w:val="24"/>
          <w:szCs w:val="28"/>
        </w:rPr>
      </w:pPr>
      <w:r>
        <w:rPr>
          <w:rFonts w:ascii="仿宋_GB2312" w:eastAsia="仿宋_GB2312" w:hAnsi="宋体" w:hint="eastAsia"/>
          <w:sz w:val="28"/>
          <w:szCs w:val="28"/>
        </w:rPr>
        <w:t xml:space="preserve">   </w:t>
      </w:r>
      <w:r>
        <w:rPr>
          <w:rFonts w:ascii="仿宋_GB2312" w:eastAsia="仿宋_GB2312" w:hAnsi="宋体" w:hint="eastAsia"/>
          <w:sz w:val="24"/>
          <w:szCs w:val="28"/>
        </w:rPr>
        <w:t xml:space="preserve">  </w:t>
      </w:r>
      <w:r>
        <w:rPr>
          <w:rFonts w:ascii="仿宋_GB2312" w:eastAsia="仿宋_GB2312" w:hAnsi="宋体" w:hint="eastAsia"/>
          <w:sz w:val="24"/>
          <w:szCs w:val="28"/>
          <w:u w:val="single"/>
        </w:rPr>
        <w:t xml:space="preserve">         </w:t>
      </w:r>
      <w:r>
        <w:rPr>
          <w:rFonts w:ascii="仿宋_GB2312" w:eastAsia="仿宋_GB2312" w:hAnsi="宋体" w:hint="eastAsia"/>
          <w:sz w:val="24"/>
          <w:szCs w:val="28"/>
        </w:rPr>
        <w:t>村（签章）</w:t>
      </w:r>
    </w:p>
    <w:p>
      <w:pPr>
        <w:ind w:right="560"/>
        <w:jc w:val="right"/>
        <w:rPr>
          <w:rFonts w:ascii="仿宋_GB2312" w:eastAsia="仿宋_GB2312" w:hAnsi="宋体" w:hint="eastAsia"/>
          <w:sz w:val="24"/>
          <w:szCs w:val="28"/>
        </w:rPr>
      </w:pPr>
      <w:r>
        <w:rPr>
          <w:rFonts w:ascii="仿宋_GB2312" w:eastAsia="仿宋_GB2312" w:hAnsi="宋体" w:hint="eastAsia"/>
          <w:sz w:val="24"/>
          <w:szCs w:val="28"/>
        </w:rPr>
        <w:t>年  月  日</w:t>
      </w:r>
    </w:p>
    <w:p>
      <w:pPr>
        <w:spacing w:line="360" w:lineRule="auto"/>
        <w:ind w:firstLine="560" w:firstLineChars="200"/>
        <w:rPr>
          <w:rFonts w:ascii="仿宋_GB2312" w:eastAsia="仿宋_GB2312" w:hAnsi="宋体" w:hint="eastAsia"/>
          <w:sz w:val="28"/>
          <w:szCs w:val="28"/>
        </w:rPr>
      </w:pPr>
      <w:r>
        <w:rPr>
          <w:rFonts w:ascii="仿宋_GB2312" w:eastAsia="仿宋_GB2312" w:hAnsi="宋体" w:hint="eastAsia"/>
          <w:sz w:val="28"/>
          <w:szCs w:val="28"/>
        </w:rPr>
        <w:t>对尚未确权登记又无具体使用者的国有公路、铁路、水库、河流等，按大田县变更后的土地利用数据库相关地类图斑界线</w:t>
      </w:r>
      <w:r>
        <w:rPr>
          <w:rFonts w:ascii="仿宋_GB2312" w:eastAsia="仿宋_GB2312" w:hAnsi="宋体" w:hint="eastAsia"/>
          <w:sz w:val="28"/>
          <w:szCs w:val="28"/>
          <w:lang w:val="en-US" w:eastAsia="zh-CN"/>
        </w:rPr>
        <w:t>核实</w:t>
      </w:r>
      <w:r>
        <w:rPr>
          <w:rFonts w:ascii="仿宋_GB2312" w:eastAsia="仿宋_GB2312" w:hAnsi="宋体" w:hint="eastAsia"/>
          <w:sz w:val="28"/>
          <w:szCs w:val="28"/>
        </w:rPr>
        <w:t>。</w:t>
      </w:r>
    </w:p>
    <w:p>
      <w:pPr>
        <w:spacing w:line="360" w:lineRule="auto"/>
        <w:ind w:firstLine="560" w:firstLineChars="200"/>
        <w:rPr>
          <w:rFonts w:ascii="仿宋_GB2312" w:eastAsia="仿宋_GB2312" w:hAnsi="宋体" w:hint="eastAsia"/>
          <w:sz w:val="28"/>
          <w:szCs w:val="28"/>
        </w:rPr>
      </w:pPr>
      <w:r>
        <w:rPr>
          <w:rFonts w:ascii="仿宋_GB2312" w:eastAsia="仿宋_GB2312" w:hAnsi="宋体" w:hint="eastAsia"/>
          <w:sz w:val="28"/>
          <w:szCs w:val="28"/>
        </w:rPr>
        <w:br/>
      </w:r>
      <w:r>
        <w:rPr>
          <w:rFonts w:ascii="仿宋_GB2312" w:eastAsia="仿宋_GB2312"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5" w:history="1">
        <w:r>
          <w:rPr>
            <w:rFonts w:ascii="SimSun" w:eastAsia="SimSun" w:hAnsi="SimSun" w:cs="SimSun"/>
            <w:b/>
            <w:bCs/>
            <w:color w:val="0000EE"/>
            <w:kern w:val="0"/>
            <w:sz w:val="30"/>
            <w:szCs w:val="30"/>
            <w:u w:val="single" w:color="0000EE"/>
          </w:rPr>
          <w:t>https://d.book118.com/927061106163006054</w:t>
        </w:r>
      </w:hyperlink>
    </w:p>
    <w:p>
      <w:pPr>
        <w:spacing w:line="360" w:lineRule="auto"/>
        <w:ind w:firstLine="560" w:firstLineChars="200"/>
        <w:rPr>
          <w:rFonts w:ascii="仿宋_GB2312" w:eastAsia="仿宋_GB2312" w:hAnsi="宋体" w:hint="eastAsia"/>
          <w:sz w:val="28"/>
          <w:szCs w:val="28"/>
        </w:rPr>
      </w:pPr>
    </w:p>
    <w:sectPr>
      <w:headerReference w:type="even" r:id="rId176"/>
      <w:headerReference w:type="default" r:id="rId177"/>
      <w:footerReference w:type="even" r:id="rId178"/>
      <w:footerReference w:type="default" r:id="rId179"/>
      <w:headerReference w:type="first" r:id="rId180"/>
      <w:footerReference w:type="first" r:id="rId181"/>
      <w:type w:val="nextPage"/>
      <w:pgSz w:w="11906" w:h="16838"/>
      <w:pgMar w:top="1440" w:right="1800" w:bottom="1440" w:left="1800" w:header="851" w:footer="992" w:gutter="0"/>
      <w:pgNumType w:start="27"/>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401FF" w:csb1="FFFF0000"/>
  </w:font>
  <w:font w:name="宋体">
    <w:panose1 w:val="02010600030101010101"/>
    <w:charset w:val="86"/>
    <w:family w:val="auto"/>
    <w:pitch w:val="default"/>
    <w:sig w:usb0="000000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黑体">
    <w:panose1 w:val="02010609060101010101"/>
    <w:charset w:val="86"/>
    <w:family w:val="auto"/>
    <w:pitch w:val="default"/>
    <w:sig w:usb0="800002BF" w:usb1="38CF7CFA" w:usb2="00000016" w:usb3="00000000" w:csb0="00040001" w:csb1="0000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 w:name="Century">
    <w:altName w:val="Times New Roman"/>
    <w:panose1 w:val="02040604050505020304"/>
    <w:charset w:val="00"/>
    <w:family w:val="roman"/>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1"/>
    <w:family w:val="swiss"/>
    <w:pitch w:val="default"/>
    <w:sig w:usb0="E0002EFF" w:usb1="C000785B" w:usb2="00000009" w:usb3="00000000" w:csb0="400001FF" w:csb1="FFFF0000"/>
  </w:font>
  <w:font w:name="方正小标宋_GBK">
    <w:altName w:val="微软雅黑"/>
    <w:panose1 w:val="00000000000000000000"/>
    <w:charset w:val="86"/>
    <w:family w:val="auto"/>
    <w:pitch w:val="default"/>
    <w:sig w:usb0="00000000" w:usb1="00000000" w:usb2="00082016" w:usb3="00000000" w:csb0="00040001" w:csb1="00000000"/>
  </w:font>
  <w:font w:name="华文中宋">
    <w:altName w:val="宋体"/>
    <w:panose1 w:val="02010600040101010101"/>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p>
    <w:pPr>
      <w:pStyle w:val="Footer"/>
      <w:tabs>
        <w:tab w:val="center" w:pos="4153"/>
        <w:tab w:val="right" w:pos="8306"/>
      </w:tabs>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p>
    <w:pPr>
      <w:pStyle w:val="Footer"/>
      <w:tabs>
        <w:tab w:val="center" w:pos="4153"/>
        <w:tab w:val="right" w:pos="8306"/>
      </w:tabs>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p>
    <w:pPr>
      <w:pStyle w:val="Footer"/>
      <w:tabs>
        <w:tab w:val="center" w:pos="4153"/>
        <w:tab w:val="right" w:pos="8306"/>
      </w:tabs>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p>
    <w:pPr>
      <w:pStyle w:val="Footer"/>
      <w:tabs>
        <w:tab w:val="center" w:pos="4153"/>
        <w:tab w:val="right" w:pos="8306"/>
      </w:tabs>
      <w:jc w:val="cen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w:t>
                </w:r>
                <w: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3</w:t>
                </w:r>
                <w: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4</w:t>
                </w:r>
                <w: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6</w:t>
                </w:r>
                <w: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6</w:t>
                </w:r>
                <w:r>
                  <w:fldChar w:fldCharType="end"/>
                </w:r>
              </w:p>
            </w:txbxContent>
          </v:textbox>
          <w10:wrap anchorx="margin"/>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7</w:t>
                </w:r>
                <w:r>
                  <w:fldChar w:fldCharType="end"/>
                </w:r>
              </w:p>
            </w:txbxContent>
          </v:textbox>
          <w10:wrap anchorx="margin"/>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9</w:t>
                </w:r>
                <w:r>
                  <w:fldChar w:fldCharType="end"/>
                </w:r>
              </w:p>
            </w:txbxContent>
          </v:textbox>
          <w10:wrap anchorx="margin"/>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9</w:t>
                </w:r>
                <w:r>
                  <w:fldChar w:fldCharType="end"/>
                </w:r>
              </w:p>
            </w:txbxContent>
          </v:textbox>
          <w10:wrap anchorx="margin"/>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10</w:t>
                </w:r>
                <w:r>
                  <w:fldChar w:fldCharType="end"/>
                </w:r>
              </w:p>
            </w:txbxContent>
          </v:textbox>
          <w10:wrap anchorx="margin"/>
        </v:shape>
      </w:pic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12</w:t>
                </w:r>
                <w:r>
                  <w:fldChar w:fldCharType="end"/>
                </w:r>
              </w:p>
            </w:txbxContent>
          </v:textbox>
          <w10:wrap anchorx="margin"/>
        </v:shape>
      </w:pic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12</w:t>
                </w:r>
                <w:r>
                  <w:fldChar w:fldCharType="end"/>
                </w:r>
              </w:p>
            </w:txbxContent>
          </v:textbox>
          <w10:wrap anchorx="margin"/>
        </v:shape>
      </w:pic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61"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13</w:t>
                </w:r>
                <w:r>
                  <w:fldChar w:fldCharType="end"/>
                </w:r>
              </w:p>
            </w:txbxContent>
          </v:textbox>
          <w10:wrap anchorx="margin"/>
        </v:shape>
      </w:pic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62"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14</w:t>
                </w:r>
                <w:r>
                  <w:fldChar w:fldCharType="end"/>
                </w:r>
              </w:p>
            </w:txbxContent>
          </v:textbox>
          <w10:wrap anchorx="margin"/>
        </v:shape>
      </w:pic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63"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15</w:t>
                </w:r>
                <w:r>
                  <w:fldChar w:fldCharType="end"/>
                </w:r>
              </w:p>
            </w:txbxContent>
          </v:textbox>
          <w10:wrap anchorx="margin"/>
        </v:shape>
      </w:pic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64"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17</w:t>
                </w:r>
                <w:r>
                  <w:fldChar w:fldCharType="end"/>
                </w:r>
              </w:p>
            </w:txbxContent>
          </v:textbox>
          <w10:wrap anchorx="margin"/>
        </v:shape>
      </w:pic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6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17</w:t>
                </w:r>
                <w:r>
                  <w:fldChar w:fldCharType="end"/>
                </w:r>
              </w:p>
            </w:txbxContent>
          </v:textbox>
          <w10:wrap anchorx="margin"/>
        </v:shape>
      </w:pic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66"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18</w:t>
                </w:r>
                <w:r>
                  <w:fldChar w:fldCharType="end"/>
                </w:r>
              </w:p>
            </w:txbxContent>
          </v:textbox>
          <w10:wrap anchorx="margin"/>
        </v:shape>
      </w:pict>
    </w: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67"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20</w:t>
                </w:r>
                <w:r>
                  <w:fldChar w:fldCharType="end"/>
                </w:r>
              </w:p>
            </w:txbxContent>
          </v:textbox>
          <w10:wrap anchorx="margin"/>
        </v:shape>
      </w:pic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68"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20</w:t>
                </w:r>
                <w:r>
                  <w:fldChar w:fldCharType="end"/>
                </w:r>
              </w:p>
            </w:txbxContent>
          </v:textbox>
          <w10:wrap anchorx="margin"/>
        </v:shape>
      </w:pict>
    </w: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69"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21</w:t>
                </w:r>
                <w:r>
                  <w:fldChar w:fldCharType="end"/>
                </w:r>
              </w:p>
            </w:txbxContent>
          </v:textbox>
          <w10:wrap anchorx="margin"/>
        </v:shape>
      </w:pict>
    </w: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7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23</w:t>
                </w:r>
                <w:r>
                  <w:fldChar w:fldCharType="end"/>
                </w:r>
              </w:p>
            </w:txbxContent>
          </v:textbox>
          <w10:wrap anchorx="margin"/>
        </v:shape>
      </w:pict>
    </w: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71"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24</w:t>
                </w:r>
                <w:r>
                  <w:fldChar w:fldCharType="end"/>
                </w:r>
              </w:p>
            </w:txbxContent>
          </v:textbox>
          <w10:wrap anchorx="margin"/>
        </v:shape>
      </w:pict>
    </w: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72"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25</w:t>
                </w:r>
                <w:r>
                  <w:fldChar w:fldCharType="end"/>
                </w:r>
              </w:p>
            </w:txbxContent>
          </v:textbox>
          <w10:wrap anchorx="margin"/>
        </v:shape>
      </w:pict>
    </w: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73"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25</w:t>
                </w:r>
                <w:r>
                  <w:fldChar w:fldCharType="end"/>
                </w:r>
              </w:p>
            </w:txbxContent>
          </v:textbox>
          <w10:wrap anchorx="margin"/>
        </v:shape>
      </w:pict>
    </w: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74"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26</w:t>
                </w:r>
                <w:r>
                  <w:fldChar w:fldCharType="end"/>
                </w:r>
              </w:p>
            </w:txbxContent>
          </v:textbox>
          <w10:wrap anchorx="margin"/>
        </v:shape>
      </w:pict>
    </w: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1026" o:spid="_x0000_s2075"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28</w:t>
                </w:r>
                <w:r>
                  <w:fldChar w:fldCharType="end"/>
                </w:r>
              </w:p>
            </w:txbxContent>
          </v:textbox>
          <w10:wrap anchorx="margin"/>
        </v:shape>
      </w:pict>
    </w: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203531"/>
    <w:multiLevelType w:val="singleLevel"/>
    <w:tmpl w:val="B2203531"/>
    <w:lvl w:ilvl="0">
      <w:start w:val="9"/>
      <w:numFmt w:val="chineseCounting"/>
      <w:suff w:val="nothing"/>
      <w:lvlText w:val="%1、"/>
      <w:lvlJc w:val="left"/>
      <w:rPr>
        <w:rFonts w:hint="eastAsia"/>
      </w:rPr>
    </w:lvl>
  </w:abstractNum>
  <w:abstractNum w:abstractNumId="1">
    <w:nsid w:val="1FC91163"/>
    <w:multiLevelType w:val="multilevel"/>
    <w:tmpl w:val="1FC91163"/>
    <w:lvl w:ilvl="0">
      <w:start w:val="1"/>
      <w:numFmt w:val="decimal"/>
      <w:suff w:val="nothing"/>
      <w:lvlText w:val="%1　"/>
      <w:lvlJc w:val="left"/>
      <w:rPr>
        <w:rFonts w:ascii="黑体" w:eastAsia="黑体" w:hAnsi="Times New Roman" w:cs="Times New Roman" w:hint="eastAsia"/>
        <w:b w:val="0"/>
        <w:i w:val="0"/>
        <w:sz w:val="21"/>
        <w:szCs w:val="21"/>
      </w:rPr>
    </w:lvl>
    <w:lvl w:ilvl="1">
      <w:start w:val="1"/>
      <w:numFmt w:val="decimal"/>
      <w:suff w:val="nothing"/>
      <w:lvlText w:val="%1.%2　"/>
      <w:lvlJc w:val="left"/>
      <w:rPr>
        <w:rFonts w:ascii="黑体" w:eastAsia="黑体" w:hAnsi="Times New Roman" w:cs="Times New Roman" w:hint="eastAsia"/>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start w:val="1"/>
      <w:numFmt w:val="decimal"/>
      <w:suff w:val="nothing"/>
      <w:lvlText w:val="%1.%2.%3　"/>
      <w:lvlJc w:val="left"/>
      <w:rPr>
        <w:rFonts w:ascii="黑体" w:eastAsia="黑体" w:hAnsi="Times New Roman" w:cs="Times New Roman" w:hint="eastAsia"/>
        <w:b w:val="0"/>
        <w:i w:val="0"/>
        <w:sz w:val="21"/>
      </w:rPr>
    </w:lvl>
    <w:lvl w:ilvl="3">
      <w:start w:val="1"/>
      <w:numFmt w:val="decimal"/>
      <w:suff w:val="nothing"/>
      <w:lvlText w:val="%1.%2.%3.%4　"/>
      <w:lvlJc w:val="left"/>
      <w:rPr>
        <w:rFonts w:ascii="黑体" w:eastAsia="黑体" w:hAnsi="Times New Roman" w:cs="Times New Roman" w:hint="eastAsia"/>
        <w:b w:val="0"/>
        <w:i w:val="0"/>
        <w:sz w:val="21"/>
      </w:rPr>
    </w:lvl>
    <w:lvl w:ilvl="4">
      <w:start w:val="1"/>
      <w:numFmt w:val="decimal"/>
      <w:suff w:val="nothing"/>
      <w:lvlText w:val="%1.%2.%3.%4.%5　"/>
      <w:lvlJc w:val="left"/>
      <w:rPr>
        <w:rFonts w:ascii="黑体" w:eastAsia="黑体" w:hAnsi="Times New Roman" w:cs="Times New Roman" w:hint="eastAsia"/>
        <w:b w:val="0"/>
        <w:i w:val="0"/>
        <w:sz w:val="21"/>
      </w:rPr>
    </w:lvl>
    <w:lvl w:ilvl="5">
      <w:start w:val="1"/>
      <w:numFmt w:val="decimal"/>
      <w:suff w:val="nothing"/>
      <w:lvlText w:val="%1.%2.%3.%4.%5.%6　"/>
      <w:lvlJc w:val="left"/>
      <w:rPr>
        <w:rFonts w:ascii="黑体" w:eastAsia="黑体" w:hAnsi="Times New Roman" w:cs="Times New Roman" w:hint="eastAsia"/>
        <w:b w:val="0"/>
        <w:i w:val="0"/>
        <w:sz w:val="21"/>
      </w:rPr>
    </w:lvl>
    <w:lvl w:ilvl="6">
      <w:start w:val="1"/>
      <w:numFmt w:val="decimal"/>
      <w:suff w:val="nothing"/>
      <w:lvlText w:val="%1%2.%3.%4.%5.%6.%7　"/>
      <w:lvlJc w:val="left"/>
      <w:rPr>
        <w:rFonts w:ascii="黑体" w:eastAsia="黑体" w:hAnsi="Times New Roman" w:cs="Times New Roman" w:hint="eastAsia"/>
        <w:b w:val="0"/>
        <w:i w:val="0"/>
        <w:sz w:val="21"/>
      </w:rPr>
    </w:lvl>
    <w:lvl w:ilvl="7">
      <w:start w:val="1"/>
      <w:numFmt w:val="decimal"/>
      <w:lvlText w:val="%1.%2.%3.%4.%5.%6.%7.%8"/>
      <w:lvlJc w:val="left"/>
      <w:pPr>
        <w:tabs>
          <w:tab w:val="num" w:pos="4351"/>
        </w:tabs>
        <w:ind w:left="3969" w:hanging="1418"/>
      </w:pPr>
      <w:rPr>
        <w:rFonts w:cs="Times New Roman" w:hint="eastAsia"/>
      </w:rPr>
    </w:lvl>
    <w:lvl w:ilvl="8">
      <w:start w:val="1"/>
      <w:numFmt w:val="decimal"/>
      <w:lvlText w:val="%1.%2.%3.%4.%5.%6.%7.%8.%9"/>
      <w:lvlJc w:val="left"/>
      <w:pPr>
        <w:tabs>
          <w:tab w:val="num" w:pos="4777"/>
        </w:tabs>
        <w:ind w:left="4677" w:hanging="1700"/>
      </w:pPr>
      <w:rPr>
        <w:rFonts w:cs="Times New Roman" w:hint="eastAsia"/>
      </w:rPr>
    </w:lvl>
  </w:abstractNum>
  <w:abstractNum w:abstractNumId="2">
    <w:nsid w:val="2C5917C3"/>
    <w:multiLevelType w:val="multilevel"/>
    <w:tmpl w:val="2C5917C3"/>
    <w:lvl w:ilvl="0">
      <w:start w:val="1"/>
      <w:numFmt w:val="none"/>
      <w:suff w:val="nothing"/>
      <w:lvlText w:val="%1——"/>
      <w:lvlJc w:val="left"/>
      <w:pPr>
        <w:ind w:left="833" w:hanging="408"/>
      </w:pPr>
      <w:rPr>
        <w:rFonts w:cs="Times New Roman" w:hint="eastAsia"/>
      </w:rPr>
    </w:lvl>
    <w:lvl w:ilvl="1">
      <w:start w:val="1"/>
      <w:numFmt w:val="bullet"/>
      <w:lvlText w:val=""/>
      <w:lvlJc w:val="left"/>
      <w:pPr>
        <w:tabs>
          <w:tab w:val="num" w:pos="760"/>
        </w:tabs>
        <w:ind w:left="1264" w:hanging="413"/>
      </w:pPr>
      <w:rPr>
        <w:rFonts w:ascii="Symbol" w:hAnsi="Symbol" w:hint="default"/>
        <w:color w:val="auto"/>
      </w:rPr>
    </w:lvl>
    <w:lvl w:ilvl="2">
      <w:start w:val="1"/>
      <w:numFmt w:val="bullet"/>
      <w:lvlText w:val=""/>
      <w:lvlJc w:val="left"/>
      <w:pPr>
        <w:tabs>
          <w:tab w:val="num" w:pos="1678"/>
        </w:tabs>
        <w:ind w:left="1678" w:hanging="414"/>
      </w:pPr>
      <w:rPr>
        <w:rFonts w:ascii="Symbol" w:hAnsi="Symbol" w:hint="default"/>
        <w:color w:val="auto"/>
      </w:rPr>
    </w:lvl>
    <w:lvl w:ilvl="3">
      <w:start w:val="1"/>
      <w:numFmt w:val="decimal"/>
      <w:lvlText w:val="%4."/>
      <w:lvlJc w:val="left"/>
      <w:pPr>
        <w:tabs>
          <w:tab w:val="num" w:pos="2071"/>
        </w:tabs>
        <w:ind w:left="1884" w:hanging="528"/>
      </w:pPr>
      <w:rPr>
        <w:rFonts w:cs="Times New Roman" w:hint="eastAsia"/>
      </w:rPr>
    </w:lvl>
    <w:lvl w:ilvl="4">
      <w:start w:val="1"/>
      <w:numFmt w:val="lowerLetter"/>
      <w:lvlText w:val="%5)"/>
      <w:lvlJc w:val="left"/>
      <w:pPr>
        <w:tabs>
          <w:tab w:val="num" w:pos="2383"/>
        </w:tabs>
        <w:ind w:left="2196" w:hanging="528"/>
      </w:pPr>
      <w:rPr>
        <w:rFonts w:cs="Times New Roman" w:hint="eastAsia"/>
      </w:rPr>
    </w:lvl>
    <w:lvl w:ilvl="5">
      <w:start w:val="1"/>
      <w:numFmt w:val="lowerRoman"/>
      <w:lvlText w:val="%6."/>
      <w:lvlJc w:val="right"/>
      <w:pPr>
        <w:tabs>
          <w:tab w:val="num" w:pos="2695"/>
        </w:tabs>
        <w:ind w:left="2508" w:hanging="528"/>
      </w:pPr>
      <w:rPr>
        <w:rFonts w:cs="Times New Roman" w:hint="eastAsia"/>
      </w:rPr>
    </w:lvl>
    <w:lvl w:ilvl="6">
      <w:start w:val="1"/>
      <w:numFmt w:val="decimal"/>
      <w:lvlText w:val="%7."/>
      <w:lvlJc w:val="left"/>
      <w:pPr>
        <w:tabs>
          <w:tab w:val="num" w:pos="3007"/>
        </w:tabs>
        <w:ind w:left="2820" w:hanging="528"/>
      </w:pPr>
      <w:rPr>
        <w:rFonts w:cs="Times New Roman" w:hint="eastAsia"/>
      </w:rPr>
    </w:lvl>
    <w:lvl w:ilvl="7">
      <w:start w:val="1"/>
      <w:numFmt w:val="lowerLetter"/>
      <w:lvlText w:val="%8)"/>
      <w:lvlJc w:val="left"/>
      <w:pPr>
        <w:tabs>
          <w:tab w:val="num" w:pos="3319"/>
        </w:tabs>
        <w:ind w:left="3132" w:hanging="528"/>
      </w:pPr>
      <w:rPr>
        <w:rFonts w:cs="Times New Roman" w:hint="eastAsia"/>
      </w:rPr>
    </w:lvl>
    <w:lvl w:ilvl="8">
      <w:start w:val="1"/>
      <w:numFmt w:val="lowerRoman"/>
      <w:lvlText w:val="%9."/>
      <w:lvlJc w:val="right"/>
      <w:pPr>
        <w:tabs>
          <w:tab w:val="num" w:pos="3631"/>
        </w:tabs>
        <w:ind w:left="3444" w:hanging="528"/>
      </w:pPr>
      <w:rPr>
        <w:rFonts w:cs="Times New Roman" w:hint="eastAsia"/>
      </w:rPr>
    </w:lvl>
  </w:abstractNum>
  <w:abstractNum w:abstractNumId="3">
    <w:nsid w:val="496E4D7B"/>
    <w:multiLevelType w:val="multilevel"/>
    <w:tmpl w:val="496E4D7B"/>
    <w:lvl w:ilvl="0">
      <w:start w:val="1"/>
      <w:numFmt w:val="none"/>
      <w:lvlText w:val="%1注"/>
      <w:lvlJc w:val="left"/>
      <w:pPr>
        <w:tabs>
          <w:tab w:val="num" w:pos="900"/>
        </w:tabs>
        <w:ind w:left="900" w:hanging="500"/>
      </w:pPr>
      <w:rPr>
        <w:rFonts w:ascii="宋体" w:eastAsia="宋体" w:hAnsi="Times New Roman" w:hint="eastAsia"/>
        <w:b w:val="0"/>
        <w:i w:val="0"/>
        <w:sz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646260FA"/>
    <w:multiLevelType w:val="multilevel"/>
    <w:tmpl w:val="646260FA"/>
    <w:lvl w:ilvl="0">
      <w:start w:val="1"/>
      <w:numFmt w:val="decimal"/>
      <w:suff w:val="nothing"/>
      <w:lvlText w:val="表%1　"/>
      <w:lvlJc w:val="left"/>
      <w:pPr>
        <w:ind w:left="2127" w:firstLine="0"/>
      </w:pPr>
      <w:rPr>
        <w:rFonts w:ascii="黑体" w:eastAsia="黑体" w:hAnsi="Times New Roman" w:hint="eastAsia"/>
        <w:b w:val="0"/>
        <w:i w:val="0"/>
        <w:sz w:val="21"/>
      </w:rPr>
    </w:lvl>
    <w:lvl w:ilvl="1">
      <w:start w:val="1"/>
      <w:numFmt w:val="decimal"/>
      <w:lvlText w:val="%1.%2"/>
      <w:lvlJc w:val="left"/>
      <w:pPr>
        <w:tabs>
          <w:tab w:val="num" w:pos="3119"/>
        </w:tabs>
        <w:ind w:left="3119" w:hanging="567"/>
      </w:pPr>
      <w:rPr>
        <w:rFonts w:hint="eastAsia"/>
      </w:rPr>
    </w:lvl>
    <w:lvl w:ilvl="2">
      <w:start w:val="1"/>
      <w:numFmt w:val="decimal"/>
      <w:lvlText w:val="%1.%2.%3"/>
      <w:lvlJc w:val="left"/>
      <w:pPr>
        <w:tabs>
          <w:tab w:val="num" w:pos="3545"/>
        </w:tabs>
        <w:ind w:left="3545" w:hanging="567"/>
      </w:pPr>
      <w:rPr>
        <w:rFonts w:hint="eastAsia"/>
      </w:rPr>
    </w:lvl>
    <w:lvl w:ilvl="3">
      <w:start w:val="1"/>
      <w:numFmt w:val="decimal"/>
      <w:lvlText w:val="%1.%2.%3.%4"/>
      <w:lvlJc w:val="left"/>
      <w:pPr>
        <w:tabs>
          <w:tab w:val="num" w:pos="4111"/>
        </w:tabs>
        <w:ind w:left="4111" w:hanging="708"/>
      </w:pPr>
      <w:rPr>
        <w:rFonts w:hint="eastAsia"/>
      </w:rPr>
    </w:lvl>
    <w:lvl w:ilvl="4">
      <w:start w:val="1"/>
      <w:numFmt w:val="decimal"/>
      <w:lvlText w:val="%1.%2.%3.%4.%5"/>
      <w:lvlJc w:val="left"/>
      <w:pPr>
        <w:tabs>
          <w:tab w:val="num" w:pos="4678"/>
        </w:tabs>
        <w:ind w:left="4678" w:hanging="850"/>
      </w:pPr>
      <w:rPr>
        <w:rFonts w:hint="eastAsia"/>
      </w:rPr>
    </w:lvl>
    <w:lvl w:ilvl="5">
      <w:start w:val="1"/>
      <w:numFmt w:val="decimal"/>
      <w:lvlText w:val="%1.%2.%3.%4.%5.%6"/>
      <w:lvlJc w:val="left"/>
      <w:pPr>
        <w:tabs>
          <w:tab w:val="num" w:pos="5387"/>
        </w:tabs>
        <w:ind w:left="5387" w:hanging="1134"/>
      </w:pPr>
      <w:rPr>
        <w:rFonts w:hint="eastAsia"/>
      </w:rPr>
    </w:lvl>
    <w:lvl w:ilvl="6">
      <w:start w:val="1"/>
      <w:numFmt w:val="decimal"/>
      <w:lvlText w:val="%1.%2.%3.%4.%5.%6.%7"/>
      <w:lvlJc w:val="left"/>
      <w:pPr>
        <w:tabs>
          <w:tab w:val="num" w:pos="5954"/>
        </w:tabs>
        <w:ind w:left="5954" w:hanging="1276"/>
      </w:pPr>
      <w:rPr>
        <w:rFonts w:hint="eastAsia"/>
      </w:rPr>
    </w:lvl>
    <w:lvl w:ilvl="7">
      <w:start w:val="1"/>
      <w:numFmt w:val="decimal"/>
      <w:lvlText w:val="%1.%2.%3.%4.%5.%6.%7.%8"/>
      <w:lvlJc w:val="left"/>
      <w:pPr>
        <w:tabs>
          <w:tab w:val="num" w:pos="6521"/>
        </w:tabs>
        <w:ind w:left="6521" w:hanging="1418"/>
      </w:pPr>
      <w:rPr>
        <w:rFonts w:hint="eastAsia"/>
      </w:rPr>
    </w:lvl>
    <w:lvl w:ilvl="8">
      <w:start w:val="1"/>
      <w:numFmt w:val="decimal"/>
      <w:lvlText w:val="%1.%2.%3.%4.%5.%6.%7.%8.%9"/>
      <w:lvlJc w:val="left"/>
      <w:pPr>
        <w:tabs>
          <w:tab w:val="num" w:pos="7229"/>
        </w:tabs>
        <w:ind w:left="7229" w:hanging="1700"/>
      </w:pPr>
      <w:rPr>
        <w:rFonts w:hint="eastAsia"/>
      </w:rPr>
    </w:lvl>
  </w:abstractNum>
  <w:abstractNum w:abstractNumId="5">
    <w:nsid w:val="6DBF04F4"/>
    <w:multiLevelType w:val="multilevel"/>
    <w:tmpl w:val="6DBF04F4"/>
    <w:lvl w:ilvl="0">
      <w:start w:val="1"/>
      <w:numFmt w:val="none"/>
      <w:lvlText w:val="%1注："/>
      <w:lvlJc w:val="left"/>
      <w:pPr>
        <w:tabs>
          <w:tab w:val="num" w:pos="1140"/>
        </w:tabs>
        <w:ind w:left="840" w:hanging="420"/>
      </w:pPr>
      <w:rPr>
        <w:rFonts w:ascii="宋体" w:eastAsia="宋体" w:hAnsi="Times New Roman" w:hint="eastAsia"/>
        <w:b w:val="0"/>
        <w:i w:val="0"/>
        <w:sz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2"/>
  </w:num>
  <w:num w:numId="3">
    <w:abstractNumId w:val="4"/>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2693"/>
    <w:rsid w:val="00006EB5"/>
    <w:rsid w:val="00007A12"/>
    <w:rsid w:val="0001207F"/>
    <w:rsid w:val="00012D12"/>
    <w:rsid w:val="00013B03"/>
    <w:rsid w:val="00015B9B"/>
    <w:rsid w:val="00016ADF"/>
    <w:rsid w:val="00020E49"/>
    <w:rsid w:val="0002134D"/>
    <w:rsid w:val="00021AC3"/>
    <w:rsid w:val="000225C6"/>
    <w:rsid w:val="0002289B"/>
    <w:rsid w:val="00022D42"/>
    <w:rsid w:val="0003058B"/>
    <w:rsid w:val="00030D2F"/>
    <w:rsid w:val="000314E3"/>
    <w:rsid w:val="00032C73"/>
    <w:rsid w:val="000337CD"/>
    <w:rsid w:val="000347FC"/>
    <w:rsid w:val="00035B17"/>
    <w:rsid w:val="00037C94"/>
    <w:rsid w:val="00040C23"/>
    <w:rsid w:val="00043FCA"/>
    <w:rsid w:val="0005178F"/>
    <w:rsid w:val="00052341"/>
    <w:rsid w:val="000526B1"/>
    <w:rsid w:val="00054F69"/>
    <w:rsid w:val="00055084"/>
    <w:rsid w:val="000573DA"/>
    <w:rsid w:val="00057A62"/>
    <w:rsid w:val="00057FBD"/>
    <w:rsid w:val="000624D0"/>
    <w:rsid w:val="00064BDE"/>
    <w:rsid w:val="0006604D"/>
    <w:rsid w:val="00066575"/>
    <w:rsid w:val="00067D46"/>
    <w:rsid w:val="00067EB6"/>
    <w:rsid w:val="00070E13"/>
    <w:rsid w:val="000753DB"/>
    <w:rsid w:val="00075653"/>
    <w:rsid w:val="000773DB"/>
    <w:rsid w:val="000815E3"/>
    <w:rsid w:val="00082E87"/>
    <w:rsid w:val="0008455B"/>
    <w:rsid w:val="00086352"/>
    <w:rsid w:val="00087F80"/>
    <w:rsid w:val="00091C01"/>
    <w:rsid w:val="0009365F"/>
    <w:rsid w:val="000950AA"/>
    <w:rsid w:val="000A0083"/>
    <w:rsid w:val="000A1D9E"/>
    <w:rsid w:val="000A2FEC"/>
    <w:rsid w:val="000A42E1"/>
    <w:rsid w:val="000A5F8D"/>
    <w:rsid w:val="000A6808"/>
    <w:rsid w:val="000C3C98"/>
    <w:rsid w:val="000C3D3F"/>
    <w:rsid w:val="000C4535"/>
    <w:rsid w:val="000C5D04"/>
    <w:rsid w:val="000C6D42"/>
    <w:rsid w:val="000C70A8"/>
    <w:rsid w:val="000C735F"/>
    <w:rsid w:val="000D0975"/>
    <w:rsid w:val="000D1787"/>
    <w:rsid w:val="000D1B60"/>
    <w:rsid w:val="000D2D72"/>
    <w:rsid w:val="000D4FC5"/>
    <w:rsid w:val="000E0D9E"/>
    <w:rsid w:val="000E397E"/>
    <w:rsid w:val="000E404E"/>
    <w:rsid w:val="000E43FB"/>
    <w:rsid w:val="000E444F"/>
    <w:rsid w:val="000E6541"/>
    <w:rsid w:val="000F522A"/>
    <w:rsid w:val="000F729A"/>
    <w:rsid w:val="001025CB"/>
    <w:rsid w:val="00102E08"/>
    <w:rsid w:val="00106437"/>
    <w:rsid w:val="001103B6"/>
    <w:rsid w:val="0011203E"/>
    <w:rsid w:val="0011343A"/>
    <w:rsid w:val="0011354C"/>
    <w:rsid w:val="00114654"/>
    <w:rsid w:val="001150F9"/>
    <w:rsid w:val="00117457"/>
    <w:rsid w:val="001209F1"/>
    <w:rsid w:val="00127735"/>
    <w:rsid w:val="00130699"/>
    <w:rsid w:val="00130924"/>
    <w:rsid w:val="00131E86"/>
    <w:rsid w:val="00135665"/>
    <w:rsid w:val="001410B3"/>
    <w:rsid w:val="0014260D"/>
    <w:rsid w:val="00142C37"/>
    <w:rsid w:val="001434ED"/>
    <w:rsid w:val="00145D65"/>
    <w:rsid w:val="0014795D"/>
    <w:rsid w:val="00147ADB"/>
    <w:rsid w:val="0015296B"/>
    <w:rsid w:val="00156560"/>
    <w:rsid w:val="001578A3"/>
    <w:rsid w:val="0016101E"/>
    <w:rsid w:val="00161DBA"/>
    <w:rsid w:val="00161FE6"/>
    <w:rsid w:val="001620A2"/>
    <w:rsid w:val="001641D1"/>
    <w:rsid w:val="00164C34"/>
    <w:rsid w:val="00164DE5"/>
    <w:rsid w:val="00165646"/>
    <w:rsid w:val="00166F16"/>
    <w:rsid w:val="00167F34"/>
    <w:rsid w:val="00171F3A"/>
    <w:rsid w:val="001731D4"/>
    <w:rsid w:val="00175105"/>
    <w:rsid w:val="00180306"/>
    <w:rsid w:val="0018574C"/>
    <w:rsid w:val="00186B9F"/>
    <w:rsid w:val="001919EB"/>
    <w:rsid w:val="00194AA6"/>
    <w:rsid w:val="0019558A"/>
    <w:rsid w:val="00195CDF"/>
    <w:rsid w:val="00197100"/>
    <w:rsid w:val="0019724C"/>
    <w:rsid w:val="001A0AD7"/>
    <w:rsid w:val="001A1633"/>
    <w:rsid w:val="001A164F"/>
    <w:rsid w:val="001A36EF"/>
    <w:rsid w:val="001A4FCA"/>
    <w:rsid w:val="001A54EA"/>
    <w:rsid w:val="001A5F86"/>
    <w:rsid w:val="001B03CC"/>
    <w:rsid w:val="001B05F2"/>
    <w:rsid w:val="001B2668"/>
    <w:rsid w:val="001B2CC5"/>
    <w:rsid w:val="001B2F9B"/>
    <w:rsid w:val="001B424B"/>
    <w:rsid w:val="001B4742"/>
    <w:rsid w:val="001B50CA"/>
    <w:rsid w:val="001B5918"/>
    <w:rsid w:val="001B76C0"/>
    <w:rsid w:val="001C0293"/>
    <w:rsid w:val="001C22BD"/>
    <w:rsid w:val="001C6405"/>
    <w:rsid w:val="001D044D"/>
    <w:rsid w:val="001D4964"/>
    <w:rsid w:val="001D4A77"/>
    <w:rsid w:val="001D4F2D"/>
    <w:rsid w:val="001D6BA9"/>
    <w:rsid w:val="001D77DC"/>
    <w:rsid w:val="001E46FF"/>
    <w:rsid w:val="001E7773"/>
    <w:rsid w:val="001F0024"/>
    <w:rsid w:val="001F39EA"/>
    <w:rsid w:val="001F682F"/>
    <w:rsid w:val="001F7B28"/>
    <w:rsid w:val="0020086C"/>
    <w:rsid w:val="002009C1"/>
    <w:rsid w:val="00206C18"/>
    <w:rsid w:val="0021040C"/>
    <w:rsid w:val="002116C4"/>
    <w:rsid w:val="00211E96"/>
    <w:rsid w:val="00214F62"/>
    <w:rsid w:val="00216E0D"/>
    <w:rsid w:val="002225E9"/>
    <w:rsid w:val="002247F9"/>
    <w:rsid w:val="00225BA0"/>
    <w:rsid w:val="00226194"/>
    <w:rsid w:val="00226894"/>
    <w:rsid w:val="00230B36"/>
    <w:rsid w:val="00235372"/>
    <w:rsid w:val="00235944"/>
    <w:rsid w:val="0023629A"/>
    <w:rsid w:val="00240085"/>
    <w:rsid w:val="00240386"/>
    <w:rsid w:val="00240D8F"/>
    <w:rsid w:val="00244B43"/>
    <w:rsid w:val="00245DAC"/>
    <w:rsid w:val="002525E0"/>
    <w:rsid w:val="0025439F"/>
    <w:rsid w:val="00257C86"/>
    <w:rsid w:val="00257D5D"/>
    <w:rsid w:val="00263EF3"/>
    <w:rsid w:val="00264876"/>
    <w:rsid w:val="002651D9"/>
    <w:rsid w:val="00266A78"/>
    <w:rsid w:val="00270E14"/>
    <w:rsid w:val="00270F99"/>
    <w:rsid w:val="00271043"/>
    <w:rsid w:val="002725CD"/>
    <w:rsid w:val="00274BE0"/>
    <w:rsid w:val="002767C6"/>
    <w:rsid w:val="002818EC"/>
    <w:rsid w:val="0028351F"/>
    <w:rsid w:val="00284BE8"/>
    <w:rsid w:val="00284D82"/>
    <w:rsid w:val="00285276"/>
    <w:rsid w:val="00285C0D"/>
    <w:rsid w:val="00285C3D"/>
    <w:rsid w:val="00286A5F"/>
    <w:rsid w:val="00287CBA"/>
    <w:rsid w:val="00291079"/>
    <w:rsid w:val="0029291B"/>
    <w:rsid w:val="002942F5"/>
    <w:rsid w:val="002943D9"/>
    <w:rsid w:val="00297CAB"/>
    <w:rsid w:val="002A0DD5"/>
    <w:rsid w:val="002A0E77"/>
    <w:rsid w:val="002A2189"/>
    <w:rsid w:val="002A261C"/>
    <w:rsid w:val="002A3BCC"/>
    <w:rsid w:val="002A3CFE"/>
    <w:rsid w:val="002A4929"/>
    <w:rsid w:val="002A5EDC"/>
    <w:rsid w:val="002A7C30"/>
    <w:rsid w:val="002B03F6"/>
    <w:rsid w:val="002B2D11"/>
    <w:rsid w:val="002B68BB"/>
    <w:rsid w:val="002B75C9"/>
    <w:rsid w:val="002C0C1B"/>
    <w:rsid w:val="002C1CE8"/>
    <w:rsid w:val="002C3BC3"/>
    <w:rsid w:val="002C3DF8"/>
    <w:rsid w:val="002C478B"/>
    <w:rsid w:val="002C5BFE"/>
    <w:rsid w:val="002C6735"/>
    <w:rsid w:val="002C792D"/>
    <w:rsid w:val="002D2A80"/>
    <w:rsid w:val="002D2F48"/>
    <w:rsid w:val="002D4A34"/>
    <w:rsid w:val="002D4DBD"/>
    <w:rsid w:val="002D57B6"/>
    <w:rsid w:val="002D582F"/>
    <w:rsid w:val="002E150D"/>
    <w:rsid w:val="002E4BEA"/>
    <w:rsid w:val="002E547B"/>
    <w:rsid w:val="002E69A4"/>
    <w:rsid w:val="002E7122"/>
    <w:rsid w:val="002F09B8"/>
    <w:rsid w:val="002F14D6"/>
    <w:rsid w:val="002F3171"/>
    <w:rsid w:val="003008D0"/>
    <w:rsid w:val="00304B01"/>
    <w:rsid w:val="00305D08"/>
    <w:rsid w:val="00306399"/>
    <w:rsid w:val="00312880"/>
    <w:rsid w:val="003133B4"/>
    <w:rsid w:val="00313469"/>
    <w:rsid w:val="003136E5"/>
    <w:rsid w:val="00313C29"/>
    <w:rsid w:val="00314086"/>
    <w:rsid w:val="00314BEB"/>
    <w:rsid w:val="003153A9"/>
    <w:rsid w:val="00315E61"/>
    <w:rsid w:val="00317B2C"/>
    <w:rsid w:val="00317F0B"/>
    <w:rsid w:val="00321ADE"/>
    <w:rsid w:val="00321B99"/>
    <w:rsid w:val="00330570"/>
    <w:rsid w:val="003310CA"/>
    <w:rsid w:val="0033168B"/>
    <w:rsid w:val="003318C4"/>
    <w:rsid w:val="0033229E"/>
    <w:rsid w:val="00332FAE"/>
    <w:rsid w:val="00332FCD"/>
    <w:rsid w:val="0033534C"/>
    <w:rsid w:val="00336D7A"/>
    <w:rsid w:val="00337626"/>
    <w:rsid w:val="00347F74"/>
    <w:rsid w:val="00362087"/>
    <w:rsid w:val="00362D44"/>
    <w:rsid w:val="003635E0"/>
    <w:rsid w:val="00364BDA"/>
    <w:rsid w:val="00365655"/>
    <w:rsid w:val="00366770"/>
    <w:rsid w:val="0037283E"/>
    <w:rsid w:val="00374808"/>
    <w:rsid w:val="003760ED"/>
    <w:rsid w:val="00376D00"/>
    <w:rsid w:val="00380F8D"/>
    <w:rsid w:val="00386459"/>
    <w:rsid w:val="00386D9C"/>
    <w:rsid w:val="003953D8"/>
    <w:rsid w:val="003954CE"/>
    <w:rsid w:val="00397167"/>
    <w:rsid w:val="003A24EE"/>
    <w:rsid w:val="003A5081"/>
    <w:rsid w:val="003A5943"/>
    <w:rsid w:val="003A7425"/>
    <w:rsid w:val="003A7ED0"/>
    <w:rsid w:val="003B394E"/>
    <w:rsid w:val="003B4C1D"/>
    <w:rsid w:val="003B4CA5"/>
    <w:rsid w:val="003C060F"/>
    <w:rsid w:val="003C1619"/>
    <w:rsid w:val="003C2694"/>
    <w:rsid w:val="003C33F3"/>
    <w:rsid w:val="003C37AD"/>
    <w:rsid w:val="003C5265"/>
    <w:rsid w:val="003D1F12"/>
    <w:rsid w:val="003D5E37"/>
    <w:rsid w:val="003D6CC0"/>
    <w:rsid w:val="003E1444"/>
    <w:rsid w:val="003E1A37"/>
    <w:rsid w:val="003E4F6A"/>
    <w:rsid w:val="003E5509"/>
    <w:rsid w:val="003E65D1"/>
    <w:rsid w:val="003E7F76"/>
    <w:rsid w:val="003F0391"/>
    <w:rsid w:val="003F07DE"/>
    <w:rsid w:val="003F12FB"/>
    <w:rsid w:val="003F2408"/>
    <w:rsid w:val="003F522A"/>
    <w:rsid w:val="003F59FC"/>
    <w:rsid w:val="003F699E"/>
    <w:rsid w:val="003F7B82"/>
    <w:rsid w:val="00404F4E"/>
    <w:rsid w:val="004104B7"/>
    <w:rsid w:val="004106E3"/>
    <w:rsid w:val="00410B53"/>
    <w:rsid w:val="00415DBB"/>
    <w:rsid w:val="00417B15"/>
    <w:rsid w:val="00422FA4"/>
    <w:rsid w:val="00427418"/>
    <w:rsid w:val="00430138"/>
    <w:rsid w:val="00430DE6"/>
    <w:rsid w:val="004315F1"/>
    <w:rsid w:val="00433855"/>
    <w:rsid w:val="0043626A"/>
    <w:rsid w:val="00441A65"/>
    <w:rsid w:val="0044373E"/>
    <w:rsid w:val="00443D80"/>
    <w:rsid w:val="00444601"/>
    <w:rsid w:val="00444F92"/>
    <w:rsid w:val="00445D71"/>
    <w:rsid w:val="0044710B"/>
    <w:rsid w:val="004474A6"/>
    <w:rsid w:val="004507E0"/>
    <w:rsid w:val="00450838"/>
    <w:rsid w:val="00453C15"/>
    <w:rsid w:val="00453D8B"/>
    <w:rsid w:val="0045541C"/>
    <w:rsid w:val="0045653E"/>
    <w:rsid w:val="0045681C"/>
    <w:rsid w:val="0045706A"/>
    <w:rsid w:val="00466756"/>
    <w:rsid w:val="00470E89"/>
    <w:rsid w:val="004725B5"/>
    <w:rsid w:val="00472B5C"/>
    <w:rsid w:val="00474081"/>
    <w:rsid w:val="00474CC5"/>
    <w:rsid w:val="004759A5"/>
    <w:rsid w:val="004776C5"/>
    <w:rsid w:val="004810DA"/>
    <w:rsid w:val="004836A0"/>
    <w:rsid w:val="00483EAA"/>
    <w:rsid w:val="004853FD"/>
    <w:rsid w:val="00485F24"/>
    <w:rsid w:val="0048774C"/>
    <w:rsid w:val="00491CD2"/>
    <w:rsid w:val="00492C2A"/>
    <w:rsid w:val="004A1686"/>
    <w:rsid w:val="004A2581"/>
    <w:rsid w:val="004A469B"/>
    <w:rsid w:val="004A488C"/>
    <w:rsid w:val="004A76D8"/>
    <w:rsid w:val="004B02CD"/>
    <w:rsid w:val="004B11B5"/>
    <w:rsid w:val="004B444A"/>
    <w:rsid w:val="004B7054"/>
    <w:rsid w:val="004C0769"/>
    <w:rsid w:val="004C1B6D"/>
    <w:rsid w:val="004C2CA5"/>
    <w:rsid w:val="004C6F4A"/>
    <w:rsid w:val="004C75AF"/>
    <w:rsid w:val="004D08EE"/>
    <w:rsid w:val="004D10EF"/>
    <w:rsid w:val="004D1720"/>
    <w:rsid w:val="004D24EA"/>
    <w:rsid w:val="004D2ACC"/>
    <w:rsid w:val="004D3DF2"/>
    <w:rsid w:val="004D6219"/>
    <w:rsid w:val="004D6D5D"/>
    <w:rsid w:val="004E325B"/>
    <w:rsid w:val="004E6306"/>
    <w:rsid w:val="004E6451"/>
    <w:rsid w:val="004E64BC"/>
    <w:rsid w:val="004E691D"/>
    <w:rsid w:val="004E7587"/>
    <w:rsid w:val="004F137E"/>
    <w:rsid w:val="004F2474"/>
    <w:rsid w:val="004F34A3"/>
    <w:rsid w:val="004F4C4B"/>
    <w:rsid w:val="004F63A0"/>
    <w:rsid w:val="004F782F"/>
    <w:rsid w:val="00500740"/>
    <w:rsid w:val="00504B54"/>
    <w:rsid w:val="00505711"/>
    <w:rsid w:val="00505815"/>
    <w:rsid w:val="00507341"/>
    <w:rsid w:val="0051267D"/>
    <w:rsid w:val="0051303C"/>
    <w:rsid w:val="0051654A"/>
    <w:rsid w:val="00521EE5"/>
    <w:rsid w:val="005225E1"/>
    <w:rsid w:val="0052577F"/>
    <w:rsid w:val="005310DF"/>
    <w:rsid w:val="0053121A"/>
    <w:rsid w:val="00531982"/>
    <w:rsid w:val="00531C34"/>
    <w:rsid w:val="00533A2F"/>
    <w:rsid w:val="00534586"/>
    <w:rsid w:val="00535E06"/>
    <w:rsid w:val="00536808"/>
    <w:rsid w:val="00536940"/>
    <w:rsid w:val="00537482"/>
    <w:rsid w:val="00542007"/>
    <w:rsid w:val="00543BE6"/>
    <w:rsid w:val="00545B98"/>
    <w:rsid w:val="00551B91"/>
    <w:rsid w:val="00552189"/>
    <w:rsid w:val="00553960"/>
    <w:rsid w:val="00555151"/>
    <w:rsid w:val="00555270"/>
    <w:rsid w:val="005562F1"/>
    <w:rsid w:val="00563DAE"/>
    <w:rsid w:val="005642A3"/>
    <w:rsid w:val="00566128"/>
    <w:rsid w:val="005703E5"/>
    <w:rsid w:val="00571A4C"/>
    <w:rsid w:val="00572558"/>
    <w:rsid w:val="005749BC"/>
    <w:rsid w:val="0057537D"/>
    <w:rsid w:val="00577D3C"/>
    <w:rsid w:val="005807AC"/>
    <w:rsid w:val="00584863"/>
    <w:rsid w:val="005850D2"/>
    <w:rsid w:val="00586075"/>
    <w:rsid w:val="005900C1"/>
    <w:rsid w:val="00591EED"/>
    <w:rsid w:val="00594766"/>
    <w:rsid w:val="00594839"/>
    <w:rsid w:val="005966E5"/>
    <w:rsid w:val="005969DC"/>
    <w:rsid w:val="00596AEE"/>
    <w:rsid w:val="005978E1"/>
    <w:rsid w:val="005A0117"/>
    <w:rsid w:val="005A3566"/>
    <w:rsid w:val="005A429C"/>
    <w:rsid w:val="005B04C7"/>
    <w:rsid w:val="005B13AF"/>
    <w:rsid w:val="005B45BB"/>
    <w:rsid w:val="005B49E3"/>
    <w:rsid w:val="005B6A31"/>
    <w:rsid w:val="005C0055"/>
    <w:rsid w:val="005C64DB"/>
    <w:rsid w:val="005C7C6C"/>
    <w:rsid w:val="005D3288"/>
    <w:rsid w:val="005D3A01"/>
    <w:rsid w:val="005D3F50"/>
    <w:rsid w:val="005D4FAF"/>
    <w:rsid w:val="005D5F1C"/>
    <w:rsid w:val="005E073E"/>
    <w:rsid w:val="005E72A5"/>
    <w:rsid w:val="005E77B3"/>
    <w:rsid w:val="005F1535"/>
    <w:rsid w:val="005F4E69"/>
    <w:rsid w:val="00601BDF"/>
    <w:rsid w:val="006036A6"/>
    <w:rsid w:val="00603C1F"/>
    <w:rsid w:val="006047AE"/>
    <w:rsid w:val="00606373"/>
    <w:rsid w:val="00606ECC"/>
    <w:rsid w:val="0061005A"/>
    <w:rsid w:val="00611444"/>
    <w:rsid w:val="00611537"/>
    <w:rsid w:val="00612F82"/>
    <w:rsid w:val="006154AA"/>
    <w:rsid w:val="00622E58"/>
    <w:rsid w:val="00624523"/>
    <w:rsid w:val="00626989"/>
    <w:rsid w:val="00631DB4"/>
    <w:rsid w:val="00635956"/>
    <w:rsid w:val="00637012"/>
    <w:rsid w:val="006404EB"/>
    <w:rsid w:val="00641263"/>
    <w:rsid w:val="00641B89"/>
    <w:rsid w:val="006423EC"/>
    <w:rsid w:val="006428A6"/>
    <w:rsid w:val="006440F4"/>
    <w:rsid w:val="006478C6"/>
    <w:rsid w:val="00647F97"/>
    <w:rsid w:val="00652837"/>
    <w:rsid w:val="00653033"/>
    <w:rsid w:val="006538DB"/>
    <w:rsid w:val="00654831"/>
    <w:rsid w:val="00654B38"/>
    <w:rsid w:val="00654C3D"/>
    <w:rsid w:val="00655EAC"/>
    <w:rsid w:val="00657850"/>
    <w:rsid w:val="00660197"/>
    <w:rsid w:val="00660A3F"/>
    <w:rsid w:val="00661F38"/>
    <w:rsid w:val="00662183"/>
    <w:rsid w:val="00663EDE"/>
    <w:rsid w:val="00664235"/>
    <w:rsid w:val="0066441C"/>
    <w:rsid w:val="00665FA0"/>
    <w:rsid w:val="0066771D"/>
    <w:rsid w:val="0067091E"/>
    <w:rsid w:val="006743FD"/>
    <w:rsid w:val="00675B65"/>
    <w:rsid w:val="00677BB9"/>
    <w:rsid w:val="00683992"/>
    <w:rsid w:val="00686489"/>
    <w:rsid w:val="00690366"/>
    <w:rsid w:val="00691AA1"/>
    <w:rsid w:val="00692D94"/>
    <w:rsid w:val="00694230"/>
    <w:rsid w:val="006960CA"/>
    <w:rsid w:val="006A18A3"/>
    <w:rsid w:val="006A6216"/>
    <w:rsid w:val="006A6684"/>
    <w:rsid w:val="006B1442"/>
    <w:rsid w:val="006B3506"/>
    <w:rsid w:val="006B353F"/>
    <w:rsid w:val="006B718C"/>
    <w:rsid w:val="006C606F"/>
    <w:rsid w:val="006D3707"/>
    <w:rsid w:val="006D5F0C"/>
    <w:rsid w:val="006D6953"/>
    <w:rsid w:val="006E2222"/>
    <w:rsid w:val="006E3E9E"/>
    <w:rsid w:val="006E46E6"/>
    <w:rsid w:val="006E5517"/>
    <w:rsid w:val="006E62E8"/>
    <w:rsid w:val="006E6949"/>
    <w:rsid w:val="006F3037"/>
    <w:rsid w:val="006F3181"/>
    <w:rsid w:val="006F373B"/>
    <w:rsid w:val="006F7D8B"/>
    <w:rsid w:val="007001DA"/>
    <w:rsid w:val="00700771"/>
    <w:rsid w:val="00702171"/>
    <w:rsid w:val="00704561"/>
    <w:rsid w:val="0071156C"/>
    <w:rsid w:val="00713539"/>
    <w:rsid w:val="007167E3"/>
    <w:rsid w:val="00716FC9"/>
    <w:rsid w:val="00717AE7"/>
    <w:rsid w:val="00721F35"/>
    <w:rsid w:val="00722151"/>
    <w:rsid w:val="00723B5A"/>
    <w:rsid w:val="00724336"/>
    <w:rsid w:val="00724904"/>
    <w:rsid w:val="007257EA"/>
    <w:rsid w:val="00726ACF"/>
    <w:rsid w:val="00726BAA"/>
    <w:rsid w:val="00727472"/>
    <w:rsid w:val="00727FBD"/>
    <w:rsid w:val="0073183D"/>
    <w:rsid w:val="00732ABD"/>
    <w:rsid w:val="00733CDE"/>
    <w:rsid w:val="00733DC7"/>
    <w:rsid w:val="00734014"/>
    <w:rsid w:val="00734AF8"/>
    <w:rsid w:val="0073507B"/>
    <w:rsid w:val="0073666A"/>
    <w:rsid w:val="0073688D"/>
    <w:rsid w:val="0074339E"/>
    <w:rsid w:val="00744135"/>
    <w:rsid w:val="00745993"/>
    <w:rsid w:val="00747B03"/>
    <w:rsid w:val="0075282F"/>
    <w:rsid w:val="0075579B"/>
    <w:rsid w:val="00756543"/>
    <w:rsid w:val="00764667"/>
    <w:rsid w:val="00764FDE"/>
    <w:rsid w:val="00766D95"/>
    <w:rsid w:val="00767EF8"/>
    <w:rsid w:val="00770C94"/>
    <w:rsid w:val="007719B9"/>
    <w:rsid w:val="00772365"/>
    <w:rsid w:val="00774760"/>
    <w:rsid w:val="00784D03"/>
    <w:rsid w:val="00786ACE"/>
    <w:rsid w:val="00786CF3"/>
    <w:rsid w:val="0078729F"/>
    <w:rsid w:val="00787BC2"/>
    <w:rsid w:val="0079082B"/>
    <w:rsid w:val="00792E31"/>
    <w:rsid w:val="00794300"/>
    <w:rsid w:val="00794809"/>
    <w:rsid w:val="007960A8"/>
    <w:rsid w:val="00797128"/>
    <w:rsid w:val="007A2018"/>
    <w:rsid w:val="007A218E"/>
    <w:rsid w:val="007A3374"/>
    <w:rsid w:val="007A49C2"/>
    <w:rsid w:val="007A4E8D"/>
    <w:rsid w:val="007A6DFF"/>
    <w:rsid w:val="007A722F"/>
    <w:rsid w:val="007B0893"/>
    <w:rsid w:val="007B1962"/>
    <w:rsid w:val="007B2D0E"/>
    <w:rsid w:val="007B3289"/>
    <w:rsid w:val="007B450B"/>
    <w:rsid w:val="007B5877"/>
    <w:rsid w:val="007B587A"/>
    <w:rsid w:val="007B637A"/>
    <w:rsid w:val="007B764F"/>
    <w:rsid w:val="007C0672"/>
    <w:rsid w:val="007C07A2"/>
    <w:rsid w:val="007C128B"/>
    <w:rsid w:val="007C347F"/>
    <w:rsid w:val="007C532A"/>
    <w:rsid w:val="007C6664"/>
    <w:rsid w:val="007C7F3D"/>
    <w:rsid w:val="007D1D07"/>
    <w:rsid w:val="007D4CC3"/>
    <w:rsid w:val="007D5EE6"/>
    <w:rsid w:val="007E0423"/>
    <w:rsid w:val="007E1ABB"/>
    <w:rsid w:val="007E3215"/>
    <w:rsid w:val="007E495E"/>
    <w:rsid w:val="007E4ACF"/>
    <w:rsid w:val="007E661B"/>
    <w:rsid w:val="007F105E"/>
    <w:rsid w:val="007F3A49"/>
    <w:rsid w:val="007F57A4"/>
    <w:rsid w:val="007F6302"/>
    <w:rsid w:val="00800D0A"/>
    <w:rsid w:val="008012F7"/>
    <w:rsid w:val="00801927"/>
    <w:rsid w:val="008025EA"/>
    <w:rsid w:val="00804883"/>
    <w:rsid w:val="0080699D"/>
    <w:rsid w:val="00807D0D"/>
    <w:rsid w:val="00810DCB"/>
    <w:rsid w:val="00814402"/>
    <w:rsid w:val="0081552C"/>
    <w:rsid w:val="0082516C"/>
    <w:rsid w:val="00826C1B"/>
    <w:rsid w:val="0082710C"/>
    <w:rsid w:val="0083169C"/>
    <w:rsid w:val="00831AAC"/>
    <w:rsid w:val="00832046"/>
    <w:rsid w:val="008346ED"/>
    <w:rsid w:val="0083569A"/>
    <w:rsid w:val="00836E2E"/>
    <w:rsid w:val="00837673"/>
    <w:rsid w:val="00841631"/>
    <w:rsid w:val="00843DC5"/>
    <w:rsid w:val="00845F5D"/>
    <w:rsid w:val="00851328"/>
    <w:rsid w:val="00851B2B"/>
    <w:rsid w:val="00851D2D"/>
    <w:rsid w:val="00852A13"/>
    <w:rsid w:val="008546ED"/>
    <w:rsid w:val="0085473B"/>
    <w:rsid w:val="00855189"/>
    <w:rsid w:val="0085595A"/>
    <w:rsid w:val="00857136"/>
    <w:rsid w:val="0085730B"/>
    <w:rsid w:val="00860C12"/>
    <w:rsid w:val="00861EEC"/>
    <w:rsid w:val="008631BA"/>
    <w:rsid w:val="008640F4"/>
    <w:rsid w:val="00865EE1"/>
    <w:rsid w:val="00866523"/>
    <w:rsid w:val="00870774"/>
    <w:rsid w:val="008715D8"/>
    <w:rsid w:val="00871DFC"/>
    <w:rsid w:val="008721C5"/>
    <w:rsid w:val="00874022"/>
    <w:rsid w:val="00875DF6"/>
    <w:rsid w:val="008777DC"/>
    <w:rsid w:val="00882C08"/>
    <w:rsid w:val="00883045"/>
    <w:rsid w:val="008838A1"/>
    <w:rsid w:val="0088566C"/>
    <w:rsid w:val="00886340"/>
    <w:rsid w:val="00886CC6"/>
    <w:rsid w:val="00886E44"/>
    <w:rsid w:val="008903C7"/>
    <w:rsid w:val="00891434"/>
    <w:rsid w:val="008919E0"/>
    <w:rsid w:val="00892092"/>
    <w:rsid w:val="00892361"/>
    <w:rsid w:val="008938AB"/>
    <w:rsid w:val="00897761"/>
    <w:rsid w:val="00897E09"/>
    <w:rsid w:val="008A056B"/>
    <w:rsid w:val="008A0CC7"/>
    <w:rsid w:val="008A0D0A"/>
    <w:rsid w:val="008A2CE7"/>
    <w:rsid w:val="008A3248"/>
    <w:rsid w:val="008A650C"/>
    <w:rsid w:val="008A7487"/>
    <w:rsid w:val="008B0633"/>
    <w:rsid w:val="008B4632"/>
    <w:rsid w:val="008B5138"/>
    <w:rsid w:val="008B5FCF"/>
    <w:rsid w:val="008C0A6E"/>
    <w:rsid w:val="008C5814"/>
    <w:rsid w:val="008D25AE"/>
    <w:rsid w:val="008D4C54"/>
    <w:rsid w:val="008D6BB5"/>
    <w:rsid w:val="008D6CD3"/>
    <w:rsid w:val="008D7251"/>
    <w:rsid w:val="008D7AAE"/>
    <w:rsid w:val="008D7AF9"/>
    <w:rsid w:val="008D7C10"/>
    <w:rsid w:val="008E0AD1"/>
    <w:rsid w:val="008E401D"/>
    <w:rsid w:val="008E4546"/>
    <w:rsid w:val="008E77E0"/>
    <w:rsid w:val="008F0D48"/>
    <w:rsid w:val="008F1327"/>
    <w:rsid w:val="008F14E7"/>
    <w:rsid w:val="008F5886"/>
    <w:rsid w:val="008F7AE6"/>
    <w:rsid w:val="00900396"/>
    <w:rsid w:val="0090137C"/>
    <w:rsid w:val="009016DE"/>
    <w:rsid w:val="00902830"/>
    <w:rsid w:val="0090512B"/>
    <w:rsid w:val="00905211"/>
    <w:rsid w:val="00905234"/>
    <w:rsid w:val="0090692E"/>
    <w:rsid w:val="00910930"/>
    <w:rsid w:val="009112E7"/>
    <w:rsid w:val="00913591"/>
    <w:rsid w:val="00913F05"/>
    <w:rsid w:val="00914490"/>
    <w:rsid w:val="00915BDD"/>
    <w:rsid w:val="00916BD1"/>
    <w:rsid w:val="0091725B"/>
    <w:rsid w:val="00917ABC"/>
    <w:rsid w:val="009200F8"/>
    <w:rsid w:val="00921017"/>
    <w:rsid w:val="00924508"/>
    <w:rsid w:val="00924709"/>
    <w:rsid w:val="0092518A"/>
    <w:rsid w:val="009270E0"/>
    <w:rsid w:val="00927D6A"/>
    <w:rsid w:val="0093224A"/>
    <w:rsid w:val="00932F81"/>
    <w:rsid w:val="00934489"/>
    <w:rsid w:val="009346E7"/>
    <w:rsid w:val="00934A61"/>
    <w:rsid w:val="00935B36"/>
    <w:rsid w:val="009376AA"/>
    <w:rsid w:val="00941495"/>
    <w:rsid w:val="009432D4"/>
    <w:rsid w:val="00944D0E"/>
    <w:rsid w:val="009461FB"/>
    <w:rsid w:val="00947A3B"/>
    <w:rsid w:val="00947A82"/>
    <w:rsid w:val="00950CB3"/>
    <w:rsid w:val="009515C2"/>
    <w:rsid w:val="00951A27"/>
    <w:rsid w:val="00953669"/>
    <w:rsid w:val="00954716"/>
    <w:rsid w:val="00954C12"/>
    <w:rsid w:val="00955A1E"/>
    <w:rsid w:val="00960380"/>
    <w:rsid w:val="009618D3"/>
    <w:rsid w:val="009657B6"/>
    <w:rsid w:val="00965C0D"/>
    <w:rsid w:val="00967223"/>
    <w:rsid w:val="0097068A"/>
    <w:rsid w:val="009719C1"/>
    <w:rsid w:val="00971F50"/>
    <w:rsid w:val="009731D7"/>
    <w:rsid w:val="009736B8"/>
    <w:rsid w:val="0097440A"/>
    <w:rsid w:val="009745F9"/>
    <w:rsid w:val="00976AD8"/>
    <w:rsid w:val="0098087C"/>
    <w:rsid w:val="009826EC"/>
    <w:rsid w:val="00987128"/>
    <w:rsid w:val="009946CB"/>
    <w:rsid w:val="00996122"/>
    <w:rsid w:val="009A080F"/>
    <w:rsid w:val="009A11A7"/>
    <w:rsid w:val="009A16B7"/>
    <w:rsid w:val="009A4594"/>
    <w:rsid w:val="009A5546"/>
    <w:rsid w:val="009A5E5E"/>
    <w:rsid w:val="009B142D"/>
    <w:rsid w:val="009B1BC0"/>
    <w:rsid w:val="009B2656"/>
    <w:rsid w:val="009B37DD"/>
    <w:rsid w:val="009B4FEA"/>
    <w:rsid w:val="009B5B8A"/>
    <w:rsid w:val="009B6FB7"/>
    <w:rsid w:val="009C09E3"/>
    <w:rsid w:val="009C0AD2"/>
    <w:rsid w:val="009C0E44"/>
    <w:rsid w:val="009C3132"/>
    <w:rsid w:val="009C337D"/>
    <w:rsid w:val="009C33D3"/>
    <w:rsid w:val="009C390F"/>
    <w:rsid w:val="009C4106"/>
    <w:rsid w:val="009C5984"/>
    <w:rsid w:val="009C61EB"/>
    <w:rsid w:val="009C76F7"/>
    <w:rsid w:val="009D0F8A"/>
    <w:rsid w:val="009D386C"/>
    <w:rsid w:val="009D400B"/>
    <w:rsid w:val="009D5660"/>
    <w:rsid w:val="009D615C"/>
    <w:rsid w:val="009D6D7A"/>
    <w:rsid w:val="009E280B"/>
    <w:rsid w:val="009E3E59"/>
    <w:rsid w:val="009E3F06"/>
    <w:rsid w:val="009E4164"/>
    <w:rsid w:val="009E4D3D"/>
    <w:rsid w:val="009E753E"/>
    <w:rsid w:val="009E7BD1"/>
    <w:rsid w:val="009F30FA"/>
    <w:rsid w:val="009F3130"/>
    <w:rsid w:val="009F32C5"/>
    <w:rsid w:val="009F44D3"/>
    <w:rsid w:val="009F4BAA"/>
    <w:rsid w:val="009F52CF"/>
    <w:rsid w:val="009F6096"/>
    <w:rsid w:val="009F7F7A"/>
    <w:rsid w:val="00A00B57"/>
    <w:rsid w:val="00A054DD"/>
    <w:rsid w:val="00A05A29"/>
    <w:rsid w:val="00A0662F"/>
    <w:rsid w:val="00A06682"/>
    <w:rsid w:val="00A06867"/>
    <w:rsid w:val="00A07A66"/>
    <w:rsid w:val="00A138BD"/>
    <w:rsid w:val="00A149A5"/>
    <w:rsid w:val="00A1778C"/>
    <w:rsid w:val="00A2092F"/>
    <w:rsid w:val="00A20C47"/>
    <w:rsid w:val="00A24022"/>
    <w:rsid w:val="00A24B69"/>
    <w:rsid w:val="00A26B00"/>
    <w:rsid w:val="00A3032E"/>
    <w:rsid w:val="00A3269B"/>
    <w:rsid w:val="00A366C2"/>
    <w:rsid w:val="00A42392"/>
    <w:rsid w:val="00A43154"/>
    <w:rsid w:val="00A443F1"/>
    <w:rsid w:val="00A46B65"/>
    <w:rsid w:val="00A479B6"/>
    <w:rsid w:val="00A52504"/>
    <w:rsid w:val="00A52585"/>
    <w:rsid w:val="00A5303A"/>
    <w:rsid w:val="00A5629B"/>
    <w:rsid w:val="00A60ADE"/>
    <w:rsid w:val="00A60C74"/>
    <w:rsid w:val="00A624CA"/>
    <w:rsid w:val="00A62995"/>
    <w:rsid w:val="00A63178"/>
    <w:rsid w:val="00A63EA6"/>
    <w:rsid w:val="00A65B2E"/>
    <w:rsid w:val="00A67962"/>
    <w:rsid w:val="00A701CA"/>
    <w:rsid w:val="00A70728"/>
    <w:rsid w:val="00A71202"/>
    <w:rsid w:val="00A72D9B"/>
    <w:rsid w:val="00A72FE4"/>
    <w:rsid w:val="00A750D0"/>
    <w:rsid w:val="00A7600E"/>
    <w:rsid w:val="00A7628E"/>
    <w:rsid w:val="00A763DB"/>
    <w:rsid w:val="00A81DF7"/>
    <w:rsid w:val="00A81EC5"/>
    <w:rsid w:val="00A82443"/>
    <w:rsid w:val="00A83676"/>
    <w:rsid w:val="00A84B14"/>
    <w:rsid w:val="00A84CD5"/>
    <w:rsid w:val="00A85328"/>
    <w:rsid w:val="00A85AEB"/>
    <w:rsid w:val="00A87EFE"/>
    <w:rsid w:val="00A90810"/>
    <w:rsid w:val="00A92C83"/>
    <w:rsid w:val="00A950A0"/>
    <w:rsid w:val="00A95FA2"/>
    <w:rsid w:val="00A97C5B"/>
    <w:rsid w:val="00AA033F"/>
    <w:rsid w:val="00AA07CC"/>
    <w:rsid w:val="00AA1A0E"/>
    <w:rsid w:val="00AA36DB"/>
    <w:rsid w:val="00AA64D5"/>
    <w:rsid w:val="00AA692C"/>
    <w:rsid w:val="00AA6944"/>
    <w:rsid w:val="00AB025D"/>
    <w:rsid w:val="00AB0ACB"/>
    <w:rsid w:val="00AB3224"/>
    <w:rsid w:val="00AB43DD"/>
    <w:rsid w:val="00AC1EAB"/>
    <w:rsid w:val="00AC2388"/>
    <w:rsid w:val="00AC3444"/>
    <w:rsid w:val="00AC6D5E"/>
    <w:rsid w:val="00AC7C2E"/>
    <w:rsid w:val="00AD037D"/>
    <w:rsid w:val="00AD0707"/>
    <w:rsid w:val="00AD2872"/>
    <w:rsid w:val="00AD2F9D"/>
    <w:rsid w:val="00AD30E9"/>
    <w:rsid w:val="00AD31A3"/>
    <w:rsid w:val="00AD50D6"/>
    <w:rsid w:val="00AD5D7D"/>
    <w:rsid w:val="00AD6687"/>
    <w:rsid w:val="00AD7383"/>
    <w:rsid w:val="00AE1FA4"/>
    <w:rsid w:val="00AE4905"/>
    <w:rsid w:val="00AE4A81"/>
    <w:rsid w:val="00AF068B"/>
    <w:rsid w:val="00AF237E"/>
    <w:rsid w:val="00AF2C08"/>
    <w:rsid w:val="00AF3210"/>
    <w:rsid w:val="00AF3CD9"/>
    <w:rsid w:val="00AF4438"/>
    <w:rsid w:val="00B03605"/>
    <w:rsid w:val="00B0728D"/>
    <w:rsid w:val="00B07CAF"/>
    <w:rsid w:val="00B12DF2"/>
    <w:rsid w:val="00B13068"/>
    <w:rsid w:val="00B158AD"/>
    <w:rsid w:val="00B16DE1"/>
    <w:rsid w:val="00B1729F"/>
    <w:rsid w:val="00B17A06"/>
    <w:rsid w:val="00B21BE3"/>
    <w:rsid w:val="00B21D48"/>
    <w:rsid w:val="00B24A6E"/>
    <w:rsid w:val="00B24E85"/>
    <w:rsid w:val="00B257D9"/>
    <w:rsid w:val="00B25928"/>
    <w:rsid w:val="00B3243B"/>
    <w:rsid w:val="00B32A48"/>
    <w:rsid w:val="00B3439B"/>
    <w:rsid w:val="00B3476B"/>
    <w:rsid w:val="00B34B9B"/>
    <w:rsid w:val="00B34EDA"/>
    <w:rsid w:val="00B35DF5"/>
    <w:rsid w:val="00B454BC"/>
    <w:rsid w:val="00B4743E"/>
    <w:rsid w:val="00B47E7C"/>
    <w:rsid w:val="00B516CB"/>
    <w:rsid w:val="00B546C7"/>
    <w:rsid w:val="00B574A4"/>
    <w:rsid w:val="00B57CFD"/>
    <w:rsid w:val="00B61950"/>
    <w:rsid w:val="00B61A92"/>
    <w:rsid w:val="00B63C94"/>
    <w:rsid w:val="00B64EBC"/>
    <w:rsid w:val="00B67EAA"/>
    <w:rsid w:val="00B719C3"/>
    <w:rsid w:val="00B73BE6"/>
    <w:rsid w:val="00B73F54"/>
    <w:rsid w:val="00B74014"/>
    <w:rsid w:val="00B75B5E"/>
    <w:rsid w:val="00B81F7D"/>
    <w:rsid w:val="00B8359F"/>
    <w:rsid w:val="00B874F6"/>
    <w:rsid w:val="00B93C3C"/>
    <w:rsid w:val="00BA2C1F"/>
    <w:rsid w:val="00BA3A9F"/>
    <w:rsid w:val="00BA4D7E"/>
    <w:rsid w:val="00BB0675"/>
    <w:rsid w:val="00BB2072"/>
    <w:rsid w:val="00BB3375"/>
    <w:rsid w:val="00BB37C7"/>
    <w:rsid w:val="00BB5519"/>
    <w:rsid w:val="00BB683A"/>
    <w:rsid w:val="00BB6C3D"/>
    <w:rsid w:val="00BB7352"/>
    <w:rsid w:val="00BC2E99"/>
    <w:rsid w:val="00BC39BE"/>
    <w:rsid w:val="00BC4881"/>
    <w:rsid w:val="00BD26DF"/>
    <w:rsid w:val="00BD2779"/>
    <w:rsid w:val="00BD30F0"/>
    <w:rsid w:val="00BD3AD8"/>
    <w:rsid w:val="00BD492F"/>
    <w:rsid w:val="00BD4D83"/>
    <w:rsid w:val="00BD56F1"/>
    <w:rsid w:val="00BE061F"/>
    <w:rsid w:val="00BE1C1D"/>
    <w:rsid w:val="00BE23E6"/>
    <w:rsid w:val="00BE35B0"/>
    <w:rsid w:val="00BF63F8"/>
    <w:rsid w:val="00BF64B6"/>
    <w:rsid w:val="00BF687C"/>
    <w:rsid w:val="00BF767B"/>
    <w:rsid w:val="00BF7E45"/>
    <w:rsid w:val="00C01710"/>
    <w:rsid w:val="00C01FC8"/>
    <w:rsid w:val="00C02480"/>
    <w:rsid w:val="00C05208"/>
    <w:rsid w:val="00C06A8C"/>
    <w:rsid w:val="00C106AE"/>
    <w:rsid w:val="00C1360B"/>
    <w:rsid w:val="00C142F3"/>
    <w:rsid w:val="00C14312"/>
    <w:rsid w:val="00C17429"/>
    <w:rsid w:val="00C204AF"/>
    <w:rsid w:val="00C21707"/>
    <w:rsid w:val="00C23114"/>
    <w:rsid w:val="00C2375D"/>
    <w:rsid w:val="00C243CF"/>
    <w:rsid w:val="00C25AAA"/>
    <w:rsid w:val="00C276C5"/>
    <w:rsid w:val="00C3146B"/>
    <w:rsid w:val="00C31FB6"/>
    <w:rsid w:val="00C324E4"/>
    <w:rsid w:val="00C32B08"/>
    <w:rsid w:val="00C335B9"/>
    <w:rsid w:val="00C33A57"/>
    <w:rsid w:val="00C35CBF"/>
    <w:rsid w:val="00C35CCA"/>
    <w:rsid w:val="00C369BB"/>
    <w:rsid w:val="00C37808"/>
    <w:rsid w:val="00C40E67"/>
    <w:rsid w:val="00C4151D"/>
    <w:rsid w:val="00C41F3B"/>
    <w:rsid w:val="00C4494E"/>
    <w:rsid w:val="00C46306"/>
    <w:rsid w:val="00C46840"/>
    <w:rsid w:val="00C47B51"/>
    <w:rsid w:val="00C50022"/>
    <w:rsid w:val="00C551D9"/>
    <w:rsid w:val="00C55562"/>
    <w:rsid w:val="00C56431"/>
    <w:rsid w:val="00C5649C"/>
    <w:rsid w:val="00C6277A"/>
    <w:rsid w:val="00C633D5"/>
    <w:rsid w:val="00C65F72"/>
    <w:rsid w:val="00C661E1"/>
    <w:rsid w:val="00C67793"/>
    <w:rsid w:val="00C746E1"/>
    <w:rsid w:val="00C75751"/>
    <w:rsid w:val="00C75D07"/>
    <w:rsid w:val="00C765DD"/>
    <w:rsid w:val="00C838B6"/>
    <w:rsid w:val="00C83952"/>
    <w:rsid w:val="00C83E13"/>
    <w:rsid w:val="00C86454"/>
    <w:rsid w:val="00C904C2"/>
    <w:rsid w:val="00C91E0C"/>
    <w:rsid w:val="00C921AE"/>
    <w:rsid w:val="00C93086"/>
    <w:rsid w:val="00C934E8"/>
    <w:rsid w:val="00C93763"/>
    <w:rsid w:val="00C943C6"/>
    <w:rsid w:val="00C9595F"/>
    <w:rsid w:val="00C979AD"/>
    <w:rsid w:val="00CA12E1"/>
    <w:rsid w:val="00CA2001"/>
    <w:rsid w:val="00CA4B38"/>
    <w:rsid w:val="00CA7991"/>
    <w:rsid w:val="00CB05AF"/>
    <w:rsid w:val="00CB05F1"/>
    <w:rsid w:val="00CB0CBD"/>
    <w:rsid w:val="00CB2FE3"/>
    <w:rsid w:val="00CB4039"/>
    <w:rsid w:val="00CB46EA"/>
    <w:rsid w:val="00CB50F6"/>
    <w:rsid w:val="00CB52BC"/>
    <w:rsid w:val="00CB6363"/>
    <w:rsid w:val="00CC08D1"/>
    <w:rsid w:val="00CC1308"/>
    <w:rsid w:val="00CC1806"/>
    <w:rsid w:val="00CC42BD"/>
    <w:rsid w:val="00CC4F96"/>
    <w:rsid w:val="00CC7CC1"/>
    <w:rsid w:val="00CD0BEE"/>
    <w:rsid w:val="00CD1A20"/>
    <w:rsid w:val="00CD2BEC"/>
    <w:rsid w:val="00CD305D"/>
    <w:rsid w:val="00CD3944"/>
    <w:rsid w:val="00CD45B2"/>
    <w:rsid w:val="00CD521F"/>
    <w:rsid w:val="00CD5CA2"/>
    <w:rsid w:val="00CD6015"/>
    <w:rsid w:val="00CD7A6C"/>
    <w:rsid w:val="00CD7D10"/>
    <w:rsid w:val="00CE0734"/>
    <w:rsid w:val="00CE0815"/>
    <w:rsid w:val="00CE137C"/>
    <w:rsid w:val="00CE3A90"/>
    <w:rsid w:val="00CE3C0A"/>
    <w:rsid w:val="00CE3F4C"/>
    <w:rsid w:val="00CE4178"/>
    <w:rsid w:val="00CE4D1F"/>
    <w:rsid w:val="00CF0BC4"/>
    <w:rsid w:val="00CF0E80"/>
    <w:rsid w:val="00CF19C6"/>
    <w:rsid w:val="00CF3300"/>
    <w:rsid w:val="00D030E0"/>
    <w:rsid w:val="00D07C6D"/>
    <w:rsid w:val="00D10873"/>
    <w:rsid w:val="00D1286A"/>
    <w:rsid w:val="00D15866"/>
    <w:rsid w:val="00D165DF"/>
    <w:rsid w:val="00D2024F"/>
    <w:rsid w:val="00D253EF"/>
    <w:rsid w:val="00D26AE4"/>
    <w:rsid w:val="00D27169"/>
    <w:rsid w:val="00D312A6"/>
    <w:rsid w:val="00D33C99"/>
    <w:rsid w:val="00D340E5"/>
    <w:rsid w:val="00D34EB8"/>
    <w:rsid w:val="00D36E70"/>
    <w:rsid w:val="00D3747D"/>
    <w:rsid w:val="00D41400"/>
    <w:rsid w:val="00D4480A"/>
    <w:rsid w:val="00D4662E"/>
    <w:rsid w:val="00D47995"/>
    <w:rsid w:val="00D5048C"/>
    <w:rsid w:val="00D50697"/>
    <w:rsid w:val="00D509B4"/>
    <w:rsid w:val="00D5745D"/>
    <w:rsid w:val="00D64C27"/>
    <w:rsid w:val="00D65C68"/>
    <w:rsid w:val="00D70290"/>
    <w:rsid w:val="00D717F7"/>
    <w:rsid w:val="00D73053"/>
    <w:rsid w:val="00D748F9"/>
    <w:rsid w:val="00D74B46"/>
    <w:rsid w:val="00D80F07"/>
    <w:rsid w:val="00D81002"/>
    <w:rsid w:val="00D819BB"/>
    <w:rsid w:val="00D82693"/>
    <w:rsid w:val="00D82771"/>
    <w:rsid w:val="00D83048"/>
    <w:rsid w:val="00D83C3B"/>
    <w:rsid w:val="00D83E71"/>
    <w:rsid w:val="00D8648B"/>
    <w:rsid w:val="00D8740B"/>
    <w:rsid w:val="00D9012F"/>
    <w:rsid w:val="00D91114"/>
    <w:rsid w:val="00D911DB"/>
    <w:rsid w:val="00D93838"/>
    <w:rsid w:val="00D95197"/>
    <w:rsid w:val="00D962A7"/>
    <w:rsid w:val="00D9741C"/>
    <w:rsid w:val="00D97E66"/>
    <w:rsid w:val="00DA006D"/>
    <w:rsid w:val="00DA0557"/>
    <w:rsid w:val="00DA47A2"/>
    <w:rsid w:val="00DA4E02"/>
    <w:rsid w:val="00DA5226"/>
    <w:rsid w:val="00DA74C2"/>
    <w:rsid w:val="00DA771B"/>
    <w:rsid w:val="00DB05F9"/>
    <w:rsid w:val="00DB08C0"/>
    <w:rsid w:val="00DB3D77"/>
    <w:rsid w:val="00DB4CD7"/>
    <w:rsid w:val="00DB54AB"/>
    <w:rsid w:val="00DB5DBB"/>
    <w:rsid w:val="00DC1DC7"/>
    <w:rsid w:val="00DC2C3C"/>
    <w:rsid w:val="00DC2FB4"/>
    <w:rsid w:val="00DC3B2F"/>
    <w:rsid w:val="00DC6D00"/>
    <w:rsid w:val="00DD07B5"/>
    <w:rsid w:val="00DD3AEB"/>
    <w:rsid w:val="00DD48BE"/>
    <w:rsid w:val="00DD507A"/>
    <w:rsid w:val="00DD5D47"/>
    <w:rsid w:val="00DD6DA4"/>
    <w:rsid w:val="00DD7B52"/>
    <w:rsid w:val="00DE0E0F"/>
    <w:rsid w:val="00DE2840"/>
    <w:rsid w:val="00DE5E50"/>
    <w:rsid w:val="00DE7D90"/>
    <w:rsid w:val="00DE7EC4"/>
    <w:rsid w:val="00DF498A"/>
    <w:rsid w:val="00DF4DC4"/>
    <w:rsid w:val="00DF6269"/>
    <w:rsid w:val="00DF6977"/>
    <w:rsid w:val="00DF7A73"/>
    <w:rsid w:val="00E02948"/>
    <w:rsid w:val="00E03EC4"/>
    <w:rsid w:val="00E058AE"/>
    <w:rsid w:val="00E102C6"/>
    <w:rsid w:val="00E157C9"/>
    <w:rsid w:val="00E1757A"/>
    <w:rsid w:val="00E1780C"/>
    <w:rsid w:val="00E21E65"/>
    <w:rsid w:val="00E232BA"/>
    <w:rsid w:val="00E25C91"/>
    <w:rsid w:val="00E274E2"/>
    <w:rsid w:val="00E327EC"/>
    <w:rsid w:val="00E33553"/>
    <w:rsid w:val="00E36E2A"/>
    <w:rsid w:val="00E403A7"/>
    <w:rsid w:val="00E40610"/>
    <w:rsid w:val="00E40694"/>
    <w:rsid w:val="00E41630"/>
    <w:rsid w:val="00E41C83"/>
    <w:rsid w:val="00E43615"/>
    <w:rsid w:val="00E45B65"/>
    <w:rsid w:val="00E47D6A"/>
    <w:rsid w:val="00E5669F"/>
    <w:rsid w:val="00E56E11"/>
    <w:rsid w:val="00E620D5"/>
    <w:rsid w:val="00E62ECB"/>
    <w:rsid w:val="00E635A8"/>
    <w:rsid w:val="00E64B26"/>
    <w:rsid w:val="00E64D26"/>
    <w:rsid w:val="00E677C6"/>
    <w:rsid w:val="00E708F0"/>
    <w:rsid w:val="00E70C83"/>
    <w:rsid w:val="00E736F0"/>
    <w:rsid w:val="00E75ED5"/>
    <w:rsid w:val="00E81EF5"/>
    <w:rsid w:val="00E82B1A"/>
    <w:rsid w:val="00E84300"/>
    <w:rsid w:val="00E846DB"/>
    <w:rsid w:val="00E852C6"/>
    <w:rsid w:val="00E90843"/>
    <w:rsid w:val="00E914C1"/>
    <w:rsid w:val="00E928AF"/>
    <w:rsid w:val="00E92996"/>
    <w:rsid w:val="00E93B3C"/>
    <w:rsid w:val="00E95CFA"/>
    <w:rsid w:val="00E96A70"/>
    <w:rsid w:val="00EA1AB9"/>
    <w:rsid w:val="00EA3267"/>
    <w:rsid w:val="00EA5A36"/>
    <w:rsid w:val="00EA706C"/>
    <w:rsid w:val="00EA7B85"/>
    <w:rsid w:val="00EB0E47"/>
    <w:rsid w:val="00EB1B3D"/>
    <w:rsid w:val="00EB1BA5"/>
    <w:rsid w:val="00EB3BD9"/>
    <w:rsid w:val="00EB5295"/>
    <w:rsid w:val="00EB55CA"/>
    <w:rsid w:val="00EB677D"/>
    <w:rsid w:val="00EB6D7D"/>
    <w:rsid w:val="00EB6EB3"/>
    <w:rsid w:val="00EB78F4"/>
    <w:rsid w:val="00EB7CA0"/>
    <w:rsid w:val="00EC07C8"/>
    <w:rsid w:val="00EC379C"/>
    <w:rsid w:val="00EC3BDF"/>
    <w:rsid w:val="00EC3DB6"/>
    <w:rsid w:val="00ED02CD"/>
    <w:rsid w:val="00ED1E40"/>
    <w:rsid w:val="00ED463B"/>
    <w:rsid w:val="00ED4C11"/>
    <w:rsid w:val="00ED4E6F"/>
    <w:rsid w:val="00ED5237"/>
    <w:rsid w:val="00ED56AE"/>
    <w:rsid w:val="00ED680E"/>
    <w:rsid w:val="00ED7371"/>
    <w:rsid w:val="00ED7552"/>
    <w:rsid w:val="00EE2F74"/>
    <w:rsid w:val="00EE396E"/>
    <w:rsid w:val="00EE4C99"/>
    <w:rsid w:val="00EE4FE9"/>
    <w:rsid w:val="00EE583F"/>
    <w:rsid w:val="00EF310A"/>
    <w:rsid w:val="00EF46E0"/>
    <w:rsid w:val="00EF4A02"/>
    <w:rsid w:val="00EF4A4F"/>
    <w:rsid w:val="00EF6DCE"/>
    <w:rsid w:val="00F0168F"/>
    <w:rsid w:val="00F01A63"/>
    <w:rsid w:val="00F0356D"/>
    <w:rsid w:val="00F047B9"/>
    <w:rsid w:val="00F04E3A"/>
    <w:rsid w:val="00F110DA"/>
    <w:rsid w:val="00F1722C"/>
    <w:rsid w:val="00F17286"/>
    <w:rsid w:val="00F17302"/>
    <w:rsid w:val="00F20458"/>
    <w:rsid w:val="00F207F8"/>
    <w:rsid w:val="00F26950"/>
    <w:rsid w:val="00F27BB5"/>
    <w:rsid w:val="00F30F92"/>
    <w:rsid w:val="00F33E72"/>
    <w:rsid w:val="00F41B3C"/>
    <w:rsid w:val="00F427AD"/>
    <w:rsid w:val="00F42F83"/>
    <w:rsid w:val="00F44C9F"/>
    <w:rsid w:val="00F4518F"/>
    <w:rsid w:val="00F4709F"/>
    <w:rsid w:val="00F50E7E"/>
    <w:rsid w:val="00F513A4"/>
    <w:rsid w:val="00F616CC"/>
    <w:rsid w:val="00F61AA7"/>
    <w:rsid w:val="00F633A9"/>
    <w:rsid w:val="00F639F5"/>
    <w:rsid w:val="00F64A2C"/>
    <w:rsid w:val="00F665F4"/>
    <w:rsid w:val="00F6757D"/>
    <w:rsid w:val="00F7303D"/>
    <w:rsid w:val="00F75BA7"/>
    <w:rsid w:val="00F77B7F"/>
    <w:rsid w:val="00F81318"/>
    <w:rsid w:val="00F82DDF"/>
    <w:rsid w:val="00F84732"/>
    <w:rsid w:val="00F84F03"/>
    <w:rsid w:val="00F85F91"/>
    <w:rsid w:val="00F9002B"/>
    <w:rsid w:val="00F946D0"/>
    <w:rsid w:val="00F9508F"/>
    <w:rsid w:val="00FA3545"/>
    <w:rsid w:val="00FA3B20"/>
    <w:rsid w:val="00FA3D64"/>
    <w:rsid w:val="00FA6441"/>
    <w:rsid w:val="00FB2EC5"/>
    <w:rsid w:val="00FB40F7"/>
    <w:rsid w:val="00FB562A"/>
    <w:rsid w:val="00FB667E"/>
    <w:rsid w:val="00FC04B1"/>
    <w:rsid w:val="00FC122A"/>
    <w:rsid w:val="00FC3444"/>
    <w:rsid w:val="00FC3B20"/>
    <w:rsid w:val="00FC7CD4"/>
    <w:rsid w:val="00FD02A8"/>
    <w:rsid w:val="00FD18FB"/>
    <w:rsid w:val="00FD3098"/>
    <w:rsid w:val="00FD3756"/>
    <w:rsid w:val="00FD3E7F"/>
    <w:rsid w:val="00FD4EBD"/>
    <w:rsid w:val="00FD5786"/>
    <w:rsid w:val="00FD5B56"/>
    <w:rsid w:val="00FD7755"/>
    <w:rsid w:val="00FD7E1E"/>
    <w:rsid w:val="00FE1C75"/>
    <w:rsid w:val="00FE27E7"/>
    <w:rsid w:val="00FE65D6"/>
    <w:rsid w:val="00FE7003"/>
    <w:rsid w:val="00FF3148"/>
    <w:rsid w:val="00FF3697"/>
    <w:rsid w:val="00FF3914"/>
    <w:rsid w:val="00FF5A82"/>
    <w:rsid w:val="00FF60EA"/>
    <w:rsid w:val="00FF66EE"/>
    <w:rsid w:val="00FF6A5A"/>
    <w:rsid w:val="00FF734F"/>
    <w:rsid w:val="00FF7CB3"/>
    <w:rsid w:val="015F2A5F"/>
    <w:rsid w:val="020457FF"/>
    <w:rsid w:val="02926CAC"/>
    <w:rsid w:val="02B349AE"/>
    <w:rsid w:val="02E028B5"/>
    <w:rsid w:val="03850AB6"/>
    <w:rsid w:val="03A5079A"/>
    <w:rsid w:val="04852C28"/>
    <w:rsid w:val="04F025F4"/>
    <w:rsid w:val="04F73E4E"/>
    <w:rsid w:val="050D7A22"/>
    <w:rsid w:val="054C2DCF"/>
    <w:rsid w:val="055B7DDB"/>
    <w:rsid w:val="06C47753"/>
    <w:rsid w:val="0749795E"/>
    <w:rsid w:val="08B17BE1"/>
    <w:rsid w:val="09A702AD"/>
    <w:rsid w:val="09C22F8F"/>
    <w:rsid w:val="0A29741E"/>
    <w:rsid w:val="0AB05377"/>
    <w:rsid w:val="0AF049F1"/>
    <w:rsid w:val="0AF344E1"/>
    <w:rsid w:val="0AFA33D9"/>
    <w:rsid w:val="0C107BA8"/>
    <w:rsid w:val="0CB91106"/>
    <w:rsid w:val="0CBA24AA"/>
    <w:rsid w:val="0D674D12"/>
    <w:rsid w:val="0D8D4C19"/>
    <w:rsid w:val="0E6D2826"/>
    <w:rsid w:val="10AD283F"/>
    <w:rsid w:val="10B22749"/>
    <w:rsid w:val="10CC380A"/>
    <w:rsid w:val="10FB40F0"/>
    <w:rsid w:val="11005262"/>
    <w:rsid w:val="12127531"/>
    <w:rsid w:val="127B4311"/>
    <w:rsid w:val="136177EE"/>
    <w:rsid w:val="13C76CD0"/>
    <w:rsid w:val="13D32467"/>
    <w:rsid w:val="14D129CB"/>
    <w:rsid w:val="155B33AF"/>
    <w:rsid w:val="156B19A2"/>
    <w:rsid w:val="158277D7"/>
    <w:rsid w:val="16554A0F"/>
    <w:rsid w:val="16F6407C"/>
    <w:rsid w:val="173E0892"/>
    <w:rsid w:val="17A52B43"/>
    <w:rsid w:val="17D05293"/>
    <w:rsid w:val="18231C60"/>
    <w:rsid w:val="18586BEF"/>
    <w:rsid w:val="185C0EF0"/>
    <w:rsid w:val="198F4B7F"/>
    <w:rsid w:val="19F469EC"/>
    <w:rsid w:val="1B0745C4"/>
    <w:rsid w:val="1B2C2899"/>
    <w:rsid w:val="1BB87132"/>
    <w:rsid w:val="1BCF41AF"/>
    <w:rsid w:val="1C3502E6"/>
    <w:rsid w:val="1C394FAC"/>
    <w:rsid w:val="1C456EE5"/>
    <w:rsid w:val="1CB139B3"/>
    <w:rsid w:val="1CF244A5"/>
    <w:rsid w:val="1D454E64"/>
    <w:rsid w:val="1D880AB9"/>
    <w:rsid w:val="1D8D034A"/>
    <w:rsid w:val="1DB754FF"/>
    <w:rsid w:val="1EED151B"/>
    <w:rsid w:val="1F030F3F"/>
    <w:rsid w:val="1F3437EA"/>
    <w:rsid w:val="1FD55B0C"/>
    <w:rsid w:val="1FF36038"/>
    <w:rsid w:val="20181262"/>
    <w:rsid w:val="20A93A38"/>
    <w:rsid w:val="20DF71B8"/>
    <w:rsid w:val="215D225D"/>
    <w:rsid w:val="21E309B4"/>
    <w:rsid w:val="22306EDA"/>
    <w:rsid w:val="225F112A"/>
    <w:rsid w:val="226E2973"/>
    <w:rsid w:val="22943A5C"/>
    <w:rsid w:val="242D3DAE"/>
    <w:rsid w:val="247022A7"/>
    <w:rsid w:val="24985E00"/>
    <w:rsid w:val="24A93CE5"/>
    <w:rsid w:val="25334962"/>
    <w:rsid w:val="25391D65"/>
    <w:rsid w:val="25525847"/>
    <w:rsid w:val="25BC1C48"/>
    <w:rsid w:val="25E82A3D"/>
    <w:rsid w:val="27247AA4"/>
    <w:rsid w:val="27664A12"/>
    <w:rsid w:val="277072C8"/>
    <w:rsid w:val="277C287E"/>
    <w:rsid w:val="28E9700A"/>
    <w:rsid w:val="29401D1B"/>
    <w:rsid w:val="2A3E70CF"/>
    <w:rsid w:val="2A53244F"/>
    <w:rsid w:val="2AA84549"/>
    <w:rsid w:val="2AD90D23"/>
    <w:rsid w:val="2B4F306B"/>
    <w:rsid w:val="2B6128FD"/>
    <w:rsid w:val="2BB22ED5"/>
    <w:rsid w:val="2C88401B"/>
    <w:rsid w:val="2CB2345D"/>
    <w:rsid w:val="2CBA418D"/>
    <w:rsid w:val="2DA54CE6"/>
    <w:rsid w:val="2DFE32B9"/>
    <w:rsid w:val="2E3C1BBC"/>
    <w:rsid w:val="2E3E1D79"/>
    <w:rsid w:val="2E9C6914"/>
    <w:rsid w:val="2EDE2C2F"/>
    <w:rsid w:val="2F08339F"/>
    <w:rsid w:val="2F9E416C"/>
    <w:rsid w:val="2FBE480E"/>
    <w:rsid w:val="2FCA6D0F"/>
    <w:rsid w:val="2FEC4ED7"/>
    <w:rsid w:val="309A756F"/>
    <w:rsid w:val="311E712D"/>
    <w:rsid w:val="31A32E5F"/>
    <w:rsid w:val="32113DD5"/>
    <w:rsid w:val="322748ED"/>
    <w:rsid w:val="326D3F1B"/>
    <w:rsid w:val="32B06690"/>
    <w:rsid w:val="32CF13C9"/>
    <w:rsid w:val="33207B8B"/>
    <w:rsid w:val="33492853"/>
    <w:rsid w:val="33BD13D2"/>
    <w:rsid w:val="34397EA1"/>
    <w:rsid w:val="34C63AD2"/>
    <w:rsid w:val="35D05C27"/>
    <w:rsid w:val="362B4280"/>
    <w:rsid w:val="36FD166A"/>
    <w:rsid w:val="374C345F"/>
    <w:rsid w:val="3767221E"/>
    <w:rsid w:val="38741E56"/>
    <w:rsid w:val="38B42661"/>
    <w:rsid w:val="38C05153"/>
    <w:rsid w:val="38E6379C"/>
    <w:rsid w:val="38FE6B32"/>
    <w:rsid w:val="390F36EC"/>
    <w:rsid w:val="395C7086"/>
    <w:rsid w:val="398E4B19"/>
    <w:rsid w:val="39B20D5B"/>
    <w:rsid w:val="39DF3CFF"/>
    <w:rsid w:val="39E71CFD"/>
    <w:rsid w:val="3AAE7FF9"/>
    <w:rsid w:val="3B190409"/>
    <w:rsid w:val="3C9708C1"/>
    <w:rsid w:val="3D3A7941"/>
    <w:rsid w:val="3E2E5A79"/>
    <w:rsid w:val="3E456244"/>
    <w:rsid w:val="3E613D17"/>
    <w:rsid w:val="3E974BA8"/>
    <w:rsid w:val="3EA01D8C"/>
    <w:rsid w:val="3EA9756D"/>
    <w:rsid w:val="3F0D0AA8"/>
    <w:rsid w:val="3F8362BF"/>
    <w:rsid w:val="3FFE7A0F"/>
    <w:rsid w:val="40ED4F53"/>
    <w:rsid w:val="414152A0"/>
    <w:rsid w:val="41D7449A"/>
    <w:rsid w:val="424D2F31"/>
    <w:rsid w:val="4262727B"/>
    <w:rsid w:val="42B754FA"/>
    <w:rsid w:val="42DA3AB4"/>
    <w:rsid w:val="431651CF"/>
    <w:rsid w:val="43B14016"/>
    <w:rsid w:val="44642891"/>
    <w:rsid w:val="44B85878"/>
    <w:rsid w:val="45623B4F"/>
    <w:rsid w:val="46682F99"/>
    <w:rsid w:val="47044DA5"/>
    <w:rsid w:val="47BE4F54"/>
    <w:rsid w:val="48814D1C"/>
    <w:rsid w:val="48853766"/>
    <w:rsid w:val="48C31CB9"/>
    <w:rsid w:val="49530BE4"/>
    <w:rsid w:val="4A442B1E"/>
    <w:rsid w:val="4AD625B4"/>
    <w:rsid w:val="4B103D18"/>
    <w:rsid w:val="4B4B748E"/>
    <w:rsid w:val="4BA032C9"/>
    <w:rsid w:val="4BE83B46"/>
    <w:rsid w:val="4BEA2823"/>
    <w:rsid w:val="4C417F01"/>
    <w:rsid w:val="4CC96525"/>
    <w:rsid w:val="4DD92AE7"/>
    <w:rsid w:val="4DEF230B"/>
    <w:rsid w:val="4E6C3D1B"/>
    <w:rsid w:val="4E9D1D67"/>
    <w:rsid w:val="4EF63225"/>
    <w:rsid w:val="4FD1326B"/>
    <w:rsid w:val="503B1837"/>
    <w:rsid w:val="52306A4E"/>
    <w:rsid w:val="52374280"/>
    <w:rsid w:val="5258171A"/>
    <w:rsid w:val="52DD4E28"/>
    <w:rsid w:val="536913AD"/>
    <w:rsid w:val="538A49AF"/>
    <w:rsid w:val="54AA722A"/>
    <w:rsid w:val="54B02510"/>
    <w:rsid w:val="54C17E31"/>
    <w:rsid w:val="555E1B24"/>
    <w:rsid w:val="558E7A24"/>
    <w:rsid w:val="55B160F8"/>
    <w:rsid w:val="562C1C22"/>
    <w:rsid w:val="569752EE"/>
    <w:rsid w:val="56A143BE"/>
    <w:rsid w:val="56CA4CC2"/>
    <w:rsid w:val="5706231D"/>
    <w:rsid w:val="572457B2"/>
    <w:rsid w:val="575D5815"/>
    <w:rsid w:val="57716379"/>
    <w:rsid w:val="57903170"/>
    <w:rsid w:val="58507E4A"/>
    <w:rsid w:val="58FB2DE0"/>
    <w:rsid w:val="5900361E"/>
    <w:rsid w:val="591E49F6"/>
    <w:rsid w:val="59493601"/>
    <w:rsid w:val="5A79677C"/>
    <w:rsid w:val="5AAC7F9D"/>
    <w:rsid w:val="5B7E43AB"/>
    <w:rsid w:val="5B835E40"/>
    <w:rsid w:val="5BF77284"/>
    <w:rsid w:val="5CF33FC9"/>
    <w:rsid w:val="5D2455AC"/>
    <w:rsid w:val="5D584DCA"/>
    <w:rsid w:val="5D993F44"/>
    <w:rsid w:val="5E36468C"/>
    <w:rsid w:val="5E7C0EED"/>
    <w:rsid w:val="5E915005"/>
    <w:rsid w:val="5F443D27"/>
    <w:rsid w:val="5F65122E"/>
    <w:rsid w:val="60725FC5"/>
    <w:rsid w:val="6074044E"/>
    <w:rsid w:val="60925946"/>
    <w:rsid w:val="612D33D0"/>
    <w:rsid w:val="62761255"/>
    <w:rsid w:val="62922E0D"/>
    <w:rsid w:val="64077605"/>
    <w:rsid w:val="64524F45"/>
    <w:rsid w:val="64F51C11"/>
    <w:rsid w:val="651B73C9"/>
    <w:rsid w:val="657044E0"/>
    <w:rsid w:val="65E9231B"/>
    <w:rsid w:val="666C36EC"/>
    <w:rsid w:val="667C61E6"/>
    <w:rsid w:val="667F7E5F"/>
    <w:rsid w:val="672C765D"/>
    <w:rsid w:val="690D4745"/>
    <w:rsid w:val="691D4FC9"/>
    <w:rsid w:val="69EC05B4"/>
    <w:rsid w:val="6B0F0446"/>
    <w:rsid w:val="6B8E5363"/>
    <w:rsid w:val="6BC96529"/>
    <w:rsid w:val="6BE2312B"/>
    <w:rsid w:val="6C884C89"/>
    <w:rsid w:val="6E122090"/>
    <w:rsid w:val="6E7853E5"/>
    <w:rsid w:val="6E8E3022"/>
    <w:rsid w:val="6E9C573F"/>
    <w:rsid w:val="6EB00C19"/>
    <w:rsid w:val="6EF14083"/>
    <w:rsid w:val="6F007F1A"/>
    <w:rsid w:val="6F094457"/>
    <w:rsid w:val="6F7C731F"/>
    <w:rsid w:val="70A628A5"/>
    <w:rsid w:val="70F53DEA"/>
    <w:rsid w:val="71837838"/>
    <w:rsid w:val="73227003"/>
    <w:rsid w:val="736E302F"/>
    <w:rsid w:val="73A36C3E"/>
    <w:rsid w:val="741516BE"/>
    <w:rsid w:val="75581BF1"/>
    <w:rsid w:val="75BD5480"/>
    <w:rsid w:val="75F06153"/>
    <w:rsid w:val="76676633"/>
    <w:rsid w:val="76D95DD8"/>
    <w:rsid w:val="77C61D92"/>
    <w:rsid w:val="78207581"/>
    <w:rsid w:val="79784F25"/>
    <w:rsid w:val="797A042B"/>
    <w:rsid w:val="79AA0D57"/>
    <w:rsid w:val="79C222CA"/>
    <w:rsid w:val="79D044EF"/>
    <w:rsid w:val="7A944D20"/>
    <w:rsid w:val="7BBF35CA"/>
    <w:rsid w:val="7BC462D5"/>
    <w:rsid w:val="7D1D3EEF"/>
    <w:rsid w:val="7E1121A5"/>
    <w:rsid w:val="7E4D25B2"/>
    <w:rsid w:val="7E6D2174"/>
    <w:rsid w:val="7FBF651E"/>
    <w:rsid w:val="7FCB7C32"/>
  </w:rsids>
  <w:docVars>
    <w:docVar w:name="commondata" w:val="eyJoZGlkIjoiZDZiMzNlNjQ3ZTBkZTlhYjc1MjBiMjQ3NmE4OTIzNjg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qFormat="1"/>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2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spacing w:before="340" w:after="330" w:line="578" w:lineRule="auto"/>
      <w:outlineLvl w:val="0"/>
    </w:pPr>
    <w:rPr>
      <w:b/>
      <w:bCs/>
      <w:kern w:val="44"/>
      <w:sz w:val="44"/>
      <w:szCs w:val="44"/>
    </w:rPr>
  </w:style>
  <w:style w:type="paragraph" w:styleId="Heading2">
    <w:name w:val="heading 2"/>
    <w:next w:val="BodyText"/>
    <w:link w:val="2Char"/>
    <w:qFormat/>
    <w:pPr>
      <w:spacing w:before="120" w:after="120" w:line="360" w:lineRule="auto"/>
      <w:outlineLvl w:val="1"/>
    </w:pPr>
    <w:rPr>
      <w:rFonts w:ascii="宋体" w:hAnsi="宋体"/>
      <w:b/>
      <w:caps/>
      <w:spacing w:val="10"/>
      <w:sz w:val="24"/>
      <w:lang w:bidi="ar-SA"/>
    </w:rPr>
  </w:style>
  <w:style w:type="paragraph" w:styleId="Heading3">
    <w:name w:val="heading 3"/>
    <w:basedOn w:val="Normal"/>
    <w:next w:val="Normal"/>
    <w:link w:val="3Char"/>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link w:val="Char"/>
    <w:pPr>
      <w:spacing w:after="120"/>
    </w:pPr>
  </w:style>
  <w:style w:type="character" w:customStyle="1" w:styleId="Char">
    <w:name w:val="正文文本 Char"/>
    <w:link w:val="BodyText"/>
    <w:rPr>
      <w:kern w:val="2"/>
      <w:sz w:val="21"/>
      <w:szCs w:val="24"/>
    </w:rPr>
  </w:style>
  <w:style w:type="character" w:customStyle="1" w:styleId="1Char">
    <w:name w:val="标题 1 Char"/>
    <w:link w:val="Heading1"/>
    <w:rPr>
      <w:b/>
      <w:bCs/>
      <w:kern w:val="44"/>
      <w:sz w:val="44"/>
      <w:szCs w:val="44"/>
    </w:rPr>
  </w:style>
  <w:style w:type="character" w:customStyle="1" w:styleId="2Char">
    <w:name w:val="标题 2 Char"/>
    <w:link w:val="Heading2"/>
    <w:rPr>
      <w:rFonts w:ascii="宋体" w:hAnsi="宋体"/>
      <w:b/>
      <w:caps/>
      <w:spacing w:val="10"/>
      <w:sz w:val="24"/>
      <w:lang w:bidi="ar-SA"/>
    </w:rPr>
  </w:style>
  <w:style w:type="character" w:customStyle="1" w:styleId="3Char">
    <w:name w:val="标题 3 Char"/>
    <w:link w:val="Heading3"/>
    <w:rPr>
      <w:b/>
      <w:bCs/>
      <w:kern w:val="2"/>
      <w:sz w:val="32"/>
      <w:szCs w:val="32"/>
    </w:rPr>
  </w:style>
  <w:style w:type="paragraph" w:styleId="TOC7">
    <w:name w:val="toc 7"/>
    <w:basedOn w:val="Normal"/>
    <w:next w:val="Normal"/>
    <w:semiHidden/>
    <w:pPr>
      <w:ind w:left="1260"/>
      <w:jc w:val="left"/>
    </w:pPr>
    <w:rPr>
      <w:sz w:val="18"/>
      <w:szCs w:val="18"/>
    </w:rPr>
  </w:style>
  <w:style w:type="paragraph" w:styleId="DocumentMap">
    <w:name w:val="Document Map"/>
    <w:basedOn w:val="Normal"/>
    <w:link w:val="Char0"/>
    <w:rPr>
      <w:rFonts w:ascii="宋体"/>
      <w:sz w:val="18"/>
      <w:szCs w:val="18"/>
    </w:rPr>
  </w:style>
  <w:style w:type="character" w:customStyle="1" w:styleId="Char0">
    <w:name w:val="文档结构图 Char"/>
    <w:link w:val="DocumentMap"/>
    <w:rPr>
      <w:rFonts w:ascii="宋体"/>
      <w:kern w:val="2"/>
      <w:sz w:val="18"/>
      <w:szCs w:val="18"/>
    </w:rPr>
  </w:style>
  <w:style w:type="paragraph" w:styleId="CommentText">
    <w:name w:val="annotation text"/>
    <w:basedOn w:val="Normal"/>
    <w:link w:val="Char1"/>
    <w:pPr>
      <w:jc w:val="left"/>
    </w:pPr>
  </w:style>
  <w:style w:type="character" w:customStyle="1" w:styleId="Char1">
    <w:name w:val="批注文字 Char"/>
    <w:link w:val="CommentText"/>
    <w:rPr>
      <w:kern w:val="2"/>
      <w:sz w:val="21"/>
      <w:szCs w:val="24"/>
    </w:rPr>
  </w:style>
  <w:style w:type="paragraph" w:styleId="BodyText3">
    <w:name w:val="Body Text 3"/>
    <w:basedOn w:val="Normal"/>
    <w:rPr>
      <w:rFonts w:eastAsia="仿宋_GB2312"/>
      <w:sz w:val="30"/>
    </w:rPr>
  </w:style>
  <w:style w:type="paragraph" w:styleId="BodyTextIndent">
    <w:name w:val="Body Text Indent"/>
    <w:basedOn w:val="Normal"/>
    <w:link w:val="Char2"/>
    <w:pPr>
      <w:spacing w:after="120"/>
      <w:ind w:left="420" w:leftChars="200"/>
    </w:pPr>
  </w:style>
  <w:style w:type="character" w:customStyle="1" w:styleId="Char2">
    <w:name w:val="正文文本缩进 Char"/>
    <w:link w:val="BodyTextIndent"/>
    <w:rPr>
      <w:kern w:val="2"/>
      <w:sz w:val="21"/>
      <w:szCs w:val="24"/>
    </w:rPr>
  </w:style>
  <w:style w:type="paragraph" w:styleId="TOC5">
    <w:name w:val="toc 5"/>
    <w:basedOn w:val="Normal"/>
    <w:next w:val="Normal"/>
    <w:semiHidden/>
    <w:pPr>
      <w:ind w:left="840"/>
      <w:jc w:val="left"/>
    </w:pPr>
    <w:rPr>
      <w:sz w:val="18"/>
      <w:szCs w:val="18"/>
    </w:rPr>
  </w:style>
  <w:style w:type="paragraph" w:styleId="TOC3">
    <w:name w:val="toc 3"/>
    <w:basedOn w:val="Normal"/>
    <w:next w:val="Normal"/>
    <w:uiPriority w:val="39"/>
    <w:pPr>
      <w:ind w:left="420"/>
      <w:jc w:val="left"/>
    </w:pPr>
    <w:rPr>
      <w:i/>
      <w:iCs/>
      <w:sz w:val="20"/>
      <w:szCs w:val="20"/>
    </w:rPr>
  </w:style>
  <w:style w:type="paragraph" w:styleId="PlainText">
    <w:name w:val="Plain Text"/>
    <w:basedOn w:val="Normal"/>
    <w:link w:val="Char3"/>
    <w:rPr>
      <w:rFonts w:ascii="宋体" w:hAnsi="Courier New"/>
      <w:kern w:val="10"/>
      <w:szCs w:val="20"/>
    </w:rPr>
  </w:style>
  <w:style w:type="character" w:customStyle="1" w:styleId="Char3">
    <w:name w:val="纯文本 Char"/>
    <w:link w:val="PlainText"/>
    <w:rPr>
      <w:rFonts w:ascii="宋体" w:hAnsi="Courier New"/>
      <w:kern w:val="10"/>
      <w:sz w:val="21"/>
    </w:rPr>
  </w:style>
  <w:style w:type="paragraph" w:styleId="TOC8">
    <w:name w:val="toc 8"/>
    <w:basedOn w:val="Normal"/>
    <w:next w:val="Normal"/>
    <w:semiHidden/>
    <w:pPr>
      <w:ind w:left="1470"/>
      <w:jc w:val="left"/>
    </w:pPr>
    <w:rPr>
      <w:sz w:val="18"/>
      <w:szCs w:val="18"/>
    </w:rPr>
  </w:style>
  <w:style w:type="paragraph" w:styleId="BalloonText">
    <w:name w:val="Balloon Text"/>
    <w:basedOn w:val="Normal"/>
    <w:semiHidden/>
    <w:rPr>
      <w:sz w:val="18"/>
      <w:szCs w:val="18"/>
    </w:rPr>
  </w:style>
  <w:style w:type="paragraph" w:styleId="Footer">
    <w:name w:val="footer"/>
    <w:basedOn w:val="Normal"/>
    <w:link w:val="Char4"/>
    <w:uiPriority w:val="99"/>
    <w:pPr>
      <w:tabs>
        <w:tab w:val="center" w:pos="4153"/>
        <w:tab w:val="right" w:pos="8306"/>
      </w:tabs>
      <w:snapToGrid w:val="0"/>
      <w:jc w:val="left"/>
    </w:pPr>
    <w:rPr>
      <w:sz w:val="18"/>
      <w:szCs w:val="18"/>
    </w:rPr>
  </w:style>
  <w:style w:type="character" w:customStyle="1" w:styleId="Char4">
    <w:name w:val="页脚 Char"/>
    <w:link w:val="Footer"/>
    <w:uiPriority w:val="99"/>
    <w:rPr>
      <w:kern w:val="2"/>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pPr>
      <w:tabs>
        <w:tab w:val="right" w:leader="dot" w:pos="8302"/>
      </w:tabs>
      <w:spacing w:before="120" w:after="120"/>
      <w:jc w:val="left"/>
    </w:pPr>
    <w:rPr>
      <w:b/>
      <w:bCs/>
      <w:caps/>
      <w:sz w:val="20"/>
      <w:szCs w:val="20"/>
    </w:rPr>
  </w:style>
  <w:style w:type="paragraph" w:styleId="TOC4">
    <w:name w:val="toc 4"/>
    <w:basedOn w:val="Normal"/>
    <w:next w:val="Normal"/>
    <w:semiHidden/>
    <w:pPr>
      <w:ind w:left="630"/>
      <w:jc w:val="left"/>
    </w:pPr>
    <w:rPr>
      <w:sz w:val="18"/>
      <w:szCs w:val="18"/>
    </w:rPr>
  </w:style>
  <w:style w:type="paragraph" w:styleId="Subtitle">
    <w:name w:val="Subtitle"/>
    <w:basedOn w:val="Normal"/>
    <w:next w:val="Normal"/>
    <w:link w:val="Char5"/>
    <w:qFormat/>
    <w:pPr>
      <w:spacing w:before="120" w:line="312" w:lineRule="auto"/>
      <w:jc w:val="left"/>
      <w:outlineLvl w:val="1"/>
    </w:pPr>
    <w:rPr>
      <w:rFonts w:ascii="Cambria" w:hAnsi="Cambria"/>
      <w:b/>
      <w:bCs/>
      <w:kern w:val="28"/>
      <w:sz w:val="28"/>
      <w:szCs w:val="32"/>
    </w:rPr>
  </w:style>
  <w:style w:type="character" w:customStyle="1" w:styleId="Char5">
    <w:name w:val="副标题 Char"/>
    <w:aliases w:val="标题2 Char"/>
    <w:link w:val="Subtitle"/>
    <w:rPr>
      <w:rFonts w:ascii="Cambria" w:hAnsi="Cambria"/>
      <w:b/>
      <w:bCs/>
      <w:kern w:val="28"/>
      <w:sz w:val="28"/>
      <w:szCs w:val="32"/>
    </w:rPr>
  </w:style>
  <w:style w:type="paragraph" w:styleId="TOC6">
    <w:name w:val="toc 6"/>
    <w:basedOn w:val="Normal"/>
    <w:next w:val="Normal"/>
    <w:semiHidden/>
    <w:pPr>
      <w:ind w:left="1050"/>
      <w:jc w:val="left"/>
    </w:pPr>
    <w:rPr>
      <w:sz w:val="18"/>
      <w:szCs w:val="18"/>
    </w:rPr>
  </w:style>
  <w:style w:type="paragraph" w:styleId="TOC2">
    <w:name w:val="toc 2"/>
    <w:basedOn w:val="Normal"/>
    <w:next w:val="Normal"/>
    <w:uiPriority w:val="39"/>
    <w:pPr>
      <w:ind w:left="210"/>
      <w:jc w:val="left"/>
    </w:pPr>
    <w:rPr>
      <w:smallCaps/>
      <w:sz w:val="20"/>
      <w:szCs w:val="20"/>
    </w:rPr>
  </w:style>
  <w:style w:type="paragraph" w:styleId="TOC9">
    <w:name w:val="toc 9"/>
    <w:basedOn w:val="Normal"/>
    <w:next w:val="Normal"/>
    <w:semiHidden/>
    <w:pPr>
      <w:ind w:left="1680"/>
      <w:jc w:val="left"/>
    </w:pPr>
    <w:rPr>
      <w:sz w:val="18"/>
      <w:szCs w:val="18"/>
    </w:rPr>
  </w:style>
  <w:style w:type="paragraph" w:styleId="NormalWeb">
    <w:name w:val="Normal (Web)"/>
    <w:basedOn w:val="Normal"/>
    <w:uiPriority w:val="99"/>
    <w:unhideWhenUsed/>
    <w:pPr>
      <w:widowControl/>
      <w:spacing w:before="100" w:beforeAutospacing="1" w:after="100" w:afterAutospacing="1"/>
      <w:jc w:val="left"/>
    </w:pPr>
    <w:rPr>
      <w:rFonts w:ascii="宋体" w:hAnsi="宋体" w:cs="宋体"/>
      <w:kern w:val="0"/>
      <w:sz w:val="24"/>
    </w:rPr>
  </w:style>
  <w:style w:type="paragraph" w:styleId="CommentSubject">
    <w:name w:val="annotation subject"/>
    <w:basedOn w:val="CommentText"/>
    <w:next w:val="CommentText"/>
    <w:link w:val="Char6"/>
    <w:rPr>
      <w:b/>
      <w:bCs/>
    </w:rPr>
  </w:style>
  <w:style w:type="character" w:customStyle="1" w:styleId="Char6">
    <w:name w:val="批注主题 Char"/>
    <w:link w:val="CommentSubject"/>
    <w:rPr>
      <w:b/>
      <w:bCs/>
      <w:kern w:val="2"/>
      <w:sz w:val="21"/>
      <w:szCs w:val="24"/>
    </w:rPr>
  </w:style>
  <w:style w:type="paragraph" w:styleId="BodyTextFirstIndent2">
    <w:name w:val="Body Text First Indent 2"/>
    <w:basedOn w:val="BodyTextIndent"/>
    <w:uiPriority w:val="99"/>
    <w:unhideWhenUsed/>
    <w:qFormat/>
    <w:pPr>
      <w:ind w:firstLine="420"/>
    </w:p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FollowedHyperlink">
    <w:name w:val="FollowedHyperlink"/>
    <w:rPr>
      <w:color w:val="800080"/>
      <w:u w:val="single"/>
    </w:rPr>
  </w:style>
  <w:style w:type="character" w:styleId="Emphasis">
    <w:name w:val="Emphasis"/>
    <w:uiPriority w:val="20"/>
    <w:qFormat/>
    <w:rPr>
      <w:color w:val="CC0000"/>
    </w:rPr>
  </w:style>
  <w:style w:type="character" w:styleId="Hyperlink">
    <w:name w:val="Hyperlink"/>
    <w:uiPriority w:val="99"/>
    <w:rPr>
      <w:color w:val="0000FF"/>
      <w:u w:val="single"/>
    </w:rPr>
  </w:style>
  <w:style w:type="character" w:styleId="CommentReference">
    <w:name w:val="annotation reference"/>
    <w:rPr>
      <w:sz w:val="21"/>
      <w:szCs w:val="21"/>
    </w:rPr>
  </w:style>
  <w:style w:type="paragraph" w:customStyle="1" w:styleId="a">
    <w:name w:val="首行缩进正文"/>
    <w:basedOn w:val="Normal"/>
    <w:qFormat/>
    <w:pPr>
      <w:widowControl/>
      <w:snapToGrid w:val="0"/>
      <w:spacing w:after="200" w:line="360" w:lineRule="auto"/>
      <w:ind w:firstLine="200" w:firstLineChars="200"/>
      <w:jc w:val="left"/>
    </w:pPr>
    <w:rPr>
      <w:rFonts w:ascii="Calibri" w:hAnsi="Calibri" w:cs="Times New Roman"/>
      <w:kern w:val="0"/>
      <w:sz w:val="28"/>
      <w:szCs w:val="22"/>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20">
    <w:name w:val=" Char2"/>
    <w:basedOn w:val="Normal"/>
    <w:rPr>
      <w:rFonts w:ascii="Tahoma" w:hAnsi="Tahoma"/>
      <w:sz w:val="24"/>
      <w:szCs w:val="20"/>
    </w:rPr>
  </w:style>
  <w:style w:type="paragraph" w:customStyle="1" w:styleId="Default">
    <w:name w:val="Default"/>
    <w:pPr>
      <w:widowControl w:val="0"/>
      <w:autoSpaceDE w:val="0"/>
      <w:autoSpaceDN w:val="0"/>
      <w:adjustRightInd w:val="0"/>
    </w:pPr>
    <w:rPr>
      <w:rFonts w:ascii="仿宋_GB2312" w:eastAsia="仿宋_GB2312" w:cs="仿宋_GB2312"/>
      <w:color w:val="000000"/>
      <w:sz w:val="24"/>
      <w:szCs w:val="24"/>
      <w:lang w:val="en-US" w:eastAsia="zh-CN" w:bidi="ar-SA"/>
    </w:rPr>
  </w:style>
  <w:style w:type="paragraph" w:customStyle="1" w:styleId="Char7">
    <w:name w:val=" Char"/>
    <w:basedOn w:val="Normal"/>
    <w:pPr>
      <w:ind w:firstLine="456" w:firstLineChars="200"/>
    </w:pPr>
    <w:rPr>
      <w:szCs w:val="21"/>
    </w:rPr>
  </w:style>
  <w:style w:type="paragraph" w:customStyle="1" w:styleId="a0">
    <w:name w:val="一级条标题"/>
    <w:next w:val="Normal"/>
    <w:pPr>
      <w:numPr>
        <w:ilvl w:val="1"/>
        <w:numId w:val="1"/>
      </w:numPr>
      <w:spacing w:beforeLines="50" w:afterLines="50"/>
      <w:outlineLvl w:val="2"/>
    </w:pPr>
    <w:rPr>
      <w:rFonts w:ascii="黑体" w:eastAsia="黑体"/>
      <w:sz w:val="21"/>
      <w:szCs w:val="21"/>
      <w:lang w:val="en-US" w:eastAsia="zh-CN" w:bidi="ar-SA"/>
    </w:rPr>
  </w:style>
  <w:style w:type="paragraph" w:customStyle="1" w:styleId="a1">
    <w:name w:val="章标题"/>
    <w:next w:val="Normal"/>
    <w:pPr>
      <w:numPr>
        <w:ilvl w:val="0"/>
        <w:numId w:val="1"/>
      </w:numPr>
      <w:spacing w:beforeLines="100" w:afterLines="100"/>
      <w:jc w:val="both"/>
      <w:outlineLvl w:val="1"/>
    </w:pPr>
    <w:rPr>
      <w:rFonts w:ascii="黑体" w:eastAsia="黑体"/>
      <w:sz w:val="21"/>
      <w:lang w:val="en-US" w:eastAsia="zh-CN" w:bidi="ar-SA"/>
    </w:rPr>
  </w:style>
  <w:style w:type="paragraph" w:customStyle="1" w:styleId="a2">
    <w:name w:val="二级条标题"/>
    <w:basedOn w:val="a0"/>
    <w:next w:val="Normal"/>
    <w:pPr>
      <w:numPr>
        <w:ilvl w:val="2"/>
        <w:numId w:val="1"/>
      </w:numPr>
      <w:spacing w:before="50" w:after="50"/>
      <w:outlineLvl w:val="3"/>
    </w:pPr>
  </w:style>
  <w:style w:type="paragraph" w:customStyle="1" w:styleId="a3">
    <w:name w:val="列项——（一级）"/>
    <w:uiPriority w:val="99"/>
    <w:pPr>
      <w:widowControl w:val="0"/>
      <w:numPr>
        <w:ilvl w:val="0"/>
        <w:numId w:val="2"/>
      </w:numPr>
      <w:jc w:val="both"/>
    </w:pPr>
    <w:rPr>
      <w:rFonts w:ascii="宋体"/>
      <w:sz w:val="21"/>
      <w:lang w:val="en-US" w:eastAsia="zh-CN" w:bidi="ar-SA"/>
    </w:rPr>
  </w:style>
  <w:style w:type="paragraph" w:customStyle="1" w:styleId="a4">
    <w:name w:val="列项●（二级）"/>
    <w:uiPriority w:val="99"/>
    <w:pPr>
      <w:numPr>
        <w:ilvl w:val="1"/>
        <w:numId w:val="2"/>
      </w:numPr>
      <w:tabs>
        <w:tab w:val="left" w:pos="760"/>
        <w:tab w:val="left" w:pos="840"/>
      </w:tabs>
      <w:jc w:val="both"/>
    </w:pPr>
    <w:rPr>
      <w:rFonts w:ascii="宋体"/>
      <w:sz w:val="21"/>
      <w:lang w:val="en-US" w:eastAsia="zh-CN" w:bidi="ar-SA"/>
    </w:rPr>
  </w:style>
  <w:style w:type="paragraph" w:customStyle="1" w:styleId="a5">
    <w:name w:val="三级条标题"/>
    <w:basedOn w:val="a2"/>
    <w:next w:val="Normal"/>
    <w:pPr>
      <w:numPr>
        <w:ilvl w:val="3"/>
        <w:numId w:val="1"/>
      </w:numPr>
      <w:outlineLvl w:val="4"/>
    </w:pPr>
  </w:style>
  <w:style w:type="paragraph" w:customStyle="1" w:styleId="a6">
    <w:name w:val="四级条标题"/>
    <w:basedOn w:val="a5"/>
    <w:next w:val="Normal"/>
    <w:pPr>
      <w:numPr>
        <w:ilvl w:val="4"/>
        <w:numId w:val="1"/>
      </w:numPr>
      <w:outlineLvl w:val="5"/>
    </w:pPr>
  </w:style>
  <w:style w:type="paragraph" w:customStyle="1" w:styleId="a7">
    <w:name w:val="五级条标题"/>
    <w:basedOn w:val="a6"/>
    <w:next w:val="Normal"/>
    <w:pPr>
      <w:numPr>
        <w:ilvl w:val="5"/>
        <w:numId w:val="1"/>
      </w:numPr>
      <w:outlineLvl w:val="6"/>
    </w:pPr>
  </w:style>
  <w:style w:type="paragraph" w:customStyle="1" w:styleId="a8">
    <w:name w:val="列项◆（三级）"/>
    <w:basedOn w:val="Normal"/>
    <w:uiPriority w:val="99"/>
    <w:pPr>
      <w:numPr>
        <w:ilvl w:val="2"/>
        <w:numId w:val="2"/>
      </w:numPr>
      <w:tabs>
        <w:tab w:val="left" w:pos="1678"/>
      </w:tabs>
    </w:pPr>
    <w:rPr>
      <w:rFonts w:ascii="宋体"/>
      <w:szCs w:val="21"/>
    </w:rPr>
  </w:style>
  <w:style w:type="paragraph" w:customStyle="1" w:styleId="a9">
    <w:name w:val="二级无"/>
    <w:basedOn w:val="a2"/>
    <w:uiPriority w:val="99"/>
    <w:pPr>
      <w:spacing w:beforeLines="0" w:afterLines="0"/>
    </w:pPr>
    <w:rPr>
      <w:rFonts w:ascii="宋体" w:eastAsia="宋体"/>
    </w:rPr>
  </w:style>
  <w:style w:type="paragraph" w:customStyle="1" w:styleId="a10">
    <w:name w:val="段"/>
    <w:link w:val="Char8"/>
    <w:pPr>
      <w:tabs>
        <w:tab w:val="center" w:pos="4201"/>
        <w:tab w:val="right" w:leader="dot" w:pos="9298"/>
      </w:tabs>
      <w:autoSpaceDE w:val="0"/>
      <w:autoSpaceDN w:val="0"/>
      <w:ind w:firstLine="420" w:firstLineChars="200"/>
      <w:jc w:val="both"/>
    </w:pPr>
    <w:rPr>
      <w:rFonts w:ascii="宋体"/>
      <w:sz w:val="21"/>
      <w:lang w:bidi="ar-SA"/>
    </w:rPr>
  </w:style>
  <w:style w:type="character" w:customStyle="1" w:styleId="Char8">
    <w:name w:val="段 Char"/>
    <w:link w:val="a10"/>
    <w:locked/>
    <w:rPr>
      <w:rFonts w:ascii="宋体"/>
      <w:sz w:val="21"/>
      <w:lang w:bidi="ar-SA"/>
    </w:rPr>
  </w:style>
  <w:style w:type="paragraph" w:customStyle="1" w:styleId="CharChar1CharCharCharCharCharChar">
    <w:name w:val=" Char Char1 Char Char Char Char Char Char"/>
    <w:basedOn w:val="Normal"/>
    <w:pPr>
      <w:widowControl/>
      <w:spacing w:after="160" w:line="240" w:lineRule="exact"/>
      <w:jc w:val="left"/>
    </w:pPr>
    <w:rPr>
      <w:rFonts w:ascii="Verdana" w:eastAsia="仿宋_GB2312" w:hAnsi="Verdana"/>
      <w:kern w:val="0"/>
      <w:sz w:val="24"/>
      <w:szCs w:val="20"/>
      <w:lang w:eastAsia="en-US"/>
    </w:rPr>
  </w:style>
  <w:style w:type="paragraph" w:customStyle="1" w:styleId="CharCharChar">
    <w:name w:val=" Char Char Char"/>
    <w:basedOn w:val="Normal"/>
  </w:style>
  <w:style w:type="paragraph" w:customStyle="1" w:styleId="a11">
    <w:name w:val="正文表标题"/>
    <w:next w:val="Normal"/>
    <w:pPr>
      <w:numPr>
        <w:ilvl w:val="0"/>
        <w:numId w:val="3"/>
      </w:numPr>
      <w:jc w:val="center"/>
    </w:pPr>
    <w:rPr>
      <w:rFonts w:ascii="黑体" w:eastAsia="黑体"/>
      <w:sz w:val="21"/>
      <w:lang w:val="en-US" w:eastAsia="zh-CN" w:bidi="ar-SA"/>
    </w:rPr>
  </w:style>
  <w:style w:type="paragraph" w:customStyle="1" w:styleId="a12">
    <w:name w:val="注×："/>
    <w:pPr>
      <w:widowControl w:val="0"/>
      <w:numPr>
        <w:ilvl w:val="0"/>
        <w:numId w:val="4"/>
      </w:numPr>
      <w:tabs>
        <w:tab w:val="left" w:pos="630"/>
        <w:tab w:val="clear" w:pos="900"/>
      </w:tabs>
      <w:autoSpaceDE w:val="0"/>
      <w:autoSpaceDN w:val="0"/>
      <w:jc w:val="both"/>
    </w:pPr>
    <w:rPr>
      <w:rFonts w:ascii="宋体"/>
      <w:sz w:val="18"/>
      <w:lang w:val="en-US" w:eastAsia="zh-CN" w:bidi="ar-SA"/>
    </w:rPr>
  </w:style>
  <w:style w:type="paragraph" w:styleId="ListParagraph">
    <w:name w:val="List Paragraph"/>
    <w:basedOn w:val="Normal"/>
    <w:uiPriority w:val="34"/>
    <w:qFormat/>
    <w:pPr>
      <w:ind w:firstLine="420" w:firstLineChars="200"/>
    </w:pPr>
  </w:style>
  <w:style w:type="paragraph" w:customStyle="1" w:styleId="a13">
    <w:name w:val="注："/>
    <w:next w:val="Normal"/>
    <w:pPr>
      <w:widowControl w:val="0"/>
      <w:numPr>
        <w:ilvl w:val="0"/>
        <w:numId w:val="5"/>
      </w:numPr>
      <w:tabs>
        <w:tab w:val="clear" w:pos="1140"/>
      </w:tabs>
      <w:autoSpaceDE w:val="0"/>
      <w:autoSpaceDN w:val="0"/>
      <w:jc w:val="both"/>
    </w:pPr>
    <w:rPr>
      <w:rFonts w:ascii="宋体"/>
      <w:sz w:val="18"/>
      <w:lang w:val="en-US" w:eastAsia="zh-CN" w:bidi="ar-SA"/>
    </w:rPr>
  </w:style>
  <w:style w:type="paragraph" w:customStyle="1" w:styleId="-4">
    <w:name w:val="题目-4"/>
    <w:basedOn w:val="Normal"/>
    <w:qFormat/>
    <w:pPr>
      <w:spacing w:after="70"/>
      <w:ind w:left="981" w:right="-11" w:firstLine="0" w:firstLineChars="0"/>
      <w:jc w:val="left"/>
    </w:pPr>
    <w:rPr>
      <w:rFonts w:ascii="仿宋_GB2312" w:eastAsia="仿宋_GB2312"/>
      <w:b/>
      <w:bCs/>
      <w:kern w:val="0"/>
      <w:sz w:val="28"/>
      <w:szCs w:val="28"/>
    </w:rPr>
  </w:style>
  <w:style w:type="paragraph" w:customStyle="1" w:styleId="a14">
    <w:name w:val="图表"/>
    <w:basedOn w:val="NormalWeb"/>
    <w:qFormat/>
    <w:pPr>
      <w:widowControl/>
      <w:spacing w:before="100" w:beforeAutospacing="1" w:after="100" w:afterAutospacing="1"/>
      <w:jc w:val="center"/>
    </w:pPr>
    <w:rPr>
      <w:rFonts w:cs="Century"/>
      <w:kern w:val="0"/>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footer" Target="footer50.xml" /><Relationship Id="rId101" Type="http://schemas.openxmlformats.org/officeDocument/2006/relationships/header" Target="header47.xml" /><Relationship Id="rId102" Type="http://schemas.openxmlformats.org/officeDocument/2006/relationships/header" Target="header48.xml" /><Relationship Id="rId103" Type="http://schemas.openxmlformats.org/officeDocument/2006/relationships/footer" Target="footer51.xml" /><Relationship Id="rId104" Type="http://schemas.openxmlformats.org/officeDocument/2006/relationships/footer" Target="footer52.xml" /><Relationship Id="rId105" Type="http://schemas.openxmlformats.org/officeDocument/2006/relationships/header" Target="header49.xml" /><Relationship Id="rId106" Type="http://schemas.openxmlformats.org/officeDocument/2006/relationships/footer" Target="footer53.xml" /><Relationship Id="rId107" Type="http://schemas.openxmlformats.org/officeDocument/2006/relationships/image" Target="media/image2.png" /><Relationship Id="rId108" Type="http://schemas.openxmlformats.org/officeDocument/2006/relationships/header" Target="header50.xml" /><Relationship Id="rId109" Type="http://schemas.openxmlformats.org/officeDocument/2006/relationships/header" Target="header51.xml" /><Relationship Id="rId11" Type="http://schemas.openxmlformats.org/officeDocument/2006/relationships/footer" Target="footer5.xml" /><Relationship Id="rId110" Type="http://schemas.openxmlformats.org/officeDocument/2006/relationships/footer" Target="footer54.xml" /><Relationship Id="rId111" Type="http://schemas.openxmlformats.org/officeDocument/2006/relationships/footer" Target="footer55.xml" /><Relationship Id="rId112" Type="http://schemas.openxmlformats.org/officeDocument/2006/relationships/header" Target="header52.xml" /><Relationship Id="rId113" Type="http://schemas.openxmlformats.org/officeDocument/2006/relationships/footer" Target="footer56.xml" /><Relationship Id="rId114" Type="http://schemas.openxmlformats.org/officeDocument/2006/relationships/header" Target="header53.xml" /><Relationship Id="rId115" Type="http://schemas.openxmlformats.org/officeDocument/2006/relationships/header" Target="header54.xml" /><Relationship Id="rId116" Type="http://schemas.openxmlformats.org/officeDocument/2006/relationships/footer" Target="footer57.xml" /><Relationship Id="rId117" Type="http://schemas.openxmlformats.org/officeDocument/2006/relationships/footer" Target="footer58.xml" /><Relationship Id="rId118" Type="http://schemas.openxmlformats.org/officeDocument/2006/relationships/header" Target="header55.xml" /><Relationship Id="rId119" Type="http://schemas.openxmlformats.org/officeDocument/2006/relationships/footer" Target="footer59.xml" /><Relationship Id="rId12" Type="http://schemas.openxmlformats.org/officeDocument/2006/relationships/footer" Target="footer6.xml" /><Relationship Id="rId120" Type="http://schemas.openxmlformats.org/officeDocument/2006/relationships/header" Target="header56.xml" /><Relationship Id="rId121" Type="http://schemas.openxmlformats.org/officeDocument/2006/relationships/header" Target="header57.xml" /><Relationship Id="rId122" Type="http://schemas.openxmlformats.org/officeDocument/2006/relationships/footer" Target="footer60.xml" /><Relationship Id="rId123" Type="http://schemas.openxmlformats.org/officeDocument/2006/relationships/footer" Target="footer61.xml" /><Relationship Id="rId124" Type="http://schemas.openxmlformats.org/officeDocument/2006/relationships/header" Target="header58.xml" /><Relationship Id="rId125" Type="http://schemas.openxmlformats.org/officeDocument/2006/relationships/footer" Target="footer62.xml" /><Relationship Id="rId126" Type="http://schemas.openxmlformats.org/officeDocument/2006/relationships/header" Target="header59.xml" /><Relationship Id="rId127" Type="http://schemas.openxmlformats.org/officeDocument/2006/relationships/header" Target="header60.xml" /><Relationship Id="rId128" Type="http://schemas.openxmlformats.org/officeDocument/2006/relationships/footer" Target="footer63.xml" /><Relationship Id="rId129" Type="http://schemas.openxmlformats.org/officeDocument/2006/relationships/footer" Target="footer64.xml" /><Relationship Id="rId13" Type="http://schemas.openxmlformats.org/officeDocument/2006/relationships/header" Target="header4.xml" /><Relationship Id="rId130" Type="http://schemas.openxmlformats.org/officeDocument/2006/relationships/header" Target="header61.xml" /><Relationship Id="rId131" Type="http://schemas.openxmlformats.org/officeDocument/2006/relationships/footer" Target="footer65.xml" /><Relationship Id="rId132" Type="http://schemas.openxmlformats.org/officeDocument/2006/relationships/header" Target="header62.xml" /><Relationship Id="rId133" Type="http://schemas.openxmlformats.org/officeDocument/2006/relationships/header" Target="header63.xml" /><Relationship Id="rId134" Type="http://schemas.openxmlformats.org/officeDocument/2006/relationships/footer" Target="footer66.xml" /><Relationship Id="rId135" Type="http://schemas.openxmlformats.org/officeDocument/2006/relationships/footer" Target="footer67.xml" /><Relationship Id="rId136" Type="http://schemas.openxmlformats.org/officeDocument/2006/relationships/header" Target="header64.xml" /><Relationship Id="rId137" Type="http://schemas.openxmlformats.org/officeDocument/2006/relationships/footer" Target="footer68.xml" /><Relationship Id="rId138" Type="http://schemas.openxmlformats.org/officeDocument/2006/relationships/header" Target="header65.xml" /><Relationship Id="rId139" Type="http://schemas.openxmlformats.org/officeDocument/2006/relationships/header" Target="header66.xml" /><Relationship Id="rId14" Type="http://schemas.openxmlformats.org/officeDocument/2006/relationships/footer" Target="footer7.xml" /><Relationship Id="rId140" Type="http://schemas.openxmlformats.org/officeDocument/2006/relationships/footer" Target="footer69.xml" /><Relationship Id="rId141" Type="http://schemas.openxmlformats.org/officeDocument/2006/relationships/footer" Target="footer70.xml" /><Relationship Id="rId142" Type="http://schemas.openxmlformats.org/officeDocument/2006/relationships/header" Target="header67.xml" /><Relationship Id="rId143" Type="http://schemas.openxmlformats.org/officeDocument/2006/relationships/footer" Target="footer71.xml" /><Relationship Id="rId144" Type="http://schemas.openxmlformats.org/officeDocument/2006/relationships/header" Target="header68.xml" /><Relationship Id="rId145" Type="http://schemas.openxmlformats.org/officeDocument/2006/relationships/header" Target="header69.xml" /><Relationship Id="rId146" Type="http://schemas.openxmlformats.org/officeDocument/2006/relationships/footer" Target="footer72.xml" /><Relationship Id="rId147" Type="http://schemas.openxmlformats.org/officeDocument/2006/relationships/footer" Target="footer73.xml" /><Relationship Id="rId148" Type="http://schemas.openxmlformats.org/officeDocument/2006/relationships/header" Target="header70.xml" /><Relationship Id="rId149" Type="http://schemas.openxmlformats.org/officeDocument/2006/relationships/footer" Target="footer74.xml" /><Relationship Id="rId15" Type="http://schemas.openxmlformats.org/officeDocument/2006/relationships/footer" Target="footer8.xml" /><Relationship Id="rId150" Type="http://schemas.openxmlformats.org/officeDocument/2006/relationships/header" Target="header71.xml" /><Relationship Id="rId151" Type="http://schemas.openxmlformats.org/officeDocument/2006/relationships/header" Target="header72.xml" /><Relationship Id="rId152" Type="http://schemas.openxmlformats.org/officeDocument/2006/relationships/footer" Target="footer75.xml" /><Relationship Id="rId153" Type="http://schemas.openxmlformats.org/officeDocument/2006/relationships/footer" Target="footer76.xml" /><Relationship Id="rId154" Type="http://schemas.openxmlformats.org/officeDocument/2006/relationships/header" Target="header73.xml" /><Relationship Id="rId155" Type="http://schemas.openxmlformats.org/officeDocument/2006/relationships/footer" Target="footer77.xml" /><Relationship Id="rId156" Type="http://schemas.openxmlformats.org/officeDocument/2006/relationships/image" Target="media/image3.png" /><Relationship Id="rId157" Type="http://schemas.openxmlformats.org/officeDocument/2006/relationships/header" Target="header74.xml" /><Relationship Id="rId158" Type="http://schemas.openxmlformats.org/officeDocument/2006/relationships/header" Target="header75.xml" /><Relationship Id="rId159" Type="http://schemas.openxmlformats.org/officeDocument/2006/relationships/footer" Target="footer78.xml" /><Relationship Id="rId16" Type="http://schemas.openxmlformats.org/officeDocument/2006/relationships/header" Target="header5.xml" /><Relationship Id="rId160" Type="http://schemas.openxmlformats.org/officeDocument/2006/relationships/footer" Target="footer79.xml" /><Relationship Id="rId161" Type="http://schemas.openxmlformats.org/officeDocument/2006/relationships/header" Target="header76.xml" /><Relationship Id="rId162" Type="http://schemas.openxmlformats.org/officeDocument/2006/relationships/footer" Target="footer80.xml" /><Relationship Id="rId163" Type="http://schemas.openxmlformats.org/officeDocument/2006/relationships/header" Target="header77.xml" /><Relationship Id="rId164" Type="http://schemas.openxmlformats.org/officeDocument/2006/relationships/header" Target="header78.xml" /><Relationship Id="rId165" Type="http://schemas.openxmlformats.org/officeDocument/2006/relationships/footer" Target="footer81.xml" /><Relationship Id="rId166" Type="http://schemas.openxmlformats.org/officeDocument/2006/relationships/footer" Target="footer82.xml" /><Relationship Id="rId167" Type="http://schemas.openxmlformats.org/officeDocument/2006/relationships/header" Target="header79.xml" /><Relationship Id="rId168" Type="http://schemas.openxmlformats.org/officeDocument/2006/relationships/footer" Target="footer83.xml" /><Relationship Id="rId169" Type="http://schemas.openxmlformats.org/officeDocument/2006/relationships/header" Target="header80.xml" /><Relationship Id="rId17" Type="http://schemas.openxmlformats.org/officeDocument/2006/relationships/header" Target="header6.xml" /><Relationship Id="rId170" Type="http://schemas.openxmlformats.org/officeDocument/2006/relationships/header" Target="header81.xml" /><Relationship Id="rId171" Type="http://schemas.openxmlformats.org/officeDocument/2006/relationships/footer" Target="footer84.xml" /><Relationship Id="rId172" Type="http://schemas.openxmlformats.org/officeDocument/2006/relationships/footer" Target="footer85.xml" /><Relationship Id="rId173" Type="http://schemas.openxmlformats.org/officeDocument/2006/relationships/header" Target="header82.xml" /><Relationship Id="rId174" Type="http://schemas.openxmlformats.org/officeDocument/2006/relationships/footer" Target="footer86.xml" /><Relationship Id="rId175" Type="http://schemas.openxmlformats.org/officeDocument/2006/relationships/hyperlink" Target="https://d.book118.com/927061106163006054" TargetMode="External" /><Relationship Id="rId176" Type="http://schemas.openxmlformats.org/officeDocument/2006/relationships/header" Target="header83.xml" /><Relationship Id="rId177" Type="http://schemas.openxmlformats.org/officeDocument/2006/relationships/header" Target="header84.xml" /><Relationship Id="rId178" Type="http://schemas.openxmlformats.org/officeDocument/2006/relationships/footer" Target="footer87.xml" /><Relationship Id="rId179" Type="http://schemas.openxmlformats.org/officeDocument/2006/relationships/footer" Target="footer88.xml" /><Relationship Id="rId18" Type="http://schemas.openxmlformats.org/officeDocument/2006/relationships/footer" Target="footer9.xml" /><Relationship Id="rId180" Type="http://schemas.openxmlformats.org/officeDocument/2006/relationships/header" Target="header85.xml" /><Relationship Id="rId181" Type="http://schemas.openxmlformats.org/officeDocument/2006/relationships/footer" Target="footer89.xml" /><Relationship Id="rId182" Type="http://schemas.openxmlformats.org/officeDocument/2006/relationships/theme" Target="theme/theme1.xml" /><Relationship Id="rId183" Type="http://schemas.openxmlformats.org/officeDocument/2006/relationships/numbering" Target="numbering.xml" /><Relationship Id="rId184" Type="http://schemas.openxmlformats.org/officeDocument/2006/relationships/styles" Target="styles.xml" /><Relationship Id="rId19" Type="http://schemas.openxmlformats.org/officeDocument/2006/relationships/footer" Target="footer10.xml" /><Relationship Id="rId2" Type="http://schemas.openxmlformats.org/officeDocument/2006/relationships/webSettings" Target="webSettings.xml" /><Relationship Id="rId20" Type="http://schemas.openxmlformats.org/officeDocument/2006/relationships/header" Target="header7.xml" /><Relationship Id="rId21" Type="http://schemas.openxmlformats.org/officeDocument/2006/relationships/footer" Target="footer11.xml" /><Relationship Id="rId22" Type="http://schemas.openxmlformats.org/officeDocument/2006/relationships/header" Target="header8.xml" /><Relationship Id="rId23" Type="http://schemas.openxmlformats.org/officeDocument/2006/relationships/header" Target="header9.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header" Target="header10.xml" /><Relationship Id="rId27" Type="http://schemas.openxmlformats.org/officeDocument/2006/relationships/footer" Target="footer14.xml" /><Relationship Id="rId28" Type="http://schemas.openxmlformats.org/officeDocument/2006/relationships/header" Target="header11.xml" /><Relationship Id="rId29" Type="http://schemas.openxmlformats.org/officeDocument/2006/relationships/header" Target="header12.xml" /><Relationship Id="rId3" Type="http://schemas.openxmlformats.org/officeDocument/2006/relationships/fontTable" Target="fontTable.xml" /><Relationship Id="rId30" Type="http://schemas.openxmlformats.org/officeDocument/2006/relationships/footer" Target="footer15.xml" /><Relationship Id="rId31" Type="http://schemas.openxmlformats.org/officeDocument/2006/relationships/footer" Target="footer16.xml" /><Relationship Id="rId32" Type="http://schemas.openxmlformats.org/officeDocument/2006/relationships/header" Target="header13.xml" /><Relationship Id="rId33" Type="http://schemas.openxmlformats.org/officeDocument/2006/relationships/footer" Target="footer17.xml" /><Relationship Id="rId34" Type="http://schemas.openxmlformats.org/officeDocument/2006/relationships/header" Target="header14.xml" /><Relationship Id="rId35" Type="http://schemas.openxmlformats.org/officeDocument/2006/relationships/header" Target="header15.xml" /><Relationship Id="rId36" Type="http://schemas.openxmlformats.org/officeDocument/2006/relationships/footer" Target="footer18.xml" /><Relationship Id="rId37" Type="http://schemas.openxmlformats.org/officeDocument/2006/relationships/footer" Target="footer19.xml" /><Relationship Id="rId38" Type="http://schemas.openxmlformats.org/officeDocument/2006/relationships/header" Target="header16.xml" /><Relationship Id="rId39" Type="http://schemas.openxmlformats.org/officeDocument/2006/relationships/footer" Target="footer20.xml" /><Relationship Id="rId4" Type="http://schemas.openxmlformats.org/officeDocument/2006/relationships/header" Target="header1.xml" /><Relationship Id="rId40" Type="http://schemas.openxmlformats.org/officeDocument/2006/relationships/header" Target="header17.xml" /><Relationship Id="rId41" Type="http://schemas.openxmlformats.org/officeDocument/2006/relationships/header" Target="header18.xml" /><Relationship Id="rId42" Type="http://schemas.openxmlformats.org/officeDocument/2006/relationships/footer" Target="footer21.xml" /><Relationship Id="rId43" Type="http://schemas.openxmlformats.org/officeDocument/2006/relationships/footer" Target="footer22.xml" /><Relationship Id="rId44" Type="http://schemas.openxmlformats.org/officeDocument/2006/relationships/header" Target="header19.xml" /><Relationship Id="rId45" Type="http://schemas.openxmlformats.org/officeDocument/2006/relationships/footer" Target="footer23.xml" /><Relationship Id="rId46" Type="http://schemas.openxmlformats.org/officeDocument/2006/relationships/header" Target="header20.xml" /><Relationship Id="rId47" Type="http://schemas.openxmlformats.org/officeDocument/2006/relationships/header" Target="header21.xml" /><Relationship Id="rId48" Type="http://schemas.openxmlformats.org/officeDocument/2006/relationships/footer" Target="footer24.xml" /><Relationship Id="rId49" Type="http://schemas.openxmlformats.org/officeDocument/2006/relationships/footer" Target="footer25.xml" /><Relationship Id="rId5" Type="http://schemas.openxmlformats.org/officeDocument/2006/relationships/footer" Target="footer1.xml" /><Relationship Id="rId50" Type="http://schemas.openxmlformats.org/officeDocument/2006/relationships/header" Target="header22.xml" /><Relationship Id="rId51" Type="http://schemas.openxmlformats.org/officeDocument/2006/relationships/footer" Target="footer26.xml" /><Relationship Id="rId52" Type="http://schemas.openxmlformats.org/officeDocument/2006/relationships/header" Target="header23.xml" /><Relationship Id="rId53" Type="http://schemas.openxmlformats.org/officeDocument/2006/relationships/header" Target="header24.xml" /><Relationship Id="rId54" Type="http://schemas.openxmlformats.org/officeDocument/2006/relationships/footer" Target="footer27.xml" /><Relationship Id="rId55" Type="http://schemas.openxmlformats.org/officeDocument/2006/relationships/footer" Target="footer28.xml" /><Relationship Id="rId56" Type="http://schemas.openxmlformats.org/officeDocument/2006/relationships/header" Target="header25.xml" /><Relationship Id="rId57" Type="http://schemas.openxmlformats.org/officeDocument/2006/relationships/footer" Target="footer29.xml" /><Relationship Id="rId58" Type="http://schemas.openxmlformats.org/officeDocument/2006/relationships/header" Target="header26.xml" /><Relationship Id="rId59" Type="http://schemas.openxmlformats.org/officeDocument/2006/relationships/header" Target="header27.xml" /><Relationship Id="rId6" Type="http://schemas.openxmlformats.org/officeDocument/2006/relationships/footer" Target="footer2.xml" /><Relationship Id="rId60" Type="http://schemas.openxmlformats.org/officeDocument/2006/relationships/footer" Target="footer30.xml" /><Relationship Id="rId61" Type="http://schemas.openxmlformats.org/officeDocument/2006/relationships/footer" Target="footer31.xml" /><Relationship Id="rId62" Type="http://schemas.openxmlformats.org/officeDocument/2006/relationships/header" Target="header28.xml" /><Relationship Id="rId63" Type="http://schemas.openxmlformats.org/officeDocument/2006/relationships/footer" Target="footer32.xml" /><Relationship Id="rId64" Type="http://schemas.openxmlformats.org/officeDocument/2006/relationships/header" Target="header29.xml" /><Relationship Id="rId65" Type="http://schemas.openxmlformats.org/officeDocument/2006/relationships/header" Target="header30.xml" /><Relationship Id="rId66" Type="http://schemas.openxmlformats.org/officeDocument/2006/relationships/footer" Target="footer33.xml" /><Relationship Id="rId67" Type="http://schemas.openxmlformats.org/officeDocument/2006/relationships/footer" Target="footer34.xml" /><Relationship Id="rId68" Type="http://schemas.openxmlformats.org/officeDocument/2006/relationships/header" Target="header31.xml" /><Relationship Id="rId69" Type="http://schemas.openxmlformats.org/officeDocument/2006/relationships/footer" Target="footer35.xml" /><Relationship Id="rId7" Type="http://schemas.openxmlformats.org/officeDocument/2006/relationships/header" Target="header2.xml" /><Relationship Id="rId70" Type="http://schemas.openxmlformats.org/officeDocument/2006/relationships/header" Target="header32.xml" /><Relationship Id="rId71" Type="http://schemas.openxmlformats.org/officeDocument/2006/relationships/header" Target="header33.xml" /><Relationship Id="rId72" Type="http://schemas.openxmlformats.org/officeDocument/2006/relationships/footer" Target="footer36.xml" /><Relationship Id="rId73" Type="http://schemas.openxmlformats.org/officeDocument/2006/relationships/footer" Target="footer37.xml" /><Relationship Id="rId74" Type="http://schemas.openxmlformats.org/officeDocument/2006/relationships/header" Target="header34.xml" /><Relationship Id="rId75" Type="http://schemas.openxmlformats.org/officeDocument/2006/relationships/footer" Target="footer38.xml" /><Relationship Id="rId76" Type="http://schemas.openxmlformats.org/officeDocument/2006/relationships/header" Target="header35.xml" /><Relationship Id="rId77" Type="http://schemas.openxmlformats.org/officeDocument/2006/relationships/header" Target="header36.xml" /><Relationship Id="rId78" Type="http://schemas.openxmlformats.org/officeDocument/2006/relationships/footer" Target="footer39.xml" /><Relationship Id="rId79" Type="http://schemas.openxmlformats.org/officeDocument/2006/relationships/footer" Target="footer40.xml" /><Relationship Id="rId8" Type="http://schemas.openxmlformats.org/officeDocument/2006/relationships/footer" Target="footer3.xml" /><Relationship Id="rId80" Type="http://schemas.openxmlformats.org/officeDocument/2006/relationships/header" Target="header37.xml" /><Relationship Id="rId81" Type="http://schemas.openxmlformats.org/officeDocument/2006/relationships/footer" Target="footer41.xml" /><Relationship Id="rId82" Type="http://schemas.openxmlformats.org/officeDocument/2006/relationships/header" Target="header38.xml" /><Relationship Id="rId83" Type="http://schemas.openxmlformats.org/officeDocument/2006/relationships/header" Target="header39.xml" /><Relationship Id="rId84" Type="http://schemas.openxmlformats.org/officeDocument/2006/relationships/footer" Target="footer42.xml" /><Relationship Id="rId85" Type="http://schemas.openxmlformats.org/officeDocument/2006/relationships/footer" Target="footer43.xml" /><Relationship Id="rId86" Type="http://schemas.openxmlformats.org/officeDocument/2006/relationships/header" Target="header40.xml" /><Relationship Id="rId87" Type="http://schemas.openxmlformats.org/officeDocument/2006/relationships/footer" Target="footer44.xml" /><Relationship Id="rId88" Type="http://schemas.openxmlformats.org/officeDocument/2006/relationships/header" Target="header41.xml" /><Relationship Id="rId89" Type="http://schemas.openxmlformats.org/officeDocument/2006/relationships/header" Target="header42.xml" /><Relationship Id="rId9" Type="http://schemas.openxmlformats.org/officeDocument/2006/relationships/footer" Target="footer4.xml" /><Relationship Id="rId90" Type="http://schemas.openxmlformats.org/officeDocument/2006/relationships/footer" Target="footer45.xml" /><Relationship Id="rId91" Type="http://schemas.openxmlformats.org/officeDocument/2006/relationships/footer" Target="footer46.xml" /><Relationship Id="rId92" Type="http://schemas.openxmlformats.org/officeDocument/2006/relationships/header" Target="header43.xml" /><Relationship Id="rId93" Type="http://schemas.openxmlformats.org/officeDocument/2006/relationships/footer" Target="footer47.xml" /><Relationship Id="rId94" Type="http://schemas.openxmlformats.org/officeDocument/2006/relationships/image" Target="media/image1.png" /><Relationship Id="rId95" Type="http://schemas.openxmlformats.org/officeDocument/2006/relationships/header" Target="header44.xml" /><Relationship Id="rId96" Type="http://schemas.openxmlformats.org/officeDocument/2006/relationships/header" Target="header45.xml" /><Relationship Id="rId97" Type="http://schemas.openxmlformats.org/officeDocument/2006/relationships/footer" Target="footer48.xml" /><Relationship Id="rId98" Type="http://schemas.openxmlformats.org/officeDocument/2006/relationships/footer" Target="footer49.xml" /><Relationship Id="rId99" Type="http://schemas.openxmlformats.org/officeDocument/2006/relationships/header" Target="head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157256160</TotalTime>
  <Pages>40</Pages>
  <Words>24581</Words>
  <Characters>25202</Characters>
  <Application>Microsoft Office Word</Application>
  <DocSecurity>0</DocSecurity>
  <Lines>300</Lines>
  <Paragraphs>84</Paragraphs>
  <ScaleCrop>false</ScaleCrop>
  <Company>中国最大系统站</Company>
  <LinksUpToDate>false</LinksUpToDate>
  <CharactersWithSpaces>26312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WPS_1623221767</cp:lastModifiedBy>
  <cp:revision>955</cp:revision>
  <cp:lastPrinted>2012-10-08T02:31:00Z</cp:lastPrinted>
  <dcterms:created xsi:type="dcterms:W3CDTF">2012-02-28T00:39:00Z</dcterms:created>
  <dcterms:modified xsi:type="dcterms:W3CDTF">2023-09-11T05:43:29Z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368E3819635348D291649E36E384015A_12</vt:lpwstr>
  </property>
  <property fmtid="{D5CDD505-2E9C-101B-9397-08002B2CF9AE}" pid="3" name="KSOProductBuildVer">
    <vt:lpwstr>2052-12.1.0.15398</vt:lpwstr>
  </property>
</Properties>
</file>