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夜光涂料相关行业公司成立方案及可行性研究报告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一、夜光涂料筹建公司基本信息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_Toc26524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eastAsia="zh-CN"/>
          </w:rPr>
          <w:t>(一)、夜光涂料项目选址原则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_Toc16223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(五)、夜光涂料项目选址综合评价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_Toc24124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_Toc29796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9" w:history="1">
        <w:r>
          <w:rPr>
            <w:rFonts w:ascii="仿宋" w:eastAsia="仿宋" w:hAnsi="仿宋" w:cs="仿宋" w:hint="eastAsia"/>
            <w:lang w:eastAsia="zh-CN"/>
          </w:rPr>
          <w:t>(一)、夜光涂料项目背景分析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(二)、夜光涂料项目建设必要性分析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_Toc25788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_Toc20990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_Toc13278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eastAsia="zh-CN"/>
          </w:rPr>
          <w:t>(一)、夜光涂料项目进度安排</w:t>
        </w:r>
        <w:r>
          <w:tab/>
        </w:r>
        <w:r>
          <w:fldChar w:fldCharType="begin"/>
        </w:r>
        <w:r>
          <w:instrText xml:space="preserve"> PAGEREF _Toc29520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7" w:history="1">
        <w:r>
          <w:rPr>
            <w:rFonts w:ascii="仿宋" w:eastAsia="仿宋" w:hAnsi="仿宋" w:cs="仿宋" w:hint="eastAsia"/>
            <w:lang w:eastAsia="zh-CN"/>
          </w:rPr>
          <w:t>(二)、夜光涂料项目实施保障措施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_Toc17630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_Toc26608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_Toc25764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十、夜光涂料项目风险分析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(一)、夜光涂料项目风险分析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(二)、夜光涂料项目风险对策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_Toc12427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_Toc22857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_Toc12500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十三、夜光涂料项目总结分析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756"/>
      <w:r>
        <w:rPr>
          <w:rFonts w:ascii="仿宋" w:eastAsia="仿宋" w:hAnsi="仿宋" w:cs="仿宋" w:hint="eastAsia"/>
          <w:sz w:val="28"/>
          <w:lang w:eastAsia="zh-CN"/>
        </w:rPr>
        <w:t>一、夜光涂料筹建公司基本信息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72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28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07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12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经营范围：从事XXX相关业务(企业依法自主选择经营夜光涂料项目，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开展经营活动；依法须经批准的夜光涂料项目，经相关部门批准后依批准的内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容开展经营活动；不得从事本市产业政策禁止和限制类夜光涂料项目的经营活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92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https://d.book118.com/927102040056006034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夜光涂料相关行业公司成立方案及可行性研究报告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夜光涂料相关行业公司成立方案及可行性研究报告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夜光涂料相关行业公司成立方案及可行性研究报告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夜光涂料相关行业公司成立方案及可行性研究报告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夜光涂料相关行业公司成立方案及可行性研究报告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102040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2024-01-03T20:13:00Z</dcterms:created>
  <dcterms:modified xsi:type="dcterms:W3CDTF">2024-01-03T20:13:19Z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433AD487478A4E2FBF5150E64FDE6E6A_11</vt:lpwstr>
  </property>
  <property fmtid="{D5CDD505-2E9C-101B-9397-08002B2CF9AE}" pid="3" name="KSOProductBuildVer">
    <vt:lpwstr>2052-12.1.0.16120</vt:lpwstr>
  </property>
</Properties>
</file>